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2A2B42"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2A2B42" w:rsidRDefault="003447BF" w:rsidP="002B56D7">
            <w:pPr>
              <w:jc w:val="right"/>
              <w:rPr>
                <w:lang w:val="en-GB"/>
              </w:rPr>
            </w:pPr>
            <w:r w:rsidRPr="002A2B42">
              <w:rPr>
                <w:sz w:val="40"/>
                <w:lang w:val="en-GB"/>
              </w:rPr>
              <w:t>ECE</w:t>
            </w:r>
            <w:r w:rsidRPr="002A2B42">
              <w:rPr>
                <w:lang w:val="en-GB"/>
              </w:rPr>
              <w:t>/TRANS/WP.15/AC.2/201</w:t>
            </w:r>
            <w:r w:rsidR="00D70305" w:rsidRPr="002A2B42">
              <w:rPr>
                <w:lang w:val="en-GB"/>
              </w:rPr>
              <w:t>8</w:t>
            </w:r>
            <w:r w:rsidRPr="002A2B42">
              <w:rPr>
                <w:lang w:val="en-GB"/>
              </w:rPr>
              <w:t>/</w:t>
            </w:r>
            <w:r w:rsidR="002A2B42" w:rsidRPr="002A2B42">
              <w:rPr>
                <w:lang w:val="en-GB"/>
              </w:rPr>
              <w:t>4</w:t>
            </w:r>
            <w:r w:rsidR="00064369">
              <w:rPr>
                <w:lang w:val="en-GB"/>
              </w:rPr>
              <w:t>5</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2E3C0A"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4pt;height:46.75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E7310A" w:rsidRDefault="00EB65CC" w:rsidP="00E7310A">
            <w:pPr>
              <w:spacing w:line="240" w:lineRule="exact"/>
            </w:pPr>
            <w:r>
              <w:t>12</w:t>
            </w:r>
            <w:r w:rsidR="007E29D3" w:rsidRPr="00E7310A">
              <w:t xml:space="preserve"> </w:t>
            </w:r>
            <w:r w:rsidR="00064369">
              <w:t>juin</w:t>
            </w:r>
            <w:r w:rsidR="007E29D3" w:rsidRPr="00E7310A">
              <w:t xml:space="preserve"> 2018</w:t>
            </w:r>
          </w:p>
          <w:p w:rsidR="003447BF" w:rsidRPr="00E7310A" w:rsidRDefault="003447BF" w:rsidP="00C4302B">
            <w:pPr>
              <w:spacing w:line="240" w:lineRule="exact"/>
            </w:pPr>
          </w:p>
          <w:p w:rsidR="003447BF" w:rsidRPr="00367E6A" w:rsidRDefault="003447BF" w:rsidP="00B30CFB">
            <w:pPr>
              <w:spacing w:line="240" w:lineRule="exact"/>
            </w:pPr>
            <w:proofErr w:type="gramStart"/>
            <w:r>
              <w:t>Original:</w:t>
            </w:r>
            <w:proofErr w:type="gramEnd"/>
            <w:r>
              <w:t xml:space="preserve"> </w:t>
            </w:r>
            <w:r w:rsidR="00064369">
              <w:t>f</w:t>
            </w:r>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rsidR="003447BF" w:rsidRDefault="003447BF" w:rsidP="007E29D3">
      <w:r>
        <w:t xml:space="preserve">Genève, </w:t>
      </w:r>
      <w:r w:rsidR="007E29D3">
        <w:t>27-31 août</w:t>
      </w:r>
      <w:r>
        <w:t xml:space="preserve"> 201</w:t>
      </w:r>
      <w:r w:rsidR="00745866">
        <w:t>8</w:t>
      </w:r>
    </w:p>
    <w:p w:rsidR="003447BF" w:rsidRPr="00EB65CC" w:rsidRDefault="003447BF" w:rsidP="009646D6">
      <w:r w:rsidRPr="00B93E72">
        <w:t>Po</w:t>
      </w:r>
      <w:r w:rsidRPr="00EB65CC">
        <w:t xml:space="preserve">int </w:t>
      </w:r>
      <w:r w:rsidR="009646D6" w:rsidRPr="00EB65CC">
        <w:t>4 b)</w:t>
      </w:r>
      <w:r w:rsidRPr="00EB65CC">
        <w:t xml:space="preserve"> de l’ordre du jour provisoire</w:t>
      </w:r>
    </w:p>
    <w:p w:rsidR="00E02222" w:rsidRPr="00E02222" w:rsidRDefault="00EB65CC" w:rsidP="00EB65CC">
      <w:pPr>
        <w:rPr>
          <w:b/>
        </w:rPr>
      </w:pPr>
      <w:r w:rsidRPr="00EB65CC">
        <w:rPr>
          <w:b/>
        </w:rPr>
        <w:t xml:space="preserve">Propositions d’amendements au Règlement annexé à </w:t>
      </w:r>
      <w:proofErr w:type="gramStart"/>
      <w:r w:rsidRPr="00EB65CC">
        <w:rPr>
          <w:b/>
        </w:rPr>
        <w:t>l’ADN:</w:t>
      </w:r>
      <w:proofErr w:type="gramEnd"/>
      <w:r w:rsidR="00CA36D4" w:rsidRPr="00EB65CC">
        <w:rPr>
          <w:b/>
        </w:rPr>
        <w:br/>
      </w:r>
      <w:r w:rsidRPr="00EB65CC">
        <w:rPr>
          <w:b/>
        </w:rPr>
        <w:t>autres propositions</w:t>
      </w:r>
    </w:p>
    <w:p w:rsidR="003447BF" w:rsidRPr="00EA0C87" w:rsidRDefault="003447BF" w:rsidP="00740779">
      <w:pPr>
        <w:pStyle w:val="HChG"/>
      </w:pPr>
      <w:r w:rsidRPr="00C63AC1">
        <w:tab/>
      </w:r>
      <w:r w:rsidRPr="00C63AC1">
        <w:tab/>
      </w:r>
      <w:r w:rsidR="00740779" w:rsidRPr="00740779">
        <w:rPr>
          <w:bCs/>
        </w:rPr>
        <w:t>Modification du 7.1.4.1</w:t>
      </w:r>
      <w:r w:rsidR="00EB65CC">
        <w:rPr>
          <w:bCs/>
        </w:rPr>
        <w:t>: l</w:t>
      </w:r>
      <w:r w:rsidR="00740779" w:rsidRPr="00740779">
        <w:rPr>
          <w:bCs/>
        </w:rPr>
        <w:t>imitation des quantités transportées</w:t>
      </w:r>
    </w:p>
    <w:p w:rsidR="003447BF" w:rsidRDefault="003447BF" w:rsidP="00740779">
      <w:pPr>
        <w:pStyle w:val="H1G"/>
        <w:rPr>
          <w:b w:val="0"/>
          <w:bCs/>
          <w:szCs w:val="24"/>
          <w:vertAlign w:val="superscript"/>
          <w:lang w:val="fr-CH"/>
        </w:rPr>
      </w:pPr>
      <w:r w:rsidRPr="00EA0C87">
        <w:tab/>
      </w:r>
      <w:r w:rsidRPr="00EA0C87">
        <w:tab/>
      </w:r>
      <w:r w:rsidR="00EB65CC">
        <w:t>Communication de</w:t>
      </w:r>
      <w:r w:rsidR="00740779" w:rsidRPr="00740779">
        <w:t xml:space="preserve"> l'Union européenne de la navigation fluviale (UENF), </w:t>
      </w:r>
      <w:r w:rsidR="00EB65CC">
        <w:t>l'Union européenne des transports fluviomaritimes</w:t>
      </w:r>
      <w:r w:rsidR="00740779" w:rsidRPr="00740779">
        <w:t xml:space="preserve"> (ERSTU) et l'Organisation européenne des bateliers (OEB)</w:t>
      </w:r>
      <w:r w:rsidR="00550462" w:rsidRPr="00550462">
        <w:rPr>
          <w:rStyle w:val="FootnoteReference"/>
          <w:b w:val="0"/>
          <w:bCs/>
          <w:sz w:val="24"/>
          <w:szCs w:val="24"/>
        </w:rPr>
        <w:footnoteReference w:customMarkFollows="1" w:id="2"/>
        <w:t>*</w:t>
      </w:r>
      <w:r w:rsidR="00550462" w:rsidRPr="00550462">
        <w:rPr>
          <w:b w:val="0"/>
          <w:bCs/>
          <w:szCs w:val="24"/>
          <w:vertAlign w:val="superscript"/>
        </w:rPr>
        <w:t>,</w:t>
      </w:r>
      <w:r w:rsidR="00550462" w:rsidRPr="002B64A7">
        <w:rPr>
          <w:b w:val="0"/>
          <w:bCs/>
          <w:szCs w:val="24"/>
          <w:vertAlign w:val="superscript"/>
          <w:lang w:val="fr-CH"/>
        </w:rPr>
        <w:footnoteReference w:customMarkFollows="1" w:id="3"/>
        <w:t>**</w:t>
      </w:r>
    </w:p>
    <w:p w:rsidR="00740779" w:rsidRPr="00740779" w:rsidRDefault="00740779" w:rsidP="00740779">
      <w:pPr>
        <w:pStyle w:val="HChG"/>
      </w:pPr>
      <w:r>
        <w:tab/>
      </w:r>
      <w:r>
        <w:tab/>
      </w:r>
      <w:r w:rsidRPr="00740779">
        <w:t>Introduction</w:t>
      </w:r>
    </w:p>
    <w:p w:rsidR="00740779" w:rsidRPr="00740779" w:rsidRDefault="00740779" w:rsidP="00740779">
      <w:pPr>
        <w:pStyle w:val="SingleTxtG"/>
      </w:pPr>
      <w:r w:rsidRPr="00740779">
        <w:t>1.</w:t>
      </w:r>
      <w:r w:rsidRPr="00740779">
        <w:tab/>
        <w:t xml:space="preserve">Les représentants du secteur de la navigation intérieure ont soumis des documents en vue de l'examen de ce thème lors de la </w:t>
      </w:r>
      <w:r>
        <w:t>vingt-neuvième</w:t>
      </w:r>
      <w:r w:rsidRPr="00740779">
        <w:t xml:space="preserve"> session puis lors de la </w:t>
      </w:r>
      <w:r w:rsidR="00EB65CC">
        <w:t>trente-et-unième</w:t>
      </w:r>
      <w:r w:rsidRPr="00740779">
        <w:t xml:space="preserve"> session du Comité de sécurité de l'ADN. Lors de </w:t>
      </w:r>
      <w:r>
        <w:t>l</w:t>
      </w:r>
      <w:r w:rsidRPr="00740779">
        <w:t xml:space="preserve">a </w:t>
      </w:r>
      <w:r>
        <w:t>trente-et-unième</w:t>
      </w:r>
      <w:r w:rsidRPr="00740779">
        <w:t xml:space="preserve"> session, nous avons indiqué que la demande du secteur de la navigation vise trois objectifs :</w:t>
      </w:r>
    </w:p>
    <w:p w:rsidR="00740779" w:rsidRPr="00740779" w:rsidRDefault="00740779" w:rsidP="00740779">
      <w:pPr>
        <w:pStyle w:val="SingleTxtG"/>
        <w:ind w:firstLine="567"/>
      </w:pPr>
      <w:r w:rsidRPr="00740779">
        <w:t>a)</w:t>
      </w:r>
      <w:r w:rsidRPr="00740779">
        <w:tab/>
        <w:t>Clarification et amélioration de la transparence par une autre présentation du 7.1.4.1.1</w:t>
      </w:r>
    </w:p>
    <w:p w:rsidR="00740779" w:rsidRPr="00740779" w:rsidRDefault="00740779" w:rsidP="00740779">
      <w:pPr>
        <w:pStyle w:val="SingleTxtG"/>
        <w:ind w:firstLine="567"/>
      </w:pPr>
      <w:r w:rsidRPr="00740779">
        <w:t>b)</w:t>
      </w:r>
      <w:r w:rsidRPr="00740779">
        <w:tab/>
        <w:t>Clarification par un rassemblement des plages que quantités au 7.1.4.1.1</w:t>
      </w:r>
      <w:r w:rsidR="00EB65CC">
        <w:t>;</w:t>
      </w:r>
    </w:p>
    <w:p w:rsidR="00740779" w:rsidRPr="00740779" w:rsidRDefault="00740779" w:rsidP="00740779">
      <w:pPr>
        <w:pStyle w:val="SingleTxtG"/>
        <w:ind w:firstLine="567"/>
      </w:pPr>
      <w:r w:rsidRPr="00740779">
        <w:t>c)</w:t>
      </w:r>
      <w:r w:rsidRPr="00740779">
        <w:tab/>
        <w:t>Suppression de la limite maximale de 1 100 t pour les quantités au 7.1.4.1.2</w:t>
      </w:r>
    </w:p>
    <w:p w:rsidR="00740779" w:rsidRPr="00740779" w:rsidRDefault="00740779" w:rsidP="00740779">
      <w:pPr>
        <w:pStyle w:val="SingleTxtG"/>
      </w:pPr>
      <w:r w:rsidRPr="00740779">
        <w:lastRenderedPageBreak/>
        <w:t>2.</w:t>
      </w:r>
      <w:r w:rsidRPr="00740779">
        <w:tab/>
        <w:t xml:space="preserve">Au cours de la discussion menée lors de la </w:t>
      </w:r>
      <w:r w:rsidR="00EB65CC">
        <w:t>trente-et-unième</w:t>
      </w:r>
      <w:r w:rsidRPr="00740779">
        <w:t xml:space="preserve"> session du Comité de sécurité de l'ADN, il est apparu clairement qu'aucune base de discussion ne pouvait être identifiée pour les objectifs b) et c) mentionnés par </w:t>
      </w:r>
      <w:r w:rsidR="00EB65CC">
        <w:t xml:space="preserve">le secteur de </w:t>
      </w:r>
      <w:r w:rsidRPr="00740779">
        <w:t>la navigation au paragraphe 1 ci-avant. Le Comité de sécurité a néanmoins accepté que la question soit traitée dans le cadre d'un groupe de correspondance.</w:t>
      </w:r>
    </w:p>
    <w:p w:rsidR="00740779" w:rsidRPr="00740779" w:rsidRDefault="00740779" w:rsidP="00740779">
      <w:pPr>
        <w:pStyle w:val="SingleTxtG"/>
      </w:pPr>
      <w:r w:rsidRPr="00740779">
        <w:t>3.</w:t>
      </w:r>
      <w:r w:rsidRPr="00740779">
        <w:tab/>
        <w:t>À ce jour, la demande n'a pas encore été traitée dans le cadre d'un groupe de correspondance. Le secteur de la navigation a pris acte du rejet des objectifs b) et c) mentionnés au paragraphe 1 et l'accepte pour le moment.</w:t>
      </w:r>
    </w:p>
    <w:p w:rsidR="00740779" w:rsidRPr="00740779" w:rsidRDefault="00740779" w:rsidP="00740779">
      <w:pPr>
        <w:pStyle w:val="SingleTxtG"/>
      </w:pPr>
      <w:r w:rsidRPr="00740779">
        <w:t>4.</w:t>
      </w:r>
      <w:r w:rsidRPr="00740779">
        <w:tab/>
        <w:t>Nous réitérons néanmoins notre souhait d'une amélioration de la clarté et de la transparence par une articulation modifiée du 7.1.4.1. Cela est nécessaire en particulier afin de rendre cette thématique accessible aux usagers qui n'utilisent pas régulièrement l'ADN.</w:t>
      </w:r>
    </w:p>
    <w:p w:rsidR="00740779" w:rsidRPr="00740779" w:rsidRDefault="00740779" w:rsidP="00740779">
      <w:pPr>
        <w:pStyle w:val="HChG"/>
      </w:pPr>
      <w:r>
        <w:tab/>
      </w:r>
      <w:r>
        <w:tab/>
      </w:r>
      <w:r w:rsidRPr="00740779">
        <w:t>Proposition</w:t>
      </w:r>
    </w:p>
    <w:p w:rsidR="00740779" w:rsidRPr="00740779" w:rsidRDefault="00740779" w:rsidP="00740779">
      <w:pPr>
        <w:pStyle w:val="SingleTxtG"/>
      </w:pPr>
      <w:r w:rsidRPr="00740779">
        <w:t>5.</w:t>
      </w:r>
      <w:r w:rsidRPr="00740779">
        <w:tab/>
      </w:r>
      <w:r w:rsidR="00EB65CC">
        <w:t>Remplacer le texte des paragraphes 7.1.4.1.1, 7.1.4.1.2 et 7.1.4.1.3 par le t</w:t>
      </w:r>
      <w:r w:rsidR="007167C4">
        <w:t xml:space="preserve">exte </w:t>
      </w:r>
      <w:proofErr w:type="gramStart"/>
      <w:r w:rsidR="007167C4">
        <w:t>suivant</w:t>
      </w:r>
      <w:r w:rsidRPr="00740779">
        <w:t>:</w:t>
      </w:r>
      <w:proofErr w:type="gramEnd"/>
    </w:p>
    <w:p w:rsidR="00740779" w:rsidRPr="00740779" w:rsidRDefault="00310720" w:rsidP="00740779">
      <w:pPr>
        <w:pStyle w:val="SingleTxtG"/>
        <w:rPr>
          <w:b/>
          <w:bCs/>
        </w:rPr>
      </w:pPr>
      <w:r>
        <w:rPr>
          <w:bCs/>
        </w:rPr>
        <w:t>«</w:t>
      </w:r>
      <w:r w:rsidR="00740779" w:rsidRPr="00740779">
        <w:rPr>
          <w:bCs/>
        </w:rPr>
        <w:t>7.1.4.1</w:t>
      </w:r>
      <w:r w:rsidR="00740779" w:rsidRPr="00740779">
        <w:rPr>
          <w:bCs/>
        </w:rPr>
        <w:tab/>
      </w:r>
      <w:r w:rsidR="00740779" w:rsidRPr="00740779">
        <w:rPr>
          <w:b/>
          <w:bCs/>
        </w:rPr>
        <w:t>Limitation des quantités transportées</w:t>
      </w:r>
    </w:p>
    <w:p w:rsidR="00740779" w:rsidRPr="00740779" w:rsidRDefault="00740779" w:rsidP="00740779">
      <w:pPr>
        <w:pStyle w:val="SingleTxtG"/>
        <w:ind w:left="2268"/>
      </w:pPr>
      <w:r w:rsidRPr="00740779">
        <w:t>Certaines</w:t>
      </w:r>
      <w:r w:rsidRPr="00740779">
        <w:rPr>
          <w:vertAlign w:val="superscript"/>
        </w:rPr>
        <w:t>1)</w:t>
      </w:r>
      <w:r w:rsidRPr="00740779">
        <w:t xml:space="preserve"> marchandises dangereuses des classes 1</w:t>
      </w:r>
      <w:r w:rsidRPr="00740779">
        <w:rPr>
          <w:vertAlign w:val="superscript"/>
        </w:rPr>
        <w:t>2)</w:t>
      </w:r>
      <w:r w:rsidRPr="00740779">
        <w:t>, 2, 3, 4.1, 4.2, 4.3, 5.1, 5.2, 6.1, 7, 8 et 9 ne peuvent être transportées qu'en quant</w:t>
      </w:r>
      <w:r>
        <w:t xml:space="preserve">ités limitées conformément aux </w:t>
      </w:r>
      <w:r w:rsidRPr="00740779">
        <w:t>7.1.4.1.1, 7.1.4.1.2 et 7.1.4.1.3.</w:t>
      </w:r>
    </w:p>
    <w:p w:rsidR="00740779" w:rsidRPr="00740779" w:rsidRDefault="00740779" w:rsidP="00740779">
      <w:pPr>
        <w:pStyle w:val="SingleTxtG"/>
        <w:ind w:left="2268"/>
      </w:pPr>
      <w:r w:rsidRPr="00740779">
        <w:t xml:space="preserve">Pour les convois poussés et les formations à couple, les limitations de quantités énoncées aux 7.1.4.1.1, 7.1.4.1.2 et 7.1.4.1.3 s'appliquent à chaque unité, pour chaque unité sont autorisés 1 100 000 kg au maximum. </w:t>
      </w:r>
    </w:p>
    <w:p w:rsidR="00740779" w:rsidRPr="00740779" w:rsidRDefault="00740779" w:rsidP="00740779">
      <w:pPr>
        <w:pStyle w:val="SingleTxtG"/>
        <w:ind w:left="2268" w:hanging="1134"/>
      </w:pPr>
      <w:r w:rsidRPr="00740779">
        <w:t>7.1.4.1.1</w:t>
      </w:r>
      <w:r w:rsidRPr="00740779">
        <w:tab/>
        <w:t xml:space="preserve">Les bateaux à double coque qui satisfont aux règles de construction supplémentaires des 9.1.0.88 à 9.1.0.95 ou 9.2.0.88 à 9.2.0.95 ne peuvent transporter que les quantités de marchandises dangereuses de classe 1 énoncées au 7.1.4.1.3. </w:t>
      </w:r>
    </w:p>
    <w:p w:rsidR="00740779" w:rsidRPr="00740779" w:rsidRDefault="00740779" w:rsidP="00740779">
      <w:pPr>
        <w:pStyle w:val="SingleTxtG"/>
        <w:ind w:left="2268"/>
      </w:pPr>
      <w:r w:rsidRPr="00740779">
        <w:tab/>
        <w:t xml:space="preserve">Ces bâtiments peuvent transporter des marchandises des classes 2, 3, 4.1, 4.2, 4.3, 5.1, 5.2, 6.1, 7, 8 et 9 sans limitation de la quantité transportée. </w:t>
      </w:r>
    </w:p>
    <w:p w:rsidR="00740779" w:rsidRPr="00740779" w:rsidRDefault="00740779" w:rsidP="00740779">
      <w:pPr>
        <w:pStyle w:val="SingleTxtG"/>
        <w:ind w:left="2268"/>
      </w:pPr>
      <w:r w:rsidRPr="00740779">
        <w:t>Par dérogation à cette disposition, les marchandises dangereuses pour lesquelles une l'étiquette de danger de modèle No 1 est exigée à la colonne (5) du tableau A du chapitre 3.2, ne peuvent être transportées à bord de chaque unité que dans les quantités énoncées au 7.1.4.1.3</w:t>
      </w:r>
      <w:r w:rsidRPr="00740779">
        <w:rPr>
          <w:vertAlign w:val="superscript"/>
        </w:rPr>
        <w:t xml:space="preserve"> 3)</w:t>
      </w:r>
      <w:r w:rsidRPr="00740779">
        <w:t>.</w:t>
      </w:r>
    </w:p>
    <w:p w:rsidR="00740779" w:rsidRPr="00740779" w:rsidRDefault="00740779" w:rsidP="00740779">
      <w:pPr>
        <w:pStyle w:val="SingleTxtG"/>
        <w:ind w:left="2268" w:hanging="1134"/>
      </w:pPr>
      <w:r w:rsidRPr="00740779">
        <w:t>7.1.4.1.2</w:t>
      </w:r>
      <w:r w:rsidRPr="00740779">
        <w:tab/>
        <w:t>Les bateaux à simple coque, barges de poussage et bateaux à double coque qui ne satisfont pas aux règles de construction supplémentaires des 9.1.0.88 à 9.1.0.95 ou 9.2.0.88 à 9.2.0.95 ne peuvent transporter que les quantités de marchandises dangereuses des classes 1, 2, 3, 4.1, 4.2, 4.3, 5.1, 5.2, 6.1, 7, 8 et 9 énoncées au 7.1.4.1.3.</w:t>
      </w:r>
    </w:p>
    <w:p w:rsidR="00740779" w:rsidRPr="00740779" w:rsidRDefault="00740779" w:rsidP="00740779">
      <w:pPr>
        <w:pStyle w:val="SingleTxtG"/>
        <w:ind w:left="2268"/>
        <w:rPr>
          <w:vertAlign w:val="superscript"/>
        </w:rPr>
      </w:pPr>
      <w:r w:rsidRPr="00310720">
        <w:rPr>
          <w:b/>
          <w:bCs/>
          <w:i/>
          <w:iCs/>
        </w:rPr>
        <w:tab/>
        <w:t>NOTA</w:t>
      </w:r>
      <w:r w:rsidRPr="00310720">
        <w:rPr>
          <w:i/>
          <w:iCs/>
        </w:rPr>
        <w:t xml:space="preserve"> : lor</w:t>
      </w:r>
      <w:r w:rsidR="00310720">
        <w:rPr>
          <w:i/>
          <w:iCs/>
        </w:rPr>
        <w:t>sque l'indication de quantité</w:t>
      </w:r>
      <w:proofErr w:type="gramStart"/>
      <w:r w:rsidR="00310720">
        <w:rPr>
          <w:i/>
          <w:iCs/>
        </w:rPr>
        <w:t xml:space="preserve"> «Pas</w:t>
      </w:r>
      <w:proofErr w:type="gramEnd"/>
      <w:r w:rsidR="00310720">
        <w:rPr>
          <w:i/>
          <w:iCs/>
        </w:rPr>
        <w:t xml:space="preserve"> de limitation</w:t>
      </w:r>
      <w:r w:rsidRPr="00310720">
        <w:rPr>
          <w:i/>
          <w:iCs/>
        </w:rPr>
        <w:t>» figure au 7.1.4.1.3, ces marchandises peuvent être transportées en quantités illimitées</w:t>
      </w:r>
      <w:r w:rsidR="00310720">
        <w:rPr>
          <w:vertAlign w:val="superscript"/>
        </w:rPr>
        <w:t>4)</w:t>
      </w:r>
      <w:r w:rsidR="007167C4" w:rsidRPr="007167C4">
        <w:t>.</w:t>
      </w:r>
      <w:r w:rsidR="00310720" w:rsidRPr="00310720">
        <w:t>»</w:t>
      </w:r>
    </w:p>
    <w:p w:rsidR="00740779" w:rsidRPr="00740779" w:rsidRDefault="00740779" w:rsidP="00740779">
      <w:pPr>
        <w:pStyle w:val="SingleTxtG"/>
      </w:pPr>
      <w:r w:rsidRPr="00740779">
        <w:t>7.1.4.1.3</w:t>
      </w:r>
      <w:r w:rsidRPr="00740779">
        <w:tab/>
        <w:t>Tableau</w:t>
      </w:r>
      <w:r w:rsidR="00310720">
        <w:t xml:space="preserve"> (voir pages 4 et 5 du présent document)</w:t>
      </w:r>
    </w:p>
    <w:p w:rsidR="00740779" w:rsidRPr="00740779" w:rsidRDefault="00740779" w:rsidP="00740779">
      <w:pPr>
        <w:pStyle w:val="SingleTxtG"/>
      </w:pPr>
      <w:r w:rsidRPr="00740779">
        <w:t>Le</w:t>
      </w:r>
      <w:r w:rsidR="00310720">
        <w:t>s paragraphes</w:t>
      </w:r>
      <w:r w:rsidRPr="00740779">
        <w:t xml:space="preserve"> 7.1.4.1.4</w:t>
      </w:r>
      <w:r w:rsidR="00310720">
        <w:t xml:space="preserve"> à 7.1.4.1.6</w:t>
      </w:r>
      <w:r w:rsidRPr="00740779">
        <w:t xml:space="preserve"> restent inchangés</w:t>
      </w:r>
      <w:r w:rsidR="00310720">
        <w:t>.</w:t>
      </w:r>
    </w:p>
    <w:p w:rsidR="00740779" w:rsidRPr="00740779" w:rsidRDefault="00740779" w:rsidP="00310720">
      <w:pPr>
        <w:pStyle w:val="H1G"/>
      </w:pPr>
      <w:r>
        <w:lastRenderedPageBreak/>
        <w:tab/>
      </w:r>
      <w:r>
        <w:tab/>
      </w:r>
      <w:r w:rsidRPr="00740779">
        <w:t>Observations</w:t>
      </w:r>
    </w:p>
    <w:p w:rsidR="00740779" w:rsidRPr="00740779" w:rsidRDefault="00740779" w:rsidP="00310720">
      <w:pPr>
        <w:pStyle w:val="SingleTxtG"/>
        <w:ind w:left="1701" w:hanging="567"/>
      </w:pPr>
      <w:r w:rsidRPr="00740779">
        <w:rPr>
          <w:vertAlign w:val="superscript"/>
        </w:rPr>
        <w:t>1)</w:t>
      </w:r>
      <w:r w:rsidRPr="00740779">
        <w:t xml:space="preserve"> </w:t>
      </w:r>
      <w:r w:rsidR="00310720">
        <w:tab/>
      </w:r>
      <w:r w:rsidRPr="00740779">
        <w:t xml:space="preserve">L'ajout du mot certaines permet d'indiquer d'emblée que des prescriptions différentes peuvent s'appliquer pour chaque classe. </w:t>
      </w:r>
    </w:p>
    <w:p w:rsidR="00740779" w:rsidRPr="00740779" w:rsidRDefault="00740779" w:rsidP="00310720">
      <w:pPr>
        <w:pStyle w:val="SingleTxtG"/>
        <w:ind w:left="1701" w:hanging="567"/>
      </w:pPr>
      <w:r w:rsidRPr="00740779">
        <w:rPr>
          <w:vertAlign w:val="superscript"/>
        </w:rPr>
        <w:t>2)</w:t>
      </w:r>
      <w:r w:rsidRPr="00740779">
        <w:t xml:space="preserve"> </w:t>
      </w:r>
      <w:r w:rsidR="00310720">
        <w:tab/>
      </w:r>
      <w:r w:rsidRPr="00740779">
        <w:t>Les limites de quantités nouvellement proposées dans le tableau 7.1.4.1.3 s'</w:t>
      </w:r>
      <w:proofErr w:type="spellStart"/>
      <w:r w:rsidRPr="00740779">
        <w:t>appliqent</w:t>
      </w:r>
      <w:proofErr w:type="spellEnd"/>
      <w:r w:rsidRPr="00740779">
        <w:t xml:space="preserve"> aussi pour les marchandises de la classe 1. Par conséquent, la classe 1 doit être mentionnée dans le texte introductif du nouveau 7.1.4.1. </w:t>
      </w:r>
    </w:p>
    <w:p w:rsidR="00740779" w:rsidRPr="00740779" w:rsidRDefault="00740779" w:rsidP="00310720">
      <w:pPr>
        <w:pStyle w:val="SingleTxtG"/>
        <w:ind w:left="1701" w:hanging="567"/>
      </w:pPr>
      <w:r w:rsidRPr="00740779">
        <w:rPr>
          <w:vertAlign w:val="superscript"/>
        </w:rPr>
        <w:t>3)</w:t>
      </w:r>
      <w:r w:rsidRPr="00740779">
        <w:t xml:space="preserve"> </w:t>
      </w:r>
      <w:r w:rsidR="00310720">
        <w:tab/>
      </w:r>
      <w:r w:rsidRPr="00740779">
        <w:t>Les marchandises de la classe 1 ne sont pas mentionnées au 7.1.4.1.3 dans la version 2017 de l'ADN. Par conséquent, les bateaux à double coque qui satisfont aux règles de construction su</w:t>
      </w:r>
      <w:r>
        <w:t>pplémentaires des sous-sections</w:t>
      </w:r>
      <w:r w:rsidRPr="00740779">
        <w:t xml:space="preserve"> 9.1.0.88 à 9.1.0.95 ou 9.2.0.88 à 9.2.0.95 ne sont pas autorisés à transporter des marchandises de la classe 1 sans limitation de la quantité. Ces bâtiments doivent observer les limitations de quantité énoncées jusqu'ici au 7.1.4.1.1 ou énoncées au 7.1.4.1.3 de cette proposition. </w:t>
      </w:r>
    </w:p>
    <w:p w:rsidR="00740779" w:rsidRPr="00740779" w:rsidRDefault="00740779" w:rsidP="00310720">
      <w:pPr>
        <w:pStyle w:val="SingleTxtG"/>
        <w:ind w:left="1701" w:hanging="567"/>
      </w:pPr>
      <w:r w:rsidRPr="00740779">
        <w:rPr>
          <w:vertAlign w:val="superscript"/>
        </w:rPr>
        <w:t>4)</w:t>
      </w:r>
      <w:r w:rsidRPr="00740779">
        <w:t xml:space="preserve"> </w:t>
      </w:r>
      <w:r w:rsidR="00310720">
        <w:tab/>
      </w:r>
      <w:r w:rsidR="00DE1188">
        <w:t>L'utilisation de l'expression «Pas de limitation</w:t>
      </w:r>
      <w:bookmarkStart w:id="0" w:name="_GoBack"/>
      <w:bookmarkEnd w:id="0"/>
      <w:r w:rsidRPr="00740779">
        <w:t>» signifie dans ce contexte que des quantités supérieures à 1 100 000 kg sont autorisées dans ces cas.</w:t>
      </w:r>
    </w:p>
    <w:p w:rsidR="00740779" w:rsidRPr="00740779" w:rsidRDefault="00740779" w:rsidP="00740779">
      <w:pPr>
        <w:pStyle w:val="HChG"/>
      </w:pPr>
      <w:r>
        <w:tab/>
      </w:r>
      <w:r>
        <w:tab/>
      </w:r>
      <w:r w:rsidRPr="00740779">
        <w:t>Remarque à l'intention du secrétariat</w:t>
      </w:r>
    </w:p>
    <w:p w:rsidR="00CA36D4" w:rsidRDefault="00310720" w:rsidP="00C44F8C">
      <w:pPr>
        <w:pStyle w:val="SingleTxtG"/>
      </w:pPr>
      <w:r>
        <w:t>6</w:t>
      </w:r>
      <w:r w:rsidR="00740779" w:rsidRPr="00740779">
        <w:t>.</w:t>
      </w:r>
      <w:r w:rsidR="00740779" w:rsidRPr="00740779">
        <w:tab/>
        <w:t xml:space="preserve">Les notes de bas de page </w:t>
      </w:r>
      <w:r w:rsidR="00740779" w:rsidRPr="00740779">
        <w:rPr>
          <w:vertAlign w:val="superscript"/>
        </w:rPr>
        <w:t xml:space="preserve">1) </w:t>
      </w:r>
      <w:r w:rsidR="00740779" w:rsidRPr="00740779">
        <w:t xml:space="preserve">à </w:t>
      </w:r>
      <w:r w:rsidR="00740779" w:rsidRPr="00740779">
        <w:rPr>
          <w:vertAlign w:val="superscript"/>
        </w:rPr>
        <w:t>4)</w:t>
      </w:r>
      <w:r w:rsidR="00740779" w:rsidRPr="00740779">
        <w:t xml:space="preserve"> contiennent des précisions destinées à faciliter la compréhension du nouveau texte. Elles ne sont </w:t>
      </w:r>
      <w:r w:rsidR="00740779" w:rsidRPr="00740779">
        <w:rPr>
          <w:u w:val="single"/>
        </w:rPr>
        <w:t>pas</w:t>
      </w:r>
      <w:r w:rsidR="00740779" w:rsidRPr="00740779">
        <w:t xml:space="preserve"> destin</w:t>
      </w:r>
      <w:r w:rsidR="00C44F8C">
        <w:t>ées à être imprimées dans l'ADN.</w:t>
      </w:r>
    </w:p>
    <w:p w:rsidR="00C44F8C" w:rsidRDefault="00C44F8C" w:rsidP="00C44F8C">
      <w:pPr>
        <w:pStyle w:val="SingleTxtG"/>
        <w:sectPr w:rsidR="00C44F8C" w:rsidSect="005504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pPr>
    </w:p>
    <w:p w:rsidR="00C44F8C" w:rsidRDefault="00C44F8C" w:rsidP="007167C4">
      <w:pPr>
        <w:spacing w:after="120"/>
      </w:pPr>
      <w:r w:rsidRPr="00C44F8C">
        <w:lastRenderedPageBreak/>
        <w:t>7.1.4.1.3</w:t>
      </w:r>
      <w:r w:rsidRPr="00C44F8C">
        <w:tab/>
        <w:t>Limitations de quantités</w:t>
      </w:r>
      <w:r>
        <w:t xml:space="preserve"> </w:t>
      </w:r>
    </w:p>
    <w:tbl>
      <w:tblPr>
        <w:tblStyle w:val="TableGrid10"/>
        <w:tblW w:w="0" w:type="auto"/>
        <w:tblInd w:w="-227" w:type="dxa"/>
        <w:tblLayout w:type="fixed"/>
        <w:tblLook w:val="04A0" w:firstRow="1" w:lastRow="0" w:firstColumn="1" w:lastColumn="0" w:noHBand="0" w:noVBand="1"/>
      </w:tblPr>
      <w:tblGrid>
        <w:gridCol w:w="852"/>
        <w:gridCol w:w="8788"/>
        <w:gridCol w:w="425"/>
        <w:gridCol w:w="426"/>
        <w:gridCol w:w="425"/>
        <w:gridCol w:w="425"/>
        <w:gridCol w:w="493"/>
        <w:gridCol w:w="459"/>
        <w:gridCol w:w="459"/>
        <w:gridCol w:w="459"/>
      </w:tblGrid>
      <w:tr w:rsidR="00C44F8C" w:rsidRPr="00C44F8C" w:rsidTr="007167C4">
        <w:trPr>
          <w:tblHeader/>
        </w:trPr>
        <w:tc>
          <w:tcPr>
            <w:tcW w:w="852" w:type="dxa"/>
          </w:tcPr>
          <w:p w:rsidR="00C44F8C" w:rsidRPr="00C44F8C" w:rsidRDefault="00C44F8C" w:rsidP="00C44F8C">
            <w:pPr>
              <w:suppressAutoHyphens w:val="0"/>
              <w:spacing w:after="240" w:line="240" w:lineRule="auto"/>
              <w:ind w:left="-40"/>
              <w:jc w:val="center"/>
              <w:rPr>
                <w:b/>
                <w:sz w:val="18"/>
                <w:szCs w:val="18"/>
              </w:rPr>
            </w:pPr>
            <w:r w:rsidRPr="00C44F8C">
              <w:rPr>
                <w:b/>
                <w:sz w:val="18"/>
                <w:szCs w:val="18"/>
              </w:rPr>
              <w:t>Classe</w:t>
            </w:r>
          </w:p>
        </w:tc>
        <w:tc>
          <w:tcPr>
            <w:tcW w:w="8788" w:type="dxa"/>
          </w:tcPr>
          <w:p w:rsidR="00C44F8C" w:rsidRPr="00C44F8C" w:rsidRDefault="00C44F8C" w:rsidP="00C44F8C">
            <w:pPr>
              <w:suppressAutoHyphens w:val="0"/>
              <w:spacing w:after="240" w:line="240" w:lineRule="auto"/>
              <w:rPr>
                <w:b/>
                <w:sz w:val="18"/>
                <w:szCs w:val="18"/>
              </w:rPr>
            </w:pPr>
            <w:r w:rsidRPr="00C44F8C">
              <w:rPr>
                <w:b/>
                <w:sz w:val="18"/>
                <w:szCs w:val="18"/>
              </w:rPr>
              <w:t>Description</w:t>
            </w:r>
          </w:p>
        </w:tc>
        <w:tc>
          <w:tcPr>
            <w:tcW w:w="3571" w:type="dxa"/>
            <w:gridSpan w:val="8"/>
          </w:tcPr>
          <w:p w:rsidR="00C44F8C" w:rsidRPr="00C44F8C" w:rsidRDefault="00C44F8C" w:rsidP="00C44F8C">
            <w:pPr>
              <w:suppressAutoHyphens w:val="0"/>
              <w:spacing w:after="240" w:line="240" w:lineRule="auto"/>
              <w:jc w:val="center"/>
              <w:rPr>
                <w:b/>
                <w:sz w:val="18"/>
                <w:szCs w:val="18"/>
              </w:rPr>
            </w:pPr>
            <w:proofErr w:type="spellStart"/>
            <w:r w:rsidRPr="00C44F8C">
              <w:rPr>
                <w:b/>
                <w:sz w:val="18"/>
                <w:szCs w:val="18"/>
              </w:rPr>
              <w:t>Мasse</w:t>
            </w:r>
            <w:proofErr w:type="spellEnd"/>
            <w:r w:rsidRPr="00C44F8C">
              <w:rPr>
                <w:b/>
                <w:sz w:val="18"/>
                <w:szCs w:val="18"/>
              </w:rPr>
              <w:t xml:space="preserve"> brute à bord d'un bateau</w:t>
            </w:r>
          </w:p>
        </w:tc>
      </w:tr>
      <w:tr w:rsidR="00C44F8C" w:rsidRPr="00C44F8C" w:rsidTr="007167C4">
        <w:trPr>
          <w:cantSplit/>
          <w:trHeight w:val="1448"/>
          <w:tblHeader/>
        </w:trPr>
        <w:tc>
          <w:tcPr>
            <w:tcW w:w="852" w:type="dxa"/>
          </w:tcPr>
          <w:p w:rsidR="00C44F8C" w:rsidRPr="00C44F8C" w:rsidRDefault="00C44F8C" w:rsidP="00C44F8C">
            <w:pPr>
              <w:suppressAutoHyphens w:val="0"/>
              <w:spacing w:after="240" w:line="240" w:lineRule="auto"/>
              <w:ind w:left="-111"/>
              <w:rPr>
                <w:sz w:val="18"/>
                <w:szCs w:val="18"/>
              </w:rPr>
            </w:pPr>
          </w:p>
        </w:tc>
        <w:tc>
          <w:tcPr>
            <w:tcW w:w="8788" w:type="dxa"/>
          </w:tcPr>
          <w:p w:rsidR="00C44F8C" w:rsidRPr="00C44F8C" w:rsidRDefault="00C44F8C" w:rsidP="00C44F8C">
            <w:pPr>
              <w:suppressAutoHyphens w:val="0"/>
              <w:spacing w:after="240" w:line="240" w:lineRule="auto"/>
              <w:rPr>
                <w:sz w:val="18"/>
                <w:szCs w:val="18"/>
              </w:rPr>
            </w:pPr>
          </w:p>
        </w:tc>
        <w:tc>
          <w:tcPr>
            <w:tcW w:w="425"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0 kg</w:t>
            </w:r>
          </w:p>
        </w:tc>
        <w:tc>
          <w:tcPr>
            <w:tcW w:w="426"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90 kg</w:t>
            </w:r>
          </w:p>
        </w:tc>
        <w:tc>
          <w:tcPr>
            <w:tcW w:w="425"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15 000 kg</w:t>
            </w:r>
          </w:p>
        </w:tc>
        <w:tc>
          <w:tcPr>
            <w:tcW w:w="425"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50 000 kg</w:t>
            </w:r>
          </w:p>
        </w:tc>
        <w:tc>
          <w:tcPr>
            <w:tcW w:w="493"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120 000 kg</w:t>
            </w:r>
          </w:p>
        </w:tc>
        <w:tc>
          <w:tcPr>
            <w:tcW w:w="459"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300 000 kg</w:t>
            </w:r>
          </w:p>
        </w:tc>
        <w:tc>
          <w:tcPr>
            <w:tcW w:w="459"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1 100 000 kg</w:t>
            </w:r>
          </w:p>
        </w:tc>
        <w:tc>
          <w:tcPr>
            <w:tcW w:w="459" w:type="dxa"/>
            <w:textDirection w:val="tbRl"/>
          </w:tcPr>
          <w:p w:rsidR="00C44F8C" w:rsidRPr="00C44F8C" w:rsidRDefault="00C44F8C" w:rsidP="00C44F8C">
            <w:pPr>
              <w:suppressAutoHyphens w:val="0"/>
              <w:spacing w:after="240" w:line="240" w:lineRule="auto"/>
              <w:ind w:left="113" w:right="113"/>
              <w:jc w:val="center"/>
              <w:rPr>
                <w:sz w:val="18"/>
                <w:szCs w:val="18"/>
              </w:rPr>
            </w:pPr>
            <w:r w:rsidRPr="00C44F8C">
              <w:rPr>
                <w:sz w:val="18"/>
                <w:szCs w:val="18"/>
              </w:rPr>
              <w:t>Pas de limitation</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1</w:t>
            </w:r>
          </w:p>
        </w:tc>
        <w:tc>
          <w:tcPr>
            <w:tcW w:w="8788" w:type="dxa"/>
          </w:tcPr>
          <w:p w:rsidR="00C44F8C" w:rsidRPr="00C44F8C" w:rsidRDefault="00C44F8C" w:rsidP="00C44F8C">
            <w:pPr>
              <w:suppressAutoHyphens w:val="0"/>
              <w:spacing w:line="240" w:lineRule="auto"/>
              <w:rPr>
                <w:sz w:val="18"/>
                <w:szCs w:val="18"/>
                <w:vertAlign w:val="superscript"/>
              </w:rPr>
            </w:pPr>
            <w:r w:rsidRPr="00C44F8C">
              <w:rPr>
                <w:rFonts w:eastAsia="Calibri"/>
                <w:sz w:val="18"/>
                <w:szCs w:val="18"/>
              </w:rPr>
              <w:t xml:space="preserve">Tous les matières et objets de la division 1.1 du groupe de compatibilité A </w:t>
            </w:r>
            <w:r w:rsidRPr="00C44F8C">
              <w:rPr>
                <w:rFonts w:eastAsia="Calibri"/>
                <w:sz w:val="18"/>
                <w:szCs w:val="18"/>
                <w:vertAlign w:val="superscript"/>
              </w:rPr>
              <w:t>1)</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vertAlign w:val="superscript"/>
              </w:rPr>
            </w:pPr>
            <w:r w:rsidRPr="00C44F8C">
              <w:rPr>
                <w:rFonts w:eastAsia="Calibri"/>
                <w:sz w:val="18"/>
                <w:szCs w:val="18"/>
              </w:rPr>
              <w:t xml:space="preserve">Tous les matières et objets de la division 1.1 des groupes de compatibilité B, C, D, E, F, G, J ou L </w:t>
            </w:r>
            <w:r w:rsidRPr="00C44F8C">
              <w:rPr>
                <w:rFonts w:eastAsia="Calibri"/>
                <w:sz w:val="18"/>
                <w:szCs w:val="18"/>
                <w:vertAlign w:val="superscript"/>
              </w:rPr>
              <w:t>2)</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rPr>
            </w:pPr>
            <w:r w:rsidRPr="00C44F8C">
              <w:rPr>
                <w:rFonts w:eastAsia="Calibri"/>
                <w:sz w:val="18"/>
                <w:szCs w:val="18"/>
              </w:rPr>
              <w:t>Tous les matières et objets de la division 1.2 des groupes de compatibilité B, C, D, E, F, G, H, J ou L</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vertAlign w:val="superscript"/>
              </w:rPr>
            </w:pPr>
            <w:r w:rsidRPr="00C44F8C">
              <w:rPr>
                <w:rFonts w:eastAsia="Calibri"/>
                <w:sz w:val="18"/>
                <w:szCs w:val="18"/>
              </w:rPr>
              <w:t xml:space="preserve">Tous les matières et objets de la division 1.3 des groupes de compatibilité C, G, H, J ou L </w:t>
            </w:r>
            <w:r w:rsidRPr="00C44F8C">
              <w:rPr>
                <w:rFonts w:eastAsia="Calibri"/>
                <w:sz w:val="18"/>
                <w:szCs w:val="18"/>
                <w:vertAlign w:val="superscript"/>
              </w:rPr>
              <w:t>3)</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rPr>
            </w:pPr>
            <w:r w:rsidRPr="00C44F8C">
              <w:rPr>
                <w:rFonts w:eastAsia="Calibri"/>
                <w:sz w:val="18"/>
                <w:szCs w:val="18"/>
              </w:rPr>
              <w:t>Tous les matières et objets de la division 1.4 des groupes de compatibilité B, C, D, E, F, G ou S</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vertAlign w:val="superscript"/>
              </w:rPr>
            </w:pPr>
            <w:r w:rsidRPr="00C44F8C">
              <w:rPr>
                <w:rFonts w:eastAsia="Calibri"/>
                <w:sz w:val="18"/>
                <w:szCs w:val="18"/>
              </w:rPr>
              <w:t xml:space="preserve">Toutes les matières de la division 1.5 du groupe de compatibilité D </w:t>
            </w:r>
            <w:r w:rsidRPr="00C44F8C">
              <w:rPr>
                <w:rFonts w:eastAsia="Calibri"/>
                <w:sz w:val="18"/>
                <w:szCs w:val="18"/>
                <w:vertAlign w:val="superscript"/>
              </w:rPr>
              <w:t>2)</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vertAlign w:val="superscript"/>
              </w:rPr>
            </w:pPr>
            <w:r w:rsidRPr="00C44F8C">
              <w:rPr>
                <w:rFonts w:eastAsia="Calibri"/>
                <w:sz w:val="18"/>
                <w:szCs w:val="18"/>
              </w:rPr>
              <w:t xml:space="preserve">Tous les objets de division 1.6 du groupe de compatibilité N </w:t>
            </w:r>
            <w:r w:rsidRPr="00C44F8C">
              <w:rPr>
                <w:rFonts w:eastAsia="Calibri"/>
                <w:sz w:val="18"/>
                <w:szCs w:val="18"/>
                <w:vertAlign w:val="superscript"/>
              </w:rPr>
              <w:t>3)</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rPr>
                <w:sz w:val="18"/>
                <w:szCs w:val="18"/>
              </w:rPr>
            </w:pPr>
          </w:p>
        </w:tc>
        <w:tc>
          <w:tcPr>
            <w:tcW w:w="8788" w:type="dxa"/>
            <w:tcBorders>
              <w:right w:val="single" w:sz="6" w:space="0" w:color="auto"/>
            </w:tcBorders>
          </w:tcPr>
          <w:p w:rsidR="00C44F8C" w:rsidRPr="00C44F8C" w:rsidRDefault="00C44F8C" w:rsidP="00C44F8C">
            <w:pPr>
              <w:suppressAutoHyphens w:val="0"/>
              <w:spacing w:line="240" w:lineRule="auto"/>
              <w:rPr>
                <w:sz w:val="18"/>
                <w:szCs w:val="18"/>
              </w:rPr>
            </w:pPr>
            <w:r w:rsidRPr="00C44F8C">
              <w:rPr>
                <w:rFonts w:eastAsia="Calibri"/>
                <w:sz w:val="18"/>
                <w:szCs w:val="18"/>
              </w:rPr>
              <w:t>Emballages vides, non nettoyés</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rPr>
                <w:sz w:val="18"/>
                <w:szCs w:val="18"/>
              </w:rPr>
            </w:pPr>
          </w:p>
        </w:tc>
        <w:tc>
          <w:tcPr>
            <w:tcW w:w="8788" w:type="dxa"/>
          </w:tcPr>
          <w:p w:rsidR="00C44F8C" w:rsidRPr="00C44F8C" w:rsidRDefault="00C44F8C" w:rsidP="00C44F8C">
            <w:pPr>
              <w:suppressAutoHyphens w:val="0"/>
              <w:spacing w:line="240" w:lineRule="auto"/>
              <w:ind w:left="731" w:hanging="731"/>
              <w:rPr>
                <w:rFonts w:eastAsia="Calibri"/>
                <w:b/>
                <w:bCs/>
                <w:i/>
                <w:sz w:val="18"/>
                <w:szCs w:val="18"/>
              </w:rPr>
            </w:pPr>
            <w:r w:rsidRPr="00C44F8C">
              <w:rPr>
                <w:rFonts w:eastAsia="Calibri"/>
                <w:b/>
                <w:bCs/>
                <w:i/>
                <w:sz w:val="18"/>
                <w:szCs w:val="18"/>
              </w:rPr>
              <w:t>NOTA :</w:t>
            </w:r>
          </w:p>
          <w:p w:rsidR="00C44F8C" w:rsidRPr="00C44F8C" w:rsidRDefault="00C44F8C" w:rsidP="00C44F8C">
            <w:pPr>
              <w:suppressAutoHyphens w:val="0"/>
              <w:spacing w:line="240" w:lineRule="auto"/>
              <w:ind w:left="731" w:hanging="731"/>
              <w:rPr>
                <w:rFonts w:eastAsia="Calibri"/>
                <w:i/>
                <w:sz w:val="18"/>
                <w:szCs w:val="18"/>
              </w:rPr>
            </w:pPr>
            <w:r w:rsidRPr="00C44F8C">
              <w:rPr>
                <w:rFonts w:eastAsia="Calibri"/>
                <w:i/>
                <w:sz w:val="18"/>
                <w:szCs w:val="18"/>
                <w:vertAlign w:val="superscript"/>
              </w:rPr>
              <w:t xml:space="preserve">1) </w:t>
            </w:r>
            <w:r w:rsidRPr="00C44F8C">
              <w:rPr>
                <w:rFonts w:eastAsia="Calibri"/>
                <w:i/>
                <w:sz w:val="18"/>
                <w:szCs w:val="18"/>
              </w:rPr>
              <w:t>En trois lots au moins de 30 kg chacun maximum, distance entre les lots d’au moins 10,00 m.</w:t>
            </w:r>
          </w:p>
          <w:p w:rsidR="00C44F8C" w:rsidRPr="00C44F8C" w:rsidRDefault="00C44F8C" w:rsidP="00C44F8C">
            <w:pPr>
              <w:suppressAutoHyphens w:val="0"/>
              <w:spacing w:line="240" w:lineRule="auto"/>
              <w:ind w:left="731" w:hanging="731"/>
              <w:rPr>
                <w:rFonts w:eastAsia="Calibri"/>
                <w:i/>
                <w:sz w:val="18"/>
                <w:szCs w:val="18"/>
              </w:rPr>
            </w:pPr>
            <w:r w:rsidRPr="00C44F8C">
              <w:rPr>
                <w:rFonts w:eastAsia="Calibri"/>
                <w:i/>
                <w:sz w:val="18"/>
                <w:szCs w:val="18"/>
                <w:vertAlign w:val="superscript"/>
              </w:rPr>
              <w:t xml:space="preserve">2) </w:t>
            </w:r>
            <w:r w:rsidRPr="00C44F8C">
              <w:rPr>
                <w:rFonts w:eastAsia="Calibri"/>
                <w:i/>
                <w:sz w:val="18"/>
                <w:szCs w:val="18"/>
              </w:rPr>
              <w:t>En trois lots au moins de 5 000 kg chacun maximum, distance entre les lots d'au moins 10,00 m.</w:t>
            </w:r>
          </w:p>
          <w:p w:rsidR="00C44F8C" w:rsidRPr="00C44F8C" w:rsidRDefault="00C44F8C" w:rsidP="00C44F8C">
            <w:pPr>
              <w:suppressAutoHyphens w:val="0"/>
              <w:spacing w:line="240" w:lineRule="auto"/>
              <w:ind w:left="731" w:hanging="731"/>
              <w:rPr>
                <w:i/>
                <w:sz w:val="18"/>
                <w:szCs w:val="18"/>
              </w:rPr>
            </w:pPr>
            <w:r w:rsidRPr="00C44F8C">
              <w:rPr>
                <w:rFonts w:eastAsia="Calibri"/>
                <w:i/>
                <w:sz w:val="18"/>
                <w:szCs w:val="18"/>
                <w:vertAlign w:val="superscript"/>
              </w:rPr>
              <w:t xml:space="preserve">3) </w:t>
            </w:r>
            <w:r w:rsidRPr="00C44F8C">
              <w:rPr>
                <w:rFonts w:eastAsia="Calibri"/>
                <w:i/>
                <w:sz w:val="18"/>
                <w:szCs w:val="18"/>
              </w:rPr>
              <w:t>Pas plus de 100 000 kg par cale. Une cloison en bois est admise pour subdiviser une cale.</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93"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2</w:t>
            </w:r>
          </w:p>
        </w:tc>
        <w:tc>
          <w:tcPr>
            <w:tcW w:w="8788" w:type="dxa"/>
            <w:tcBorders>
              <w:top w:val="single" w:sz="6" w:space="0" w:color="auto"/>
              <w:bottom w:val="single" w:sz="6" w:space="0" w:color="auto"/>
              <w:right w:val="single" w:sz="6" w:space="0" w:color="auto"/>
            </w:tcBorders>
          </w:tcPr>
          <w:p w:rsidR="00C44F8C" w:rsidRPr="00C44F8C" w:rsidRDefault="00C44F8C" w:rsidP="00C44F8C">
            <w:pPr>
              <w:suppressAutoHyphens w:val="0"/>
              <w:spacing w:line="240" w:lineRule="auto"/>
              <w:rPr>
                <w:sz w:val="18"/>
                <w:szCs w:val="18"/>
              </w:rPr>
            </w:pPr>
            <w:r w:rsidRPr="00C44F8C">
              <w:rPr>
                <w:rFonts w:eastAsia="Calibri"/>
                <w:sz w:val="18"/>
                <w:szCs w:val="18"/>
              </w:rPr>
              <w:t>Toutes les marchandises pour lesquelles le modèle d’étiquette No. 2.1 est exigé à la colonne (5) du tableau A du chapitre 3.2 : total</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93"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jc w:val="center"/>
              <w:rPr>
                <w:sz w:val="18"/>
                <w:szCs w:val="18"/>
              </w:rPr>
            </w:pPr>
          </w:p>
        </w:tc>
        <w:tc>
          <w:tcPr>
            <w:tcW w:w="8788" w:type="dxa"/>
            <w:tcBorders>
              <w:top w:val="single" w:sz="6" w:space="0" w:color="auto"/>
              <w:bottom w:val="single" w:sz="6" w:space="0" w:color="auto"/>
              <w:right w:val="single" w:sz="6" w:space="0" w:color="auto"/>
            </w:tcBorders>
          </w:tcPr>
          <w:p w:rsidR="00C44F8C" w:rsidRPr="00C44F8C" w:rsidRDefault="00C44F8C" w:rsidP="00C44F8C">
            <w:pPr>
              <w:suppressAutoHyphens w:val="0"/>
              <w:spacing w:line="240" w:lineRule="auto"/>
              <w:rPr>
                <w:sz w:val="18"/>
                <w:szCs w:val="18"/>
              </w:rPr>
            </w:pPr>
            <w:r w:rsidRPr="00C44F8C">
              <w:rPr>
                <w:rFonts w:eastAsia="Calibri"/>
                <w:sz w:val="18"/>
                <w:szCs w:val="18"/>
              </w:rPr>
              <w:t>Toutes les marchandises pour lesquelles le modèle d’étiquette No. 2.3 est exigé à la colonne (5) du tableau A du chapitre 3.2 : total</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93"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Borders>
              <w:top w:val="single" w:sz="6" w:space="0" w:color="auto"/>
              <w:bottom w:val="single" w:sz="6" w:space="0" w:color="auto"/>
              <w:right w:val="single" w:sz="6" w:space="0" w:color="auto"/>
            </w:tcBorders>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93"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3</w:t>
            </w:r>
          </w:p>
        </w:tc>
        <w:tc>
          <w:tcPr>
            <w:tcW w:w="8788" w:type="dxa"/>
          </w:tcPr>
          <w:p w:rsidR="00C44F8C" w:rsidRPr="00C44F8C" w:rsidRDefault="00C44F8C" w:rsidP="00C44F8C">
            <w:pPr>
              <w:suppressAutoHyphens w:val="0"/>
              <w:spacing w:line="240" w:lineRule="auto"/>
              <w:rPr>
                <w:sz w:val="18"/>
                <w:szCs w:val="18"/>
              </w:rPr>
            </w:pPr>
            <w:r w:rsidRPr="00C44F8C">
              <w:rPr>
                <w:rFonts w:eastAsia="Calibri"/>
                <w:sz w:val="18"/>
                <w:szCs w:val="18"/>
              </w:rPr>
              <w:t>Toutes les marchandises des groupes d'emballage I ou II,</w:t>
            </w:r>
            <w:r w:rsidRPr="00C44F8C">
              <w:rPr>
                <w:rFonts w:eastAsia="Calibri"/>
                <w:sz w:val="18"/>
                <w:szCs w:val="18"/>
              </w:rPr>
              <w:br/>
              <w:t>pour lesquelles le modèle d'étiquette No. 6.1 est exigée à la colonne (5) du tableau A du chapitre 3.2 : total</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93"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Autres marchandises : total</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bottom w:val="nil"/>
            </w:tcBorders>
          </w:tcPr>
          <w:p w:rsidR="00C44F8C" w:rsidRPr="00C44F8C" w:rsidRDefault="00C44F8C" w:rsidP="00C44F8C">
            <w:pPr>
              <w:pageBreakBefore/>
              <w:suppressAutoHyphens w:val="0"/>
              <w:spacing w:line="240" w:lineRule="auto"/>
              <w:ind w:left="-113"/>
              <w:jc w:val="center"/>
              <w:rPr>
                <w:b/>
                <w:sz w:val="18"/>
                <w:szCs w:val="18"/>
              </w:rPr>
            </w:pPr>
            <w:r w:rsidRPr="00C44F8C">
              <w:rPr>
                <w:b/>
                <w:sz w:val="18"/>
                <w:szCs w:val="18"/>
              </w:rPr>
              <w:lastRenderedPageBreak/>
              <w:t>4.1</w:t>
            </w: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Nos. ONU 3221, 3222, 3231 et 3232 : total</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suppressAutoHyphens w:val="0"/>
              <w:spacing w:line="240" w:lineRule="auto"/>
              <w:rPr>
                <w:rFonts w:eastAsia="Calibri"/>
                <w:sz w:val="18"/>
                <w:szCs w:val="18"/>
              </w:rPr>
            </w:pPr>
            <w:r w:rsidRPr="00C44F8C">
              <w:rPr>
                <w:rFonts w:eastAsia="Calibri"/>
                <w:sz w:val="18"/>
                <w:szCs w:val="18"/>
              </w:rPr>
              <w:t>Toutes les marchandises du groupe d'emballage I ;</w:t>
            </w:r>
          </w:p>
          <w:p w:rsidR="00C44F8C" w:rsidRPr="00C44F8C" w:rsidRDefault="00C44F8C" w:rsidP="00FC2E6F">
            <w:pPr>
              <w:rPr>
                <w:rFonts w:eastAsia="Calibri"/>
              </w:rPr>
            </w:pPr>
            <w:r w:rsidRPr="00C44F8C">
              <w:rPr>
                <w:rFonts w:eastAsia="Calibri"/>
              </w:rPr>
              <w:t>Toutes les marchandises du groupe d’emballage II, pour lesquelles le modèle d'étiquette No. 6.1 est exigé à la colonne (5) du tableau A du chapitre 3.2 ;</w:t>
            </w:r>
          </w:p>
          <w:p w:rsidR="00C44F8C" w:rsidRPr="00C44F8C" w:rsidRDefault="00C44F8C" w:rsidP="00C44F8C">
            <w:pPr>
              <w:suppressAutoHyphens w:val="0"/>
              <w:spacing w:line="240" w:lineRule="auto"/>
              <w:rPr>
                <w:rFonts w:eastAsia="Calibri"/>
                <w:sz w:val="18"/>
                <w:szCs w:val="18"/>
              </w:rPr>
            </w:pPr>
            <w:r w:rsidRPr="00C44F8C">
              <w:rPr>
                <w:rFonts w:eastAsia="Calibri"/>
                <w:sz w:val="18"/>
                <w:szCs w:val="18"/>
              </w:rPr>
              <w:t xml:space="preserve">Les matières </w:t>
            </w:r>
            <w:proofErr w:type="spellStart"/>
            <w:r w:rsidRPr="00C44F8C">
              <w:rPr>
                <w:rFonts w:eastAsia="Calibri"/>
                <w:sz w:val="18"/>
                <w:szCs w:val="18"/>
              </w:rPr>
              <w:t>autoréactives</w:t>
            </w:r>
            <w:proofErr w:type="spellEnd"/>
            <w:r w:rsidRPr="00C44F8C">
              <w:rPr>
                <w:rFonts w:eastAsia="Calibri"/>
                <w:sz w:val="18"/>
                <w:szCs w:val="18"/>
              </w:rPr>
              <w:t xml:space="preserve"> des types C, D, E et F (Nos ONU 3223 à 3230 et 3233 à 3240) ; </w:t>
            </w:r>
          </w:p>
          <w:p w:rsidR="00C44F8C" w:rsidRPr="00C44F8C" w:rsidRDefault="00C44F8C" w:rsidP="00C44F8C">
            <w:pPr>
              <w:suppressAutoHyphens w:val="0"/>
              <w:spacing w:line="240" w:lineRule="auto"/>
              <w:rPr>
                <w:rFonts w:eastAsia="Calibri"/>
                <w:sz w:val="18"/>
                <w:szCs w:val="18"/>
              </w:rPr>
            </w:pPr>
            <w:r w:rsidRPr="00C44F8C">
              <w:rPr>
                <w:rFonts w:eastAsia="Calibri"/>
                <w:sz w:val="18"/>
                <w:szCs w:val="18"/>
              </w:rPr>
              <w:t>Toutes les autres matières de code de classification SR1 ou SR2 (Nos ONU 2956, 3241, 3242 et 3251) ;</w:t>
            </w:r>
          </w:p>
          <w:p w:rsidR="00C44F8C" w:rsidRPr="00C44F8C" w:rsidRDefault="00C44F8C" w:rsidP="00C44F8C">
            <w:pPr>
              <w:suppressAutoHyphens w:val="0"/>
              <w:spacing w:line="240" w:lineRule="auto"/>
              <w:rPr>
                <w:sz w:val="18"/>
                <w:szCs w:val="18"/>
              </w:rPr>
            </w:pPr>
            <w:proofErr w:type="gramStart"/>
            <w:r w:rsidRPr="00C44F8C">
              <w:rPr>
                <w:rFonts w:eastAsia="Calibri"/>
                <w:sz w:val="18"/>
                <w:szCs w:val="18"/>
              </w:rPr>
              <w:t>et</w:t>
            </w:r>
            <w:proofErr w:type="gramEnd"/>
            <w:r w:rsidRPr="00C44F8C">
              <w:rPr>
                <w:rFonts w:eastAsia="Calibri"/>
                <w:sz w:val="18"/>
                <w:szCs w:val="18"/>
              </w:rPr>
              <w:t xml:space="preserve"> les matières explosibles désensibilisées du groupe d’emballage II (Nos ONU 2907, 3319 et 3344) : total </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80B6B">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rPr>
                <w:sz w:val="18"/>
                <w:szCs w:val="18"/>
              </w:rPr>
            </w:pPr>
          </w:p>
        </w:tc>
        <w:tc>
          <w:tcPr>
            <w:tcW w:w="426" w:type="dxa"/>
          </w:tcPr>
          <w:p w:rsidR="00C44F8C" w:rsidRPr="00C44F8C" w:rsidRDefault="00C44F8C" w:rsidP="00C44F8C">
            <w:pPr>
              <w:suppressAutoHyphens w:val="0"/>
              <w:spacing w:line="240" w:lineRule="auto"/>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4.2</w:t>
            </w:r>
          </w:p>
        </w:tc>
        <w:tc>
          <w:tcPr>
            <w:tcW w:w="8788" w:type="dxa"/>
          </w:tcPr>
          <w:p w:rsidR="00C44F8C" w:rsidRPr="00C44F8C" w:rsidRDefault="00C44F8C" w:rsidP="00C44F8C">
            <w:pPr>
              <w:suppressAutoHyphens w:val="0"/>
              <w:spacing w:line="240" w:lineRule="auto"/>
              <w:rPr>
                <w:sz w:val="18"/>
                <w:szCs w:val="18"/>
              </w:rPr>
            </w:pPr>
            <w:r w:rsidRPr="00C44F8C">
              <w:rPr>
                <w:rFonts w:eastAsia="Calibri"/>
                <w:sz w:val="18"/>
                <w:szCs w:val="18"/>
              </w:rPr>
              <w:t>Toutes les marchandises des groupes d'emballage I ou II pour lesquelles une étiquette du modèle No 6.1 est exigée à la colonne (5) du tableau A du chapitre 3.2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4.3</w:t>
            </w:r>
          </w:p>
        </w:tc>
        <w:tc>
          <w:tcPr>
            <w:tcW w:w="8788" w:type="dxa"/>
          </w:tcPr>
          <w:p w:rsidR="00C44F8C" w:rsidRPr="00C44F8C" w:rsidRDefault="00C44F8C" w:rsidP="00C44F8C">
            <w:pPr>
              <w:suppressAutoHyphens w:val="0"/>
              <w:spacing w:line="240" w:lineRule="auto"/>
              <w:rPr>
                <w:sz w:val="18"/>
                <w:szCs w:val="18"/>
              </w:rPr>
            </w:pPr>
            <w:r w:rsidRPr="00C44F8C">
              <w:rPr>
                <w:rFonts w:eastAsia="Calibri"/>
                <w:sz w:val="18"/>
                <w:szCs w:val="18"/>
              </w:rPr>
              <w:t xml:space="preserve">Toutes les marchandises des groupes d'emballage I ou II pour lesquelles une étiquette du modèle No. 3, 4.1 ou 6.1 est exigée à la </w:t>
            </w:r>
            <w:proofErr w:type="gramStart"/>
            <w:r w:rsidRPr="00C44F8C">
              <w:rPr>
                <w:rFonts w:eastAsia="Calibri"/>
                <w:sz w:val="18"/>
                <w:szCs w:val="18"/>
              </w:rPr>
              <w:t>colonne(</w:t>
            </w:r>
            <w:proofErr w:type="gramEnd"/>
            <w:r w:rsidRPr="00C44F8C">
              <w:rPr>
                <w:rFonts w:eastAsia="Calibri"/>
                <w:sz w:val="18"/>
                <w:szCs w:val="18"/>
              </w:rPr>
              <w:t>5) du tableau A du chapitre 3.2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5.1</w:t>
            </w:r>
          </w:p>
        </w:tc>
        <w:tc>
          <w:tcPr>
            <w:tcW w:w="8788" w:type="dxa"/>
          </w:tcPr>
          <w:p w:rsidR="00C44F8C" w:rsidRPr="00C44F8C" w:rsidRDefault="00C44F8C" w:rsidP="00C44F8C">
            <w:pPr>
              <w:suppressAutoHyphens w:val="0"/>
              <w:spacing w:line="240" w:lineRule="auto"/>
              <w:rPr>
                <w:sz w:val="18"/>
                <w:szCs w:val="18"/>
              </w:rPr>
            </w:pPr>
            <w:r w:rsidRPr="00C44F8C">
              <w:rPr>
                <w:rFonts w:eastAsia="Calibri"/>
                <w:sz w:val="18"/>
                <w:szCs w:val="18"/>
              </w:rPr>
              <w:t>Toutes les marchandises des groupes d'emballage I ou II pour lesquelles une étiquette du modèle No 6.1 est exigée à la colonne (5) du tableau A du chapitre 3.2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5.2</w:t>
            </w: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Nos. ONU 3101, 3102, 3111 et 3112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6.1</w:t>
            </w: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Toutes les marchandises du groupe d’emballage I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Toutes les marchandises du groupe d’emballage II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Toutes les marchandises transportées en vrac</w:t>
            </w: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7</w:t>
            </w:r>
          </w:p>
        </w:tc>
        <w:tc>
          <w:tcPr>
            <w:tcW w:w="8788" w:type="dxa"/>
          </w:tcPr>
          <w:p w:rsidR="00C44F8C" w:rsidRPr="00C44F8C" w:rsidRDefault="00C44F8C" w:rsidP="00C44F8C">
            <w:pPr>
              <w:suppressAutoHyphens w:val="0"/>
              <w:spacing w:line="240" w:lineRule="auto"/>
              <w:rPr>
                <w:sz w:val="18"/>
                <w:szCs w:val="18"/>
              </w:rPr>
            </w:pPr>
            <w:r w:rsidRPr="00C44F8C">
              <w:rPr>
                <w:rFonts w:eastAsia="Calibri"/>
                <w:sz w:val="18"/>
                <w:szCs w:val="18"/>
              </w:rPr>
              <w:t>Nos. ONU 2912, 2913, 2915, 2916, 2917, 2919, 2977, 2978 et 3321 à 3333</w:t>
            </w: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8</w:t>
            </w:r>
          </w:p>
        </w:tc>
        <w:tc>
          <w:tcPr>
            <w:tcW w:w="8788" w:type="dxa"/>
          </w:tcPr>
          <w:p w:rsidR="00C44F8C" w:rsidRPr="00C44F8C" w:rsidRDefault="00C44F8C" w:rsidP="00C44F8C">
            <w:pPr>
              <w:suppressAutoHyphens w:val="0"/>
              <w:spacing w:line="240" w:lineRule="auto"/>
              <w:rPr>
                <w:rFonts w:eastAsia="Calibri"/>
                <w:sz w:val="18"/>
                <w:szCs w:val="18"/>
              </w:rPr>
            </w:pPr>
            <w:r w:rsidRPr="00C44F8C">
              <w:rPr>
                <w:rFonts w:eastAsia="Calibri"/>
                <w:sz w:val="18"/>
                <w:szCs w:val="18"/>
              </w:rPr>
              <w:t>Toutes les marchandises du groupe d'emballage I ;</w:t>
            </w:r>
          </w:p>
          <w:p w:rsidR="00C44F8C" w:rsidRPr="00C44F8C" w:rsidRDefault="00C44F8C" w:rsidP="00C44F8C">
            <w:pPr>
              <w:suppressAutoHyphens w:val="0"/>
              <w:spacing w:line="240" w:lineRule="auto"/>
              <w:rPr>
                <w:sz w:val="18"/>
                <w:szCs w:val="18"/>
              </w:rPr>
            </w:pPr>
            <w:r w:rsidRPr="00C44F8C">
              <w:rPr>
                <w:rFonts w:eastAsia="Calibri"/>
                <w:sz w:val="18"/>
                <w:szCs w:val="18"/>
              </w:rPr>
              <w:t>Toutes les marchandises du groupe d'emballage II pour lesquelles une étiquette du modèle No.3 ou 6.1 est exigée à la colonne (5) du tableau A du chapitre 3.2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single" w:sz="4" w:space="0" w:color="auto"/>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r w:rsidR="00C44F8C" w:rsidRPr="00C44F8C" w:rsidTr="00FC2E6F">
        <w:tc>
          <w:tcPr>
            <w:tcW w:w="852" w:type="dxa"/>
            <w:tcBorders>
              <w:bottom w:val="nil"/>
            </w:tcBorders>
          </w:tcPr>
          <w:p w:rsidR="00C44F8C" w:rsidRPr="00C44F8C" w:rsidRDefault="00C44F8C" w:rsidP="00C44F8C">
            <w:pPr>
              <w:suppressAutoHyphens w:val="0"/>
              <w:spacing w:line="240" w:lineRule="auto"/>
              <w:ind w:left="-111"/>
              <w:jc w:val="center"/>
              <w:rPr>
                <w:b/>
                <w:sz w:val="18"/>
                <w:szCs w:val="18"/>
              </w:rPr>
            </w:pPr>
            <w:r w:rsidRPr="00C44F8C">
              <w:rPr>
                <w:b/>
                <w:sz w:val="18"/>
                <w:szCs w:val="18"/>
              </w:rPr>
              <w:t>9</w:t>
            </w: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rFonts w:eastAsia="Calibri"/>
                <w:sz w:val="18"/>
                <w:szCs w:val="18"/>
              </w:rPr>
              <w:t>Toutes les marchandises du groupe d’emballage II : total</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bottom w:val="nil"/>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suppressAutoHyphens w:val="0"/>
              <w:spacing w:line="240" w:lineRule="auto"/>
              <w:rPr>
                <w:sz w:val="18"/>
                <w:szCs w:val="18"/>
              </w:rPr>
            </w:pPr>
            <w:r w:rsidRPr="00C44F8C">
              <w:rPr>
                <w:rFonts w:eastAsia="Calibri"/>
                <w:sz w:val="18"/>
                <w:szCs w:val="18"/>
              </w:rPr>
              <w:t xml:space="preserve">No ONU 3077, pour les marchandises transportées en vrac et considérées comme dangereuses pour le milieu aquatique, toxicité aiguë 1 ou toxicité chronique 1, conformément au 2.4.3  </w:t>
            </w:r>
          </w:p>
        </w:tc>
        <w:tc>
          <w:tcPr>
            <w:tcW w:w="425" w:type="dxa"/>
          </w:tcPr>
          <w:p w:rsidR="00C44F8C" w:rsidRPr="00C44F8C" w:rsidRDefault="00C44F8C" w:rsidP="00C44F8C">
            <w:pPr>
              <w:suppressAutoHyphens w:val="0"/>
              <w:spacing w:line="240" w:lineRule="auto"/>
              <w:jc w:val="center"/>
              <w:rPr>
                <w:sz w:val="18"/>
                <w:szCs w:val="18"/>
              </w:rPr>
            </w:pPr>
            <w:r w:rsidRPr="00C44F8C">
              <w:rPr>
                <w:sz w:val="18"/>
                <w:szCs w:val="18"/>
              </w:rPr>
              <w:t>X</w:t>
            </w: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r>
      <w:tr w:rsidR="00C44F8C" w:rsidRPr="00C44F8C" w:rsidTr="00FC2E6F">
        <w:tc>
          <w:tcPr>
            <w:tcW w:w="852" w:type="dxa"/>
            <w:tcBorders>
              <w:top w:val="nil"/>
            </w:tcBorders>
          </w:tcPr>
          <w:p w:rsidR="00C44F8C" w:rsidRPr="00C44F8C" w:rsidRDefault="00C44F8C" w:rsidP="00C44F8C">
            <w:pPr>
              <w:suppressAutoHyphens w:val="0"/>
              <w:spacing w:line="240" w:lineRule="auto"/>
              <w:ind w:left="-111"/>
              <w:jc w:val="center"/>
              <w:rPr>
                <w:sz w:val="18"/>
                <w:szCs w:val="18"/>
              </w:rPr>
            </w:pPr>
          </w:p>
        </w:tc>
        <w:tc>
          <w:tcPr>
            <w:tcW w:w="8788" w:type="dxa"/>
          </w:tcPr>
          <w:p w:rsidR="00C44F8C" w:rsidRPr="00C44F8C" w:rsidRDefault="00C44F8C" w:rsidP="00C44F8C">
            <w:pPr>
              <w:tabs>
                <w:tab w:val="left" w:pos="-340"/>
                <w:tab w:val="left" w:pos="1418"/>
              </w:tabs>
              <w:suppressAutoHyphens w:val="0"/>
              <w:overflowPunct w:val="0"/>
              <w:autoSpaceDE w:val="0"/>
              <w:autoSpaceDN w:val="0"/>
              <w:adjustRightInd w:val="0"/>
              <w:spacing w:line="240" w:lineRule="auto"/>
              <w:textAlignment w:val="baseline"/>
              <w:rPr>
                <w:sz w:val="18"/>
                <w:szCs w:val="18"/>
              </w:rPr>
            </w:pPr>
            <w:r w:rsidRPr="00C44F8C">
              <w:rPr>
                <w:sz w:val="18"/>
                <w:szCs w:val="18"/>
              </w:rPr>
              <w:t>Autres marchandises</w:t>
            </w:r>
          </w:p>
        </w:tc>
        <w:tc>
          <w:tcPr>
            <w:tcW w:w="425" w:type="dxa"/>
          </w:tcPr>
          <w:p w:rsidR="00C44F8C" w:rsidRPr="00C44F8C" w:rsidRDefault="00C44F8C" w:rsidP="00C44F8C">
            <w:pPr>
              <w:suppressAutoHyphens w:val="0"/>
              <w:spacing w:line="240" w:lineRule="auto"/>
              <w:jc w:val="center"/>
              <w:rPr>
                <w:sz w:val="18"/>
                <w:szCs w:val="18"/>
              </w:rPr>
            </w:pPr>
          </w:p>
        </w:tc>
        <w:tc>
          <w:tcPr>
            <w:tcW w:w="426"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25" w:type="dxa"/>
          </w:tcPr>
          <w:p w:rsidR="00C44F8C" w:rsidRPr="00C44F8C" w:rsidRDefault="00C44F8C" w:rsidP="00C44F8C">
            <w:pPr>
              <w:suppressAutoHyphens w:val="0"/>
              <w:spacing w:line="240" w:lineRule="auto"/>
              <w:jc w:val="center"/>
              <w:rPr>
                <w:sz w:val="18"/>
                <w:szCs w:val="18"/>
              </w:rPr>
            </w:pPr>
          </w:p>
        </w:tc>
        <w:tc>
          <w:tcPr>
            <w:tcW w:w="493"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p>
        </w:tc>
        <w:tc>
          <w:tcPr>
            <w:tcW w:w="459" w:type="dxa"/>
          </w:tcPr>
          <w:p w:rsidR="00C44F8C" w:rsidRPr="00C44F8C" w:rsidRDefault="00C44F8C" w:rsidP="00C44F8C">
            <w:pPr>
              <w:suppressAutoHyphens w:val="0"/>
              <w:spacing w:line="240" w:lineRule="auto"/>
              <w:jc w:val="center"/>
              <w:rPr>
                <w:sz w:val="18"/>
                <w:szCs w:val="18"/>
              </w:rPr>
            </w:pPr>
            <w:r w:rsidRPr="00C44F8C">
              <w:rPr>
                <w:sz w:val="18"/>
                <w:szCs w:val="18"/>
              </w:rPr>
              <w:t>X</w:t>
            </w:r>
          </w:p>
        </w:tc>
      </w:tr>
    </w:tbl>
    <w:p w:rsidR="00AE1716" w:rsidRPr="00C80B6B" w:rsidRDefault="00C80B6B" w:rsidP="00C80B6B">
      <w:pPr>
        <w:pStyle w:val="SingleTxtG"/>
        <w:spacing w:before="240" w:after="0"/>
        <w:jc w:val="center"/>
        <w:rPr>
          <w:u w:val="single"/>
        </w:rPr>
      </w:pPr>
      <w:r>
        <w:rPr>
          <w:u w:val="single"/>
        </w:rPr>
        <w:tab/>
      </w:r>
      <w:r>
        <w:rPr>
          <w:u w:val="single"/>
        </w:rPr>
        <w:tab/>
      </w:r>
      <w:r>
        <w:rPr>
          <w:u w:val="single"/>
        </w:rPr>
        <w:tab/>
      </w:r>
    </w:p>
    <w:sectPr w:rsidR="00AE1716" w:rsidRPr="00C80B6B" w:rsidSect="00FC2E6F">
      <w:headerReference w:type="even" r:id="rId12"/>
      <w:headerReference w:type="default" r:id="rId13"/>
      <w:footerReference w:type="even" r:id="rId14"/>
      <w:footerReference w:type="default" r:id="rId15"/>
      <w:headerReference w:type="first" r:id="rId16"/>
      <w:foot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89" w:rsidRDefault="007C1289"/>
  </w:endnote>
  <w:endnote w:type="continuationSeparator" w:id="0">
    <w:p w:rsidR="007C1289" w:rsidRDefault="007C1289"/>
  </w:endnote>
  <w:endnote w:type="continuationNotice" w:id="1">
    <w:p w:rsidR="007C1289" w:rsidRDefault="007C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DE1188">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6F" w:rsidRDefault="00FC2E6F" w:rsidP="00FC2E6F">
    <w:pPr>
      <w:pStyle w:val="Footer"/>
      <w:jc w:val="right"/>
    </w:pPr>
    <w:r w:rsidRPr="0029776B">
      <w:rPr>
        <w:b/>
        <w:sz w:val="18"/>
      </w:rPr>
      <w:fldChar w:fldCharType="begin"/>
    </w:r>
    <w:r w:rsidRPr="0029776B">
      <w:rPr>
        <w:b/>
        <w:sz w:val="18"/>
      </w:rPr>
      <w:instrText xml:space="preserve"> PAGE  \* MERGEFORMAT </w:instrText>
    </w:r>
    <w:r w:rsidRPr="0029776B">
      <w:rPr>
        <w:b/>
        <w:sz w:val="18"/>
      </w:rPr>
      <w:fldChar w:fldCharType="separate"/>
    </w:r>
    <w:r w:rsidR="00DE1188">
      <w:rPr>
        <w:b/>
        <w:noProof/>
        <w:sz w:val="18"/>
      </w:rPr>
      <w:t>3</w:t>
    </w:r>
    <w:r w:rsidRPr="00297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6F" w:rsidRPr="00FC2E6F" w:rsidRDefault="00FC2E6F" w:rsidP="00FC2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C4" w:rsidRDefault="007167C4" w:rsidP="00FC2E6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8C" w:rsidRDefault="00C4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89" w:rsidRPr="00D27D5E" w:rsidRDefault="007C1289" w:rsidP="00D27D5E">
      <w:pPr>
        <w:tabs>
          <w:tab w:val="right" w:pos="2155"/>
        </w:tabs>
        <w:spacing w:after="80"/>
        <w:ind w:left="680"/>
        <w:rPr>
          <w:u w:val="single"/>
        </w:rPr>
      </w:pPr>
      <w:r>
        <w:rPr>
          <w:u w:val="single"/>
        </w:rPr>
        <w:tab/>
      </w:r>
    </w:p>
  </w:footnote>
  <w:footnote w:type="continuationSeparator" w:id="0">
    <w:p w:rsidR="007C1289" w:rsidRPr="00A80554" w:rsidRDefault="007C1289" w:rsidP="00A80554">
      <w:pPr>
        <w:tabs>
          <w:tab w:val="left" w:pos="2155"/>
        </w:tabs>
        <w:spacing w:after="80"/>
        <w:ind w:left="680"/>
        <w:rPr>
          <w:u w:val="single"/>
        </w:rPr>
      </w:pPr>
      <w:r w:rsidRPr="00A80554">
        <w:rPr>
          <w:u w:val="single"/>
        </w:rPr>
        <w:tab/>
      </w:r>
    </w:p>
  </w:footnote>
  <w:footnote w:type="continuationNotice" w:id="1">
    <w:p w:rsidR="007C1289" w:rsidRDefault="007C1289"/>
  </w:footnote>
  <w:footnote w:id="2">
    <w:p w:rsidR="00550462" w:rsidRPr="00550462" w:rsidRDefault="00550462" w:rsidP="00550462">
      <w:pPr>
        <w:pStyle w:val="FootnoteText"/>
        <w:rPr>
          <w:lang w:val="fr-CH"/>
        </w:rPr>
      </w:pPr>
      <w:r>
        <w:rPr>
          <w:rStyle w:val="FootnoteReference"/>
        </w:rPr>
        <w:tab/>
      </w:r>
      <w:r w:rsidRPr="00550462">
        <w:rPr>
          <w:rStyle w:val="FootnoteReference"/>
          <w:sz w:val="20"/>
          <w:vertAlign w:val="baseline"/>
        </w:rPr>
        <w:t>*</w:t>
      </w:r>
      <w:r>
        <w:rPr>
          <w:rStyle w:val="FootnoteReference"/>
          <w:sz w:val="20"/>
          <w:vertAlign w:val="baseline"/>
        </w:rPr>
        <w:tab/>
      </w:r>
      <w:r w:rsidRPr="00550462">
        <w:t>Diffusé en langue allemande par la Commission centrale pour la navigation du Rhin sous la cote CCNR/ZKR/ADN/WP.15/AC.2/2018/</w:t>
      </w:r>
      <w:r>
        <w:t>4</w:t>
      </w:r>
      <w:r w:rsidR="00064369">
        <w:t>5</w:t>
      </w:r>
      <w:r w:rsidRPr="00550462">
        <w:t>.</w:t>
      </w:r>
    </w:p>
  </w:footnote>
  <w:footnote w:id="3">
    <w:p w:rsidR="00550462" w:rsidRDefault="00550462" w:rsidP="00550462">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CA36D4" w:rsidP="00F07C2C">
    <w:pPr>
      <w:pStyle w:val="Header"/>
      <w:rPr>
        <w:lang w:val="en-GB"/>
      </w:rPr>
    </w:pPr>
    <w:r>
      <w:rPr>
        <w:lang w:val="en-GB"/>
      </w:rPr>
      <w:t>ECE/TR</w:t>
    </w:r>
    <w:r w:rsidR="00740779">
      <w:rPr>
        <w:lang w:val="en-GB"/>
      </w:rPr>
      <w:t>ANS/WP.15/AC.2/2018/45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2A2B42" w:rsidP="00F07C2C">
    <w:pPr>
      <w:pStyle w:val="Header"/>
      <w:jc w:val="right"/>
      <w:rPr>
        <w:lang w:val="en-GB"/>
      </w:rPr>
    </w:pPr>
    <w:r w:rsidRPr="002A2B42">
      <w:rPr>
        <w:lang w:val="en-GB"/>
      </w:rPr>
      <w:t>ECE/TRANS/WP.15/AC</w:t>
    </w:r>
    <w:r w:rsidR="00CA36D4">
      <w:rPr>
        <w:lang w:val="en-GB"/>
      </w:rPr>
      <w:t>.2/2018/4</w:t>
    </w:r>
    <w:r w:rsidR="00740779">
      <w:rPr>
        <w:lang w:val="en-G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6F" w:rsidRPr="00FC2E6F" w:rsidRDefault="002E3C0A" w:rsidP="00FC2E6F">
    <w:r>
      <w:rPr>
        <w:noProof/>
      </w:rPr>
      <w:pict>
        <v:shapetype id="_x0000_t202" coordsize="21600,21600" o:spt="202" path="m,l,21600r21600,l21600,xe">
          <v:stroke joinstyle="miter"/>
          <v:path gradientshapeok="t" o:connecttype="rect"/>
        </v:shapetype>
        <v:shape id="_x0000_s6146" type="#_x0000_t202" style="position:absolute;margin-left:-41.2pt;margin-top:0;width:17.55pt;height:481.9pt;z-index:251659264;mso-wrap-style:square;mso-position-horizontal-relative:margin;mso-position-vertical-relative:margin" stroked="f">
          <v:textbox style="layout-flow:vertical" inset="0,0,0,0">
            <w:txbxContent>
              <w:p w:rsidR="00FC2E6F" w:rsidRPr="0029776B" w:rsidRDefault="00FC2E6F" w:rsidP="00FC2E6F">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DE1188">
                  <w:rPr>
                    <w:b/>
                    <w:noProof/>
                    <w:sz w:val="18"/>
                  </w:rPr>
                  <w:t>4</w:t>
                </w:r>
                <w:r w:rsidRPr="0029776B">
                  <w:rPr>
                    <w:b/>
                    <w:sz w:val="18"/>
                  </w:rPr>
                  <w:fldChar w:fldCharType="end"/>
                </w:r>
                <w:r>
                  <w:rPr>
                    <w:sz w:val="18"/>
                  </w:rPr>
                  <w:tab/>
                </w:r>
              </w:p>
              <w:p w:rsidR="00FC2E6F" w:rsidRDefault="00FC2E6F"/>
            </w:txbxContent>
          </v:textbox>
          <w10:wrap anchorx="margin" anchory="margin"/>
        </v:shape>
      </w:pict>
    </w:r>
    <w:r>
      <w:rPr>
        <w:noProof/>
      </w:rPr>
      <w:pict>
        <v:shape id="_x0000_s6145" type="#_x0000_t202" style="position:absolute;margin-left:771pt;margin-top:0;width:17pt;height:481.9pt;z-index:251658240;mso-wrap-style:square;mso-position-horizontal:absolute;mso-position-horizontal-relative:page;mso-position-vertical:absolute;mso-position-vertical-relative:margin" stroked="f">
          <v:textbox style="layout-flow:vertical" inset="0,0,0,0">
            <w:txbxContent>
              <w:p w:rsidR="00FC2E6F" w:rsidRPr="002A2B42" w:rsidRDefault="00FC2E6F" w:rsidP="00FC2E6F">
                <w:pPr>
                  <w:pStyle w:val="Header"/>
                  <w:rPr>
                    <w:lang w:val="en-GB"/>
                  </w:rPr>
                </w:pPr>
                <w:r>
                  <w:rPr>
                    <w:lang w:val="en-GB"/>
                  </w:rPr>
                  <w:t>ECE/TRANS/WP.15/AC.2/2018/45</w:t>
                </w:r>
              </w:p>
              <w:p w:rsidR="00FC2E6F" w:rsidRDefault="00FC2E6F"/>
            </w:txbxContent>
          </v:textbox>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6F" w:rsidRPr="00FC2E6F" w:rsidRDefault="002E3C0A" w:rsidP="00FC2E6F">
    <w:r>
      <w:rPr>
        <w:noProof/>
      </w:rPr>
      <w:pict>
        <v:shapetype id="_x0000_t202" coordsize="21600,21600" o:spt="202" path="m,l,21600r21600,l21600,xe">
          <v:stroke joinstyle="miter"/>
          <v:path gradientshapeok="t" o:connecttype="rect"/>
        </v:shapetype>
        <v:shape id="_x0000_s6148" type="#_x0000_t202" style="position:absolute;margin-left:-47.65pt;margin-top:0;width:17.55pt;height:481.9pt;z-index:251661312;mso-wrap-style:square;mso-position-horizontal-relative:margin;mso-position-vertical-relative:margin" stroked="f">
          <v:textbox style="layout-flow:vertical" inset="0,0,0,0">
            <w:txbxContent>
              <w:p w:rsidR="00FC2E6F" w:rsidRPr="0029776B" w:rsidRDefault="00FC2E6F" w:rsidP="00FC2E6F">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DE1188">
                  <w:rPr>
                    <w:b/>
                    <w:noProof/>
                    <w:sz w:val="18"/>
                  </w:rPr>
                  <w:t>5</w:t>
                </w:r>
                <w:r w:rsidRPr="0029776B">
                  <w:rPr>
                    <w:b/>
                    <w:sz w:val="18"/>
                  </w:rPr>
                  <w:fldChar w:fldCharType="end"/>
                </w:r>
              </w:p>
              <w:p w:rsidR="00FC2E6F" w:rsidRDefault="00FC2E6F"/>
            </w:txbxContent>
          </v:textbox>
          <w10:wrap anchorx="margin" anchory="margin"/>
        </v:shape>
      </w:pict>
    </w:r>
    <w:r>
      <w:rPr>
        <w:noProof/>
      </w:rPr>
      <w:pict>
        <v:shape id="_x0000_s6147" type="#_x0000_t202" style="position:absolute;margin-left:771pt;margin-top:0;width:17pt;height:481.9pt;z-index:251660288;mso-wrap-style:square;mso-position-horizontal:absolute;mso-position-horizontal-relative:page;mso-position-vertical:absolute;mso-position-vertical-relative:margin" stroked="f">
          <v:textbox style="layout-flow:vertical" inset="0,0,0,0">
            <w:txbxContent>
              <w:p w:rsidR="00FC2E6F" w:rsidRPr="002A2B42" w:rsidRDefault="00FC2E6F" w:rsidP="00FC2E6F">
                <w:pPr>
                  <w:pStyle w:val="Header"/>
                  <w:jc w:val="right"/>
                  <w:rPr>
                    <w:lang w:val="en-GB"/>
                  </w:rPr>
                </w:pPr>
                <w:r w:rsidRPr="002A2B42">
                  <w:rPr>
                    <w:lang w:val="en-GB"/>
                  </w:rPr>
                  <w:t>ECE/TRANS/WP.15/AC</w:t>
                </w:r>
                <w:r>
                  <w:rPr>
                    <w:lang w:val="en-GB"/>
                  </w:rPr>
                  <w:t>.2/2018/45</w:t>
                </w:r>
              </w:p>
              <w:p w:rsidR="00FC2E6F" w:rsidRDefault="00FC2E6F"/>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8C" w:rsidRPr="00C44F8C" w:rsidRDefault="00C44F8C" w:rsidP="00C44F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51"/>
    <o:shapelayout v:ext="edit">
      <o:idmap v:ext="edit" data="6"/>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328"/>
    <w:rsid w:val="0001457A"/>
    <w:rsid w:val="00016AC5"/>
    <w:rsid w:val="00022BD7"/>
    <w:rsid w:val="00030ADE"/>
    <w:rsid w:val="000312C0"/>
    <w:rsid w:val="00033A63"/>
    <w:rsid w:val="0004058B"/>
    <w:rsid w:val="000472A1"/>
    <w:rsid w:val="000507A8"/>
    <w:rsid w:val="0006085A"/>
    <w:rsid w:val="0006415C"/>
    <w:rsid w:val="00064369"/>
    <w:rsid w:val="000643B7"/>
    <w:rsid w:val="00066716"/>
    <w:rsid w:val="00071432"/>
    <w:rsid w:val="00072E86"/>
    <w:rsid w:val="000758B9"/>
    <w:rsid w:val="00081790"/>
    <w:rsid w:val="000828C8"/>
    <w:rsid w:val="00094EF2"/>
    <w:rsid w:val="000963EA"/>
    <w:rsid w:val="000964C7"/>
    <w:rsid w:val="000A49E0"/>
    <w:rsid w:val="000A7DE0"/>
    <w:rsid w:val="000A7EC2"/>
    <w:rsid w:val="000B34CA"/>
    <w:rsid w:val="000C0699"/>
    <w:rsid w:val="000D7E12"/>
    <w:rsid w:val="000E40A8"/>
    <w:rsid w:val="000E68FB"/>
    <w:rsid w:val="000F41F2"/>
    <w:rsid w:val="00104ADE"/>
    <w:rsid w:val="00114764"/>
    <w:rsid w:val="00114946"/>
    <w:rsid w:val="00114DAF"/>
    <w:rsid w:val="00115943"/>
    <w:rsid w:val="00127A72"/>
    <w:rsid w:val="0013180D"/>
    <w:rsid w:val="001350D7"/>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5EBF"/>
    <w:rsid w:val="00186EE9"/>
    <w:rsid w:val="00190399"/>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1E7E"/>
    <w:rsid w:val="00223B89"/>
    <w:rsid w:val="00225A8C"/>
    <w:rsid w:val="002308A6"/>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76B"/>
    <w:rsid w:val="002A1905"/>
    <w:rsid w:val="002A29C3"/>
    <w:rsid w:val="002A2B42"/>
    <w:rsid w:val="002A5D07"/>
    <w:rsid w:val="002A5F7F"/>
    <w:rsid w:val="002B2881"/>
    <w:rsid w:val="002B56D7"/>
    <w:rsid w:val="002C555D"/>
    <w:rsid w:val="002D0474"/>
    <w:rsid w:val="002D7928"/>
    <w:rsid w:val="002F2735"/>
    <w:rsid w:val="003016B7"/>
    <w:rsid w:val="00304272"/>
    <w:rsid w:val="00306511"/>
    <w:rsid w:val="00310720"/>
    <w:rsid w:val="00315D1C"/>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A95"/>
    <w:rsid w:val="003C5C5B"/>
    <w:rsid w:val="003D0BCD"/>
    <w:rsid w:val="003D1DF3"/>
    <w:rsid w:val="003D46A7"/>
    <w:rsid w:val="003D6C68"/>
    <w:rsid w:val="003D76E4"/>
    <w:rsid w:val="003F118A"/>
    <w:rsid w:val="003F6E0A"/>
    <w:rsid w:val="004005D0"/>
    <w:rsid w:val="00406E74"/>
    <w:rsid w:val="00413736"/>
    <w:rsid w:val="00413C00"/>
    <w:rsid w:val="00414425"/>
    <w:rsid w:val="004159D0"/>
    <w:rsid w:val="00421AC2"/>
    <w:rsid w:val="00422151"/>
    <w:rsid w:val="00423D55"/>
    <w:rsid w:val="004249E7"/>
    <w:rsid w:val="00426DA1"/>
    <w:rsid w:val="00430C92"/>
    <w:rsid w:val="0043277B"/>
    <w:rsid w:val="00434168"/>
    <w:rsid w:val="0044289E"/>
    <w:rsid w:val="00454017"/>
    <w:rsid w:val="00461870"/>
    <w:rsid w:val="00470793"/>
    <w:rsid w:val="00471DA9"/>
    <w:rsid w:val="00475DD2"/>
    <w:rsid w:val="00486E96"/>
    <w:rsid w:val="00491EC7"/>
    <w:rsid w:val="0049374F"/>
    <w:rsid w:val="00497A70"/>
    <w:rsid w:val="00497E7A"/>
    <w:rsid w:val="004A29A3"/>
    <w:rsid w:val="004A324B"/>
    <w:rsid w:val="004A331B"/>
    <w:rsid w:val="004A3778"/>
    <w:rsid w:val="004A5C90"/>
    <w:rsid w:val="004B06A1"/>
    <w:rsid w:val="004B154F"/>
    <w:rsid w:val="004B4325"/>
    <w:rsid w:val="004C3B4F"/>
    <w:rsid w:val="004D0EB7"/>
    <w:rsid w:val="004D254F"/>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0462"/>
    <w:rsid w:val="005611FF"/>
    <w:rsid w:val="005622F9"/>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E0743"/>
    <w:rsid w:val="006E19BA"/>
    <w:rsid w:val="006E3296"/>
    <w:rsid w:val="006E32C5"/>
    <w:rsid w:val="006E3B48"/>
    <w:rsid w:val="006E5FC7"/>
    <w:rsid w:val="006E7722"/>
    <w:rsid w:val="006F151C"/>
    <w:rsid w:val="00700CF9"/>
    <w:rsid w:val="0070347C"/>
    <w:rsid w:val="007167C4"/>
    <w:rsid w:val="007176C1"/>
    <w:rsid w:val="00737BCE"/>
    <w:rsid w:val="00740779"/>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289"/>
    <w:rsid w:val="007C1A44"/>
    <w:rsid w:val="007C360D"/>
    <w:rsid w:val="007D78D5"/>
    <w:rsid w:val="007E29D3"/>
    <w:rsid w:val="007E2F66"/>
    <w:rsid w:val="007F0F13"/>
    <w:rsid w:val="007F55CB"/>
    <w:rsid w:val="00812C1A"/>
    <w:rsid w:val="00816FA8"/>
    <w:rsid w:val="0081704B"/>
    <w:rsid w:val="00820CAD"/>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6FD8"/>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646D6"/>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02EF2"/>
    <w:rsid w:val="00A11C63"/>
    <w:rsid w:val="00A134EB"/>
    <w:rsid w:val="00A1547F"/>
    <w:rsid w:val="00A17EEC"/>
    <w:rsid w:val="00A2492E"/>
    <w:rsid w:val="00A31F07"/>
    <w:rsid w:val="00A41235"/>
    <w:rsid w:val="00A44CBA"/>
    <w:rsid w:val="00A45EBB"/>
    <w:rsid w:val="00A6343F"/>
    <w:rsid w:val="00A6502C"/>
    <w:rsid w:val="00A70163"/>
    <w:rsid w:val="00A71439"/>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C19"/>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07FA"/>
    <w:rsid w:val="00C1607E"/>
    <w:rsid w:val="00C218FD"/>
    <w:rsid w:val="00C2232D"/>
    <w:rsid w:val="00C24B53"/>
    <w:rsid w:val="00C261F8"/>
    <w:rsid w:val="00C33100"/>
    <w:rsid w:val="00C34C11"/>
    <w:rsid w:val="00C358CC"/>
    <w:rsid w:val="00C4302B"/>
    <w:rsid w:val="00C44F8C"/>
    <w:rsid w:val="00C45121"/>
    <w:rsid w:val="00C51BB4"/>
    <w:rsid w:val="00C63AC1"/>
    <w:rsid w:val="00C64B56"/>
    <w:rsid w:val="00C732D1"/>
    <w:rsid w:val="00C80B6B"/>
    <w:rsid w:val="00C836BC"/>
    <w:rsid w:val="00C940E9"/>
    <w:rsid w:val="00CA047F"/>
    <w:rsid w:val="00CA3500"/>
    <w:rsid w:val="00CA36D4"/>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4AC"/>
    <w:rsid w:val="00DD38E9"/>
    <w:rsid w:val="00DD5D73"/>
    <w:rsid w:val="00DE01E3"/>
    <w:rsid w:val="00DE0AF7"/>
    <w:rsid w:val="00DE1188"/>
    <w:rsid w:val="00DE24A4"/>
    <w:rsid w:val="00DE6D90"/>
    <w:rsid w:val="00DF002F"/>
    <w:rsid w:val="00DF1BEA"/>
    <w:rsid w:val="00DF1F03"/>
    <w:rsid w:val="00DF3492"/>
    <w:rsid w:val="00DF4DCE"/>
    <w:rsid w:val="00DF6551"/>
    <w:rsid w:val="00E02222"/>
    <w:rsid w:val="00E0244D"/>
    <w:rsid w:val="00E02CE0"/>
    <w:rsid w:val="00E11BBC"/>
    <w:rsid w:val="00E1236D"/>
    <w:rsid w:val="00E15EC6"/>
    <w:rsid w:val="00E22F40"/>
    <w:rsid w:val="00E23C0F"/>
    <w:rsid w:val="00E3052C"/>
    <w:rsid w:val="00E30A6C"/>
    <w:rsid w:val="00E53D77"/>
    <w:rsid w:val="00E5407C"/>
    <w:rsid w:val="00E55D71"/>
    <w:rsid w:val="00E60E30"/>
    <w:rsid w:val="00E6288C"/>
    <w:rsid w:val="00E653A2"/>
    <w:rsid w:val="00E65B70"/>
    <w:rsid w:val="00E6627D"/>
    <w:rsid w:val="00E7310A"/>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B65CC"/>
    <w:rsid w:val="00EC0734"/>
    <w:rsid w:val="00EC3132"/>
    <w:rsid w:val="00EC3FA6"/>
    <w:rsid w:val="00EC60C5"/>
    <w:rsid w:val="00ED0008"/>
    <w:rsid w:val="00ED1849"/>
    <w:rsid w:val="00ED265E"/>
    <w:rsid w:val="00ED7BEB"/>
    <w:rsid w:val="00EE2EA3"/>
    <w:rsid w:val="00EE43A7"/>
    <w:rsid w:val="00EF041A"/>
    <w:rsid w:val="00F01516"/>
    <w:rsid w:val="00F0189E"/>
    <w:rsid w:val="00F07C2C"/>
    <w:rsid w:val="00F12577"/>
    <w:rsid w:val="00F14D09"/>
    <w:rsid w:val="00F2271B"/>
    <w:rsid w:val="00F227C9"/>
    <w:rsid w:val="00F337B3"/>
    <w:rsid w:val="00F35A1F"/>
    <w:rsid w:val="00F37523"/>
    <w:rsid w:val="00F524AA"/>
    <w:rsid w:val="00F560CD"/>
    <w:rsid w:val="00F57129"/>
    <w:rsid w:val="00F852CB"/>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C0E86"/>
    <w:rsid w:val="00FC2E6F"/>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396945B3"/>
  <w15:chartTrackingRefBased/>
  <w15:docId w15:val="{396790DD-1228-40DE-9482-E3BBD48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table" w:customStyle="1" w:styleId="TableGrid10">
    <w:name w:val="Table Grid1"/>
    <w:basedOn w:val="TableNormal"/>
    <w:next w:val="TableGrid"/>
    <w:uiPriority w:val="39"/>
    <w:rsid w:val="00C44F8C"/>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41</TotalTime>
  <Pages>5</Pages>
  <Words>1416</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ECE-TRANS-WP.15-AC.2-2018-XYf.doc</vt:lpstr>
      <vt:lpstr>ECE-TRANS-WP.15-AC.2-2018-XYf.doc</vt:lpstr>
    </vt:vector>
  </TitlesOfParts>
  <Company>CSD</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ECE-TRANS-WP.15-AC.2-2018-XYf.doc</dc:title>
  <dc:subject/>
  <dc:creator>UNECE</dc:creator>
  <cp:keywords/>
  <dc:description/>
  <cp:lastModifiedBy>ECE-ADN-45 eng</cp:lastModifiedBy>
  <cp:revision>8</cp:revision>
  <cp:lastPrinted>2018-05-24T08:43:00Z</cp:lastPrinted>
  <dcterms:created xsi:type="dcterms:W3CDTF">2018-06-05T17:01:00Z</dcterms:created>
  <dcterms:modified xsi:type="dcterms:W3CDTF">2018-06-12T12:36:00Z</dcterms:modified>
</cp:coreProperties>
</file>