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85A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85A06" w:rsidP="00E85A06">
            <w:pPr>
              <w:jc w:val="right"/>
            </w:pPr>
            <w:r w:rsidRPr="00E85A06">
              <w:rPr>
                <w:sz w:val="40"/>
              </w:rPr>
              <w:t>ECE</w:t>
            </w:r>
            <w:r>
              <w:t>/TRANS/WP.15/AC.2/2018/51</w:t>
            </w:r>
          </w:p>
        </w:tc>
      </w:tr>
      <w:tr w:rsidR="002D5AAC" w:rsidRPr="00E85A0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85A0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85A06" w:rsidRDefault="00E85A06" w:rsidP="00E85A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June 2018</w:t>
            </w:r>
          </w:p>
          <w:p w:rsidR="00E85A06" w:rsidRDefault="00E85A06" w:rsidP="00E85A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85A06" w:rsidRPr="008D53B6" w:rsidRDefault="00E85A06" w:rsidP="00E85A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85A06" w:rsidRPr="00E85A06" w:rsidRDefault="00E85A06" w:rsidP="00E85A06">
      <w:pPr>
        <w:spacing w:before="120"/>
        <w:rPr>
          <w:sz w:val="28"/>
          <w:szCs w:val="28"/>
        </w:rPr>
      </w:pPr>
      <w:r w:rsidRPr="00E85A06">
        <w:rPr>
          <w:sz w:val="28"/>
          <w:szCs w:val="28"/>
        </w:rPr>
        <w:t>Комитет по внутреннему транспорту</w:t>
      </w:r>
    </w:p>
    <w:p w:rsidR="00E85A06" w:rsidRPr="00E85A06" w:rsidRDefault="00E85A06" w:rsidP="00E85A06">
      <w:pPr>
        <w:spacing w:before="120"/>
        <w:rPr>
          <w:b/>
          <w:sz w:val="24"/>
          <w:szCs w:val="24"/>
        </w:rPr>
      </w:pPr>
      <w:r w:rsidRPr="00E85A06">
        <w:rPr>
          <w:b/>
          <w:sz w:val="24"/>
          <w:szCs w:val="24"/>
        </w:rPr>
        <w:t>Рабочая группа по перевозкам опасных грузов</w:t>
      </w:r>
    </w:p>
    <w:p w:rsidR="00E85A06" w:rsidRPr="002045EF" w:rsidRDefault="00E85A06" w:rsidP="00E85A06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  <w:t>прилагаемым к Европейскому соглашению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:rsidR="00E85A06" w:rsidRPr="002045EF" w:rsidRDefault="00E85A06" w:rsidP="00E85A06">
      <w:pPr>
        <w:spacing w:before="120"/>
        <w:rPr>
          <w:b/>
        </w:rPr>
      </w:pPr>
      <w:r>
        <w:rPr>
          <w:b/>
          <w:bCs/>
        </w:rPr>
        <w:t>Тридцать третья сессия</w:t>
      </w:r>
    </w:p>
    <w:p w:rsidR="00E85A06" w:rsidRPr="002045EF" w:rsidRDefault="00E85A06" w:rsidP="00E85A06">
      <w:r>
        <w:t>Женева, 27–31 августа 2018 года</w:t>
      </w:r>
    </w:p>
    <w:p w:rsidR="00E85A06" w:rsidRPr="002045EF" w:rsidRDefault="00E85A06" w:rsidP="00E85A06">
      <w:r>
        <w:t>Пункт 4 b) предварительной повестки дня</w:t>
      </w:r>
    </w:p>
    <w:p w:rsidR="00E85A06" w:rsidRPr="002045EF" w:rsidRDefault="00E85A06" w:rsidP="00E85A06">
      <w:pPr>
        <w:rPr>
          <w:b/>
        </w:rPr>
      </w:pPr>
      <w:r>
        <w:rPr>
          <w:b/>
          <w:bCs/>
        </w:rPr>
        <w:t>Предложения о внесении поправок</w:t>
      </w:r>
      <w:r>
        <w:rPr>
          <w:b/>
          <w:bCs/>
        </w:rPr>
        <w:br/>
        <w:t>в Правила, прилагаемые к ВОПОГ:</w:t>
      </w:r>
    </w:p>
    <w:p w:rsidR="00E85A06" w:rsidRPr="002045EF" w:rsidRDefault="00E85A06" w:rsidP="00E85A06">
      <w:r>
        <w:rPr>
          <w:b/>
          <w:bCs/>
        </w:rPr>
        <w:t>другие предложения</w:t>
      </w:r>
    </w:p>
    <w:p w:rsidR="00E85A06" w:rsidRPr="002045EF" w:rsidRDefault="00E85A06" w:rsidP="00E85A06">
      <w:pPr>
        <w:pStyle w:val="HChG"/>
        <w:keepNext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Подраздел 1.1.3.6 ВОПОГ: изъятия, связанные с количествами, перевозимыми судами</w:t>
      </w:r>
    </w:p>
    <w:p w:rsidR="00E85A06" w:rsidRDefault="00E85A06" w:rsidP="00E85A06">
      <w:pPr>
        <w:pStyle w:val="H1G"/>
        <w:rPr>
          <w:b w:val="0"/>
          <w:bCs/>
          <w:szCs w:val="24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Передано правительством Германии</w:t>
      </w:r>
      <w:r w:rsidRPr="00E85A06">
        <w:rPr>
          <w:rStyle w:val="FootnoteReference"/>
          <w:b w:val="0"/>
          <w:bCs/>
          <w:position w:val="4"/>
          <w:szCs w:val="18"/>
          <w:vertAlign w:val="baseline"/>
          <w:lang w:val="ru-RU"/>
        </w:rPr>
        <w:footnoteReference w:customMarkFollows="1" w:id="1"/>
        <w:t>*</w:t>
      </w:r>
      <w:r w:rsidRPr="00E85A06">
        <w:rPr>
          <w:b w:val="0"/>
          <w:bCs/>
          <w:position w:val="4"/>
          <w:sz w:val="18"/>
          <w:szCs w:val="18"/>
          <w:lang w:val="ru-RU"/>
        </w:rPr>
        <w:t xml:space="preserve"> </w:t>
      </w:r>
      <w:r w:rsidRPr="00E85A06">
        <w:rPr>
          <w:rStyle w:val="FootnoteReference"/>
          <w:b w:val="0"/>
          <w:bCs/>
          <w:position w:val="4"/>
          <w:szCs w:val="18"/>
          <w:vertAlign w:val="baseline"/>
          <w:lang w:val="ru-RU"/>
        </w:rPr>
        <w:footnoteReference w:customMarkFollows="1" w:id="2"/>
        <w:t>**</w:t>
      </w:r>
    </w:p>
    <w:tbl>
      <w:tblPr>
        <w:tblW w:w="744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4848"/>
      </w:tblGrid>
      <w:tr w:rsidR="00E85A06" w:rsidRPr="00A87087" w:rsidTr="00E85A06">
        <w:tc>
          <w:tcPr>
            <w:tcW w:w="2599" w:type="dxa"/>
          </w:tcPr>
          <w:p w:rsidR="00E85A06" w:rsidRPr="00A87087" w:rsidRDefault="00E85A06" w:rsidP="00ED359B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7"/>
              <w:jc w:val="both"/>
              <w:textAlignment w:val="baseline"/>
              <w:rPr>
                <w:i/>
              </w:rPr>
            </w:pPr>
            <w:r>
              <w:rPr>
                <w:i/>
                <w:iCs/>
              </w:rPr>
              <w:t>Резюме</w:t>
            </w:r>
          </w:p>
        </w:tc>
        <w:tc>
          <w:tcPr>
            <w:tcW w:w="4848" w:type="dxa"/>
          </w:tcPr>
          <w:p w:rsidR="00E85A06" w:rsidRPr="00A87087" w:rsidRDefault="00E85A06" w:rsidP="00E85A06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134" w:hanging="1134"/>
              <w:jc w:val="both"/>
              <w:textAlignment w:val="baseline"/>
              <w:rPr>
                <w:lang w:val="fr-FR" w:eastAsia="fr-FR"/>
              </w:rPr>
            </w:pPr>
          </w:p>
        </w:tc>
      </w:tr>
      <w:tr w:rsidR="00E85A06" w:rsidRPr="00C245E0" w:rsidTr="00E85A06">
        <w:tc>
          <w:tcPr>
            <w:tcW w:w="2599" w:type="dxa"/>
            <w:tcBorders>
              <w:bottom w:val="single" w:sz="4" w:space="0" w:color="auto"/>
            </w:tcBorders>
          </w:tcPr>
          <w:p w:rsidR="00E85A06" w:rsidRPr="00840AFF" w:rsidRDefault="00E85A06" w:rsidP="00ED359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b/>
              </w:rPr>
            </w:pPr>
            <w:r w:rsidRPr="00840AFF">
              <w:rPr>
                <w:b/>
                <w:iCs/>
              </w:rPr>
              <w:t>Существо предложения</w:t>
            </w:r>
            <w:r>
              <w:rPr>
                <w:b/>
                <w:iCs/>
              </w:rPr>
              <w:t>:</w:t>
            </w:r>
          </w:p>
        </w:tc>
        <w:tc>
          <w:tcPr>
            <w:tcW w:w="4848" w:type="dxa"/>
          </w:tcPr>
          <w:p w:rsidR="00E85A06" w:rsidRPr="002045EF" w:rsidRDefault="00E85A06" w:rsidP="00ED359B">
            <w:pPr>
              <w:autoSpaceDE w:val="0"/>
              <w:autoSpaceDN w:val="0"/>
              <w:adjustRightInd w:val="0"/>
              <w:spacing w:before="60" w:after="60"/>
              <w:ind w:left="57"/>
              <w:rPr>
                <w:rFonts w:cs="Arial"/>
              </w:rPr>
            </w:pPr>
            <w:r>
              <w:t>Способы расчета массы брутто, указанной</w:t>
            </w:r>
            <w:r>
              <w:br/>
              <w:t>в подпункте 1.1.3.6.</w:t>
            </w:r>
            <w:proofErr w:type="gramStart"/>
            <w:r>
              <w:t>1</w:t>
            </w:r>
            <w:proofErr w:type="gramEnd"/>
            <w:r w:rsidRPr="00E85A06">
              <w:t xml:space="preserve"> </w:t>
            </w:r>
            <w:r>
              <w:t>а</w:t>
            </w:r>
            <w:r w:rsidRPr="00E85A06">
              <w:t>)</w:t>
            </w:r>
            <w:r>
              <w:t xml:space="preserve"> ВОПОГ, опасных грузов, перевозимых судами, не ясны.</w:t>
            </w:r>
          </w:p>
        </w:tc>
      </w:tr>
      <w:tr w:rsidR="00E85A06" w:rsidRPr="00C245E0" w:rsidTr="00E85A06">
        <w:tc>
          <w:tcPr>
            <w:tcW w:w="2599" w:type="dxa"/>
            <w:tcBorders>
              <w:bottom w:val="single" w:sz="4" w:space="0" w:color="auto"/>
            </w:tcBorders>
          </w:tcPr>
          <w:p w:rsidR="00E85A06" w:rsidRPr="00A87087" w:rsidRDefault="00E85A06" w:rsidP="00ED359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b/>
              </w:rPr>
            </w:pPr>
            <w:r w:rsidRPr="006A29B1">
              <w:rPr>
                <w:b/>
                <w:bCs/>
              </w:rPr>
              <w:t>Предлагаемое решение:</w:t>
            </w:r>
          </w:p>
        </w:tc>
        <w:tc>
          <w:tcPr>
            <w:tcW w:w="4848" w:type="dxa"/>
          </w:tcPr>
          <w:p w:rsidR="00E85A06" w:rsidRPr="002045EF" w:rsidRDefault="00E85A06" w:rsidP="00ED359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</w:pPr>
            <w:r>
              <w:t>Внести поправку к подпункту 1.1.3.6.</w:t>
            </w:r>
            <w:proofErr w:type="gramStart"/>
            <w:r>
              <w:t>1</w:t>
            </w:r>
            <w:proofErr w:type="gramEnd"/>
            <w:r w:rsidRPr="00E85A06">
              <w:t xml:space="preserve"> </w:t>
            </w:r>
            <w:r>
              <w:t>а</w:t>
            </w:r>
            <w:r w:rsidRPr="00E85A06">
              <w:t>)</w:t>
            </w:r>
            <w:r>
              <w:t xml:space="preserve"> ВОПОГ.</w:t>
            </w:r>
          </w:p>
        </w:tc>
      </w:tr>
      <w:tr w:rsidR="00E85A06" w:rsidRPr="00A87087" w:rsidTr="00E85A06">
        <w:tc>
          <w:tcPr>
            <w:tcW w:w="2599" w:type="dxa"/>
            <w:tcBorders>
              <w:top w:val="single" w:sz="4" w:space="0" w:color="auto"/>
            </w:tcBorders>
          </w:tcPr>
          <w:p w:rsidR="00E85A06" w:rsidRPr="00A87087" w:rsidRDefault="00E85A06" w:rsidP="00ED359B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b/>
              </w:rPr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4848" w:type="dxa"/>
          </w:tcPr>
          <w:p w:rsidR="00E85A06" w:rsidRPr="00A87087" w:rsidRDefault="00E85A06" w:rsidP="00ED359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</w:pPr>
            <w:r>
              <w:t>Отсутствуют.</w:t>
            </w:r>
          </w:p>
        </w:tc>
      </w:tr>
    </w:tbl>
    <w:p w:rsidR="00E85A06" w:rsidRPr="00E85A06" w:rsidRDefault="00E85A06" w:rsidP="00ED359B">
      <w:pPr>
        <w:pStyle w:val="HChG"/>
        <w:pageBreakBefore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E85A06" w:rsidRPr="002045EF" w:rsidRDefault="00E85A06" w:rsidP="00E85A06">
      <w:pPr>
        <w:pStyle w:val="SingleTxtG"/>
        <w:rPr>
          <w:bCs/>
          <w:lang w:val="ru-RU"/>
        </w:rPr>
      </w:pPr>
      <w:proofErr w:type="gramStart"/>
      <w:r>
        <w:rPr>
          <w:lang w:val="ru-RU"/>
        </w:rPr>
        <w:t>1.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разделе 1.1.3 ВОПОГ содержится несколько видов изъятий: помимо освобождения от действия некоторых положений ВОПОГ в зависимости от перевозимых судами количеств (1.1.3.6), существуют изъятия, связанные с видом перевозки (1.1.3.1), со специальными предписаниями и ограниченными или освобожденными количествами (1.1.3.4) или с перевозкой оборудования для хранения и производства электроэнергии (1.1.3.7).</w:t>
      </w:r>
    </w:p>
    <w:p w:rsidR="00E85A06" w:rsidRPr="002045EF" w:rsidRDefault="00E85A06" w:rsidP="00E85A06">
      <w:pPr>
        <w:pStyle w:val="SingleTxtG"/>
        <w:rPr>
          <w:bCs/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Эти различные правила изъятия могут применяться одновременно к различным перевозимым опасным грузам.</w:t>
      </w:r>
    </w:p>
    <w:p w:rsidR="00E85A06" w:rsidRPr="002045EF" w:rsidRDefault="00E85A06" w:rsidP="00E85A06">
      <w:pPr>
        <w:pStyle w:val="SingleTxtG"/>
        <w:rPr>
          <w:bCs/>
          <w:lang w:val="ru-RU"/>
        </w:rPr>
      </w:pPr>
      <w:proofErr w:type="gramStart"/>
      <w:r>
        <w:rPr>
          <w:lang w:val="ru-RU"/>
        </w:rPr>
        <w:t>3.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этой связи делегация Германии считает, что способы расчета значений массы брутто, которые указаны в подпункте 1.1.3.6.1</w:t>
      </w:r>
      <w:r w:rsidRPr="00E85A06">
        <w:rPr>
          <w:lang w:val="ru-RU"/>
        </w:rPr>
        <w:t xml:space="preserve"> </w:t>
      </w:r>
      <w:r>
        <w:rPr>
          <w:lang w:val="ru-RU"/>
        </w:rPr>
        <w:t>а</w:t>
      </w:r>
      <w:r w:rsidRPr="00E85A06">
        <w:rPr>
          <w:lang w:val="ru-RU"/>
        </w:rPr>
        <w:t>)</w:t>
      </w:r>
      <w:r>
        <w:rPr>
          <w:lang w:val="ru-RU"/>
        </w:rPr>
        <w:t xml:space="preserve"> ВОПОГ и</w:t>
      </w:r>
      <w:r w:rsidR="00ED359B">
        <w:rPr>
          <w:lang w:val="ru-RU"/>
        </w:rPr>
        <w:t xml:space="preserve"> являю</w:t>
      </w:r>
      <w:r>
        <w:rPr>
          <w:lang w:val="ru-RU"/>
        </w:rPr>
        <w:t>тся основанием для изъятия в зависимости от перевозимых судами количеств (3 000 кг или 300 кг), не ясны.</w:t>
      </w:r>
    </w:p>
    <w:p w:rsidR="00E85A06" w:rsidRPr="002045EF" w:rsidRDefault="00E85A06" w:rsidP="00E85A0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Просьба</w:t>
      </w:r>
    </w:p>
    <w:p w:rsidR="00E85A06" w:rsidRPr="002045EF" w:rsidRDefault="00E85A06" w:rsidP="00E85A06">
      <w:pPr>
        <w:pStyle w:val="SingleTxtG"/>
        <w:rPr>
          <w:rFonts w:cs="Arial"/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Включить в подраздел 1.1.3.6. ВОПОГ новый пункт следующего содержания:</w:t>
      </w:r>
    </w:p>
    <w:p w:rsidR="00E85A06" w:rsidRPr="002045EF" w:rsidRDefault="00E85A06" w:rsidP="00E85A06">
      <w:pPr>
        <w:pStyle w:val="SingleTxtG"/>
        <w:ind w:left="1701"/>
        <w:rPr>
          <w:rFonts w:cs="Arial"/>
          <w:lang w:val="ru-RU"/>
        </w:rPr>
      </w:pPr>
      <w:r>
        <w:rPr>
          <w:bCs/>
          <w:lang w:val="ru-RU"/>
        </w:rPr>
        <w:t>«</w:t>
      </w:r>
      <w:r w:rsidRPr="00B47BD9">
        <w:rPr>
          <w:b/>
          <w:bCs/>
          <w:u w:val="single"/>
          <w:lang w:val="ru-RU"/>
        </w:rPr>
        <w:t>1.1.3.6.3</w:t>
      </w:r>
      <w:r w:rsidRPr="00B47BD9">
        <w:rPr>
          <w:u w:val="single"/>
          <w:lang w:val="ru-RU"/>
        </w:rPr>
        <w:tab/>
        <w:t xml:space="preserve">Для целей этого подраздела не учитываются опасные грузы, освобожденные от действия правил в соответствии с </w:t>
      </w:r>
      <w:r w:rsidR="00ED359B">
        <w:rPr>
          <w:u w:val="single"/>
          <w:lang w:val="ru-RU"/>
        </w:rPr>
        <w:t>1.1.3.1 a), b) и d)–f),</w:t>
      </w:r>
      <w:r w:rsidR="00ED359B">
        <w:rPr>
          <w:u w:val="single"/>
          <w:lang w:val="ru-RU"/>
        </w:rPr>
        <w:br/>
      </w:r>
      <w:r w:rsidRPr="00B47BD9">
        <w:rPr>
          <w:u w:val="single"/>
          <w:lang w:val="ru-RU"/>
        </w:rPr>
        <w:t>1.1.3.2–1.1.3.5, 1.1.3.7, 1.1.3.9 и 1.1.3.10</w:t>
      </w:r>
      <w:r>
        <w:rPr>
          <w:lang w:val="ru-RU"/>
        </w:rPr>
        <w:t>».</w:t>
      </w:r>
    </w:p>
    <w:p w:rsidR="00E85A06" w:rsidRPr="002045EF" w:rsidRDefault="00E85A06" w:rsidP="00E85A0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Обоснование</w:t>
      </w:r>
    </w:p>
    <w:p w:rsidR="00E85A06" w:rsidRPr="002045EF" w:rsidRDefault="00E85A06" w:rsidP="00E85A06">
      <w:pPr>
        <w:pStyle w:val="SingleTxtG"/>
        <w:rPr>
          <w:rFonts w:cs="Arial"/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Эти поправки необходимы для того, чтобы иметь возможность четко определить, превышены ли соответствующие количественные пороговые величины, подпадающие под изъятие в соответствии с подразделом 1.1.3.6 ВОПОГ.</w:t>
      </w:r>
    </w:p>
    <w:p w:rsidR="00E85A06" w:rsidRPr="002045EF" w:rsidRDefault="00E85A06" w:rsidP="00E85A06">
      <w:pPr>
        <w:pStyle w:val="SingleTxtG"/>
        <w:rPr>
          <w:rFonts w:cs="Arial"/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Упомянутые изъятия в соответствии с </w:t>
      </w:r>
      <w:r w:rsidRPr="00B376D3">
        <w:rPr>
          <w:lang w:val="ru-RU"/>
        </w:rPr>
        <w:t>1.1.3.1 a), b) и d)–f), 1.1.3.2–1.1.3.5, 1.1.3.7, 1.1.3.9 и 1.1.3.10</w:t>
      </w:r>
      <w:r>
        <w:rPr>
          <w:lang w:val="ru-RU"/>
        </w:rPr>
        <w:t xml:space="preserve"> представляют собой более конкретные предписания, с которыми следует сверяться в первую очередь. Возможность применения изъятия, предусмотренного в подразделе 1.1.3.6 ВОПОГ, можно использовать только тогда, когда не применяются изъятия, упомянутые выше.</w:t>
      </w:r>
    </w:p>
    <w:p w:rsidR="00E85A06" w:rsidRPr="002045EF" w:rsidRDefault="00E85A06" w:rsidP="00E85A06">
      <w:pPr>
        <w:pStyle w:val="SingleTxtG"/>
        <w:rPr>
          <w:rFonts w:cs="Arial"/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Формулировка нового пункта взята из подраздела 1.1.3.6.5 ДОПОГ/МПОГ. Пункт 1.1.3.1</w:t>
      </w:r>
      <w:r w:rsidR="00ED359B">
        <w:rPr>
          <w:lang w:val="ru-RU"/>
        </w:rPr>
        <w:t xml:space="preserve"> </w:t>
      </w:r>
      <w:r>
        <w:rPr>
          <w:lang w:val="ru-RU"/>
        </w:rPr>
        <w:t>с</w:t>
      </w:r>
      <w:r w:rsidR="00ED359B">
        <w:rPr>
          <w:lang w:val="ru-RU"/>
        </w:rPr>
        <w:t>)</w:t>
      </w:r>
      <w:r>
        <w:rPr>
          <w:lang w:val="ru-RU"/>
        </w:rPr>
        <w:t xml:space="preserve"> не принимается во внимание, поскольку изъятие в этом предписании уже ограничено максимальными количествами, указанными в подразделе 1.1.3.6 ВОПОГ.</w:t>
      </w:r>
    </w:p>
    <w:p w:rsidR="00E85A06" w:rsidRPr="002045EF" w:rsidRDefault="00E85A06" w:rsidP="00E85A0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Безопасность</w:t>
      </w:r>
    </w:p>
    <w:p w:rsidR="00E85A06" w:rsidRPr="002045EF" w:rsidRDefault="00E85A06" w:rsidP="00E85A06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Данное изменение не влияет на безопасность перевозки. Изъятия, указанные в комментарии, согласованы в ВОПОГ относительно ДОПОГ/МПОГ. Нет сомнений в том, что эти изъятия не несут в себе никакого риска для безопасности, даже если в контексте подраздела 1.1.3.6 ВОПОГ должны будут перевозиться другие опасные грузы.</w:t>
      </w:r>
    </w:p>
    <w:p w:rsidR="00E85A06" w:rsidRPr="002045EF" w:rsidRDefault="00E85A06" w:rsidP="00ED359B">
      <w:pPr>
        <w:pStyle w:val="HChG"/>
        <w:pageBreakBefore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Имплементация</w:t>
      </w:r>
    </w:p>
    <w:p w:rsidR="00E85A06" w:rsidRPr="002045EF" w:rsidRDefault="00E85A06" w:rsidP="00E85A06">
      <w:pPr>
        <w:pStyle w:val="SingleTxtG"/>
        <w:rPr>
          <w:lang w:val="ru-RU"/>
        </w:rPr>
      </w:pPr>
      <w:proofErr w:type="gramStart"/>
      <w:r>
        <w:rPr>
          <w:lang w:val="ru-RU"/>
        </w:rPr>
        <w:t>9.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секторе судостроения или материально-технического обеспечения не требуется никаких изменений, которые могли бы стать ограничивающим фактором для соответствующих компаний. В результате перевозка будет облегчена. Нечетко сформулированное предписание уточнено, чтобы избежать любых вопросов относительно его толкования, и в соответствующих случаях это будет способствовать расширению существующей сферы применения изъятий, которая опирается на различные толкования.</w:t>
      </w:r>
    </w:p>
    <w:p w:rsidR="00E85A06" w:rsidRPr="00E85A06" w:rsidRDefault="00E85A06" w:rsidP="00E85A0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5A06" w:rsidRPr="00E85A06" w:rsidSect="00E85A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B9" w:rsidRPr="00A312BC" w:rsidRDefault="005E48B9" w:rsidP="00A312BC"/>
  </w:endnote>
  <w:endnote w:type="continuationSeparator" w:id="0">
    <w:p w:rsidR="005E48B9" w:rsidRPr="00A312BC" w:rsidRDefault="005E48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06" w:rsidRPr="00E85A06" w:rsidRDefault="00E85A06">
    <w:pPr>
      <w:pStyle w:val="Footer"/>
    </w:pPr>
    <w:r w:rsidRPr="00E85A06">
      <w:rPr>
        <w:b/>
        <w:sz w:val="18"/>
      </w:rPr>
      <w:fldChar w:fldCharType="begin"/>
    </w:r>
    <w:r w:rsidRPr="00E85A06">
      <w:rPr>
        <w:b/>
        <w:sz w:val="18"/>
      </w:rPr>
      <w:instrText xml:space="preserve"> PAGE  \* MERGEFORMAT </w:instrText>
    </w:r>
    <w:r w:rsidRPr="00E85A06">
      <w:rPr>
        <w:b/>
        <w:sz w:val="18"/>
      </w:rPr>
      <w:fldChar w:fldCharType="separate"/>
    </w:r>
    <w:r w:rsidR="002C3D12">
      <w:rPr>
        <w:b/>
        <w:noProof/>
        <w:sz w:val="18"/>
      </w:rPr>
      <w:t>2</w:t>
    </w:r>
    <w:r w:rsidRPr="00E85A06">
      <w:rPr>
        <w:b/>
        <w:sz w:val="18"/>
      </w:rPr>
      <w:fldChar w:fldCharType="end"/>
    </w:r>
    <w:r>
      <w:rPr>
        <w:b/>
        <w:sz w:val="18"/>
      </w:rPr>
      <w:tab/>
    </w:r>
    <w:r>
      <w:t>GE.18-09895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06" w:rsidRPr="00E85A06" w:rsidRDefault="00E85A06" w:rsidP="00E85A0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GE.18-09895</w:t>
    </w:r>
    <w:r>
      <w:tab/>
    </w:r>
    <w:r w:rsidRPr="00E85A06">
      <w:rPr>
        <w:b/>
        <w:sz w:val="18"/>
      </w:rPr>
      <w:fldChar w:fldCharType="begin"/>
    </w:r>
    <w:r w:rsidRPr="00E85A06">
      <w:rPr>
        <w:b/>
        <w:sz w:val="18"/>
      </w:rPr>
      <w:instrText xml:space="preserve"> PAGE  \* MERGEFORMAT </w:instrText>
    </w:r>
    <w:r w:rsidRPr="00E85A06">
      <w:rPr>
        <w:b/>
        <w:sz w:val="18"/>
      </w:rPr>
      <w:fldChar w:fldCharType="separate"/>
    </w:r>
    <w:r w:rsidR="002C3D12">
      <w:rPr>
        <w:b/>
        <w:noProof/>
        <w:sz w:val="18"/>
      </w:rPr>
      <w:t>3</w:t>
    </w:r>
    <w:r w:rsidRPr="00E85A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85A06" w:rsidRDefault="00E85A06" w:rsidP="00E85A0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09895  (</w:t>
    </w:r>
    <w:proofErr w:type="gramEnd"/>
    <w:r>
      <w:t>R)</w:t>
    </w:r>
    <w:r>
      <w:rPr>
        <w:lang w:val="en-US"/>
      </w:rPr>
      <w:t xml:space="preserve">  200618  210618</w:t>
    </w:r>
    <w:r>
      <w:br/>
    </w:r>
    <w:r w:rsidRPr="00E85A06">
      <w:rPr>
        <w:rFonts w:ascii="C39T30Lfz" w:hAnsi="C39T30Lfz"/>
        <w:kern w:val="14"/>
        <w:sz w:val="56"/>
      </w:rPr>
      <w:t></w:t>
    </w:r>
    <w:r w:rsidRPr="00E85A06">
      <w:rPr>
        <w:rFonts w:ascii="C39T30Lfz" w:hAnsi="C39T30Lfz"/>
        <w:kern w:val="14"/>
        <w:sz w:val="56"/>
      </w:rPr>
      <w:t></w:t>
    </w:r>
    <w:r w:rsidRPr="00E85A06">
      <w:rPr>
        <w:rFonts w:ascii="C39T30Lfz" w:hAnsi="C39T30Lfz"/>
        <w:kern w:val="14"/>
        <w:sz w:val="56"/>
      </w:rPr>
      <w:t></w:t>
    </w:r>
    <w:r w:rsidRPr="00E85A06">
      <w:rPr>
        <w:rFonts w:ascii="C39T30Lfz" w:hAnsi="C39T30Lfz"/>
        <w:kern w:val="14"/>
        <w:sz w:val="56"/>
      </w:rPr>
      <w:t></w:t>
    </w:r>
    <w:r w:rsidRPr="00E85A06">
      <w:rPr>
        <w:rFonts w:ascii="C39T30Lfz" w:hAnsi="C39T30Lfz"/>
        <w:kern w:val="14"/>
        <w:sz w:val="56"/>
      </w:rPr>
      <w:t></w:t>
    </w:r>
    <w:r w:rsidRPr="00E85A06">
      <w:rPr>
        <w:rFonts w:ascii="C39T30Lfz" w:hAnsi="C39T30Lfz"/>
        <w:kern w:val="14"/>
        <w:sz w:val="56"/>
      </w:rPr>
      <w:t></w:t>
    </w:r>
    <w:r w:rsidRPr="00E85A06">
      <w:rPr>
        <w:rFonts w:ascii="C39T30Lfz" w:hAnsi="C39T30Lfz"/>
        <w:kern w:val="14"/>
        <w:sz w:val="56"/>
      </w:rPr>
      <w:t></w:t>
    </w:r>
    <w:r w:rsidRPr="00E85A06">
      <w:rPr>
        <w:rFonts w:ascii="C39T30Lfz" w:hAnsi="C39T30Lfz"/>
        <w:kern w:val="14"/>
        <w:sz w:val="56"/>
      </w:rPr>
      <w:t></w:t>
    </w:r>
    <w:r w:rsidRPr="00E85A0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5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5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B9" w:rsidRPr="001075E9" w:rsidRDefault="005E48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48B9" w:rsidRDefault="005E48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85A06" w:rsidRPr="00E85A06" w:rsidRDefault="00E85A06">
      <w:pPr>
        <w:pStyle w:val="FootnoteText"/>
        <w:rPr>
          <w:sz w:val="20"/>
        </w:rPr>
      </w:pPr>
      <w:r>
        <w:tab/>
      </w:r>
      <w:r w:rsidRPr="00E85A06">
        <w:rPr>
          <w:rStyle w:val="FootnoteReference"/>
          <w:sz w:val="20"/>
          <w:vertAlign w:val="baseline"/>
        </w:rPr>
        <w:t>*</w:t>
      </w:r>
      <w:r w:rsidRPr="00E85A06">
        <w:rPr>
          <w:rStyle w:val="FootnoteReference"/>
          <w:vertAlign w:val="baseline"/>
        </w:rPr>
        <w:tab/>
      </w:r>
      <w:r>
        <w:t>Распространено на немецком языке Центральной комиссией судоходства по Рейну под условным обозначением CCNR/ZKR/ADN/WP.15/AC.2/2018/51.</w:t>
      </w:r>
    </w:p>
  </w:footnote>
  <w:footnote w:id="2">
    <w:p w:rsidR="00E85A06" w:rsidRPr="002045EF" w:rsidRDefault="00E85A06" w:rsidP="00E85A06">
      <w:pPr>
        <w:pStyle w:val="FootnoteText"/>
        <w:spacing w:after="240"/>
      </w:pPr>
      <w:r>
        <w:tab/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06" w:rsidRPr="00E85A06" w:rsidRDefault="00E85A06">
    <w:pPr>
      <w:pStyle w:val="Header"/>
    </w:pPr>
    <w:fldSimple w:instr=" TITLE  \* MERGEFORMAT ">
      <w:r w:rsidR="0026020A">
        <w:t>ECE/TRANS/WP.15/AC.2/2018/51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06" w:rsidRPr="00E85A06" w:rsidRDefault="00E85A06" w:rsidP="00E85A06">
    <w:pPr>
      <w:pStyle w:val="Header"/>
      <w:jc w:val="right"/>
    </w:pPr>
    <w:fldSimple w:instr=" TITLE  \* MERGEFORMAT ">
      <w:r w:rsidR="0026020A">
        <w:t>ECE/TRANS/WP.15/AC.2/2018/51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B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020A"/>
    <w:rsid w:val="0027151D"/>
    <w:rsid w:val="002A2EFC"/>
    <w:rsid w:val="002B0106"/>
    <w:rsid w:val="002B74B1"/>
    <w:rsid w:val="002C0E18"/>
    <w:rsid w:val="002C3D12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48B9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595C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85A06"/>
    <w:rsid w:val="00EA2C9F"/>
    <w:rsid w:val="00EA420E"/>
    <w:rsid w:val="00ED0BDA"/>
    <w:rsid w:val="00ED359B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E38EDD-92FF-43E4-8D80-6C92A878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E85A0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character" w:customStyle="1" w:styleId="HChGChar">
    <w:name w:val="_ H _Ch_G Char"/>
    <w:link w:val="HChG"/>
    <w:locked/>
    <w:rsid w:val="00E85A06"/>
    <w:rPr>
      <w:b/>
      <w:sz w:val="28"/>
      <w:lang w:val="fr-CH" w:eastAsia="en-US"/>
    </w:rPr>
  </w:style>
  <w:style w:type="paragraph" w:customStyle="1" w:styleId="H1G">
    <w:name w:val="_ H_1_G"/>
    <w:basedOn w:val="Normal"/>
    <w:next w:val="Normal"/>
    <w:link w:val="H1GChar"/>
    <w:rsid w:val="00E85A0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CH"/>
    </w:rPr>
  </w:style>
  <w:style w:type="character" w:customStyle="1" w:styleId="H1GChar">
    <w:name w:val="_ H_1_G Char"/>
    <w:link w:val="H1G"/>
    <w:locked/>
    <w:rsid w:val="00E85A06"/>
    <w:rPr>
      <w:b/>
      <w:sz w:val="24"/>
      <w:lang w:val="fr-CH" w:eastAsia="en-US"/>
    </w:rPr>
  </w:style>
  <w:style w:type="paragraph" w:customStyle="1" w:styleId="SingleTxtG">
    <w:name w:val="_ Single Txt_G"/>
    <w:basedOn w:val="Normal"/>
    <w:link w:val="SingleTxtGChar"/>
    <w:rsid w:val="00E85A06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SingleTxtGChar">
    <w:name w:val="_ Single Txt_G Char"/>
    <w:link w:val="SingleTxtG"/>
    <w:locked/>
    <w:rsid w:val="00E85A06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ECE/TRANS/WP.15/AC.2/2018/51</vt:lpstr>
      <vt:lpstr>ECE/TRANS/WP.15/AC.2/2018/51</vt:lpstr>
      <vt:lpstr>A/</vt:lpstr>
    </vt:vector>
  </TitlesOfParts>
  <Company>DCM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ECE/TRANS/WP.15/AC.2/2018/51</dc:title>
  <dc:subject/>
  <dc:creator>Anna KISSELEVA</dc:creator>
  <cp:keywords/>
  <cp:lastModifiedBy>Secretariat</cp:lastModifiedBy>
  <cp:revision>2</cp:revision>
  <cp:lastPrinted>2018-06-21T06:31:00Z</cp:lastPrinted>
  <dcterms:created xsi:type="dcterms:W3CDTF">2018-07-24T14:54:00Z</dcterms:created>
  <dcterms:modified xsi:type="dcterms:W3CDTF">2018-07-24T14:54:00Z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