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D924" w14:textId="33D70A99" w:rsidR="000759B9" w:rsidRPr="00AF0D45" w:rsidRDefault="000759B9" w:rsidP="000759B9">
      <w:pPr>
        <w:spacing w:line="240" w:lineRule="auto"/>
        <w:ind w:left="5387" w:right="-286"/>
        <w:outlineLvl w:val="0"/>
        <w:rPr>
          <w:rFonts w:ascii="Arial" w:eastAsia="Arial" w:hAnsi="Arial" w:cs="Arial"/>
          <w:bCs/>
          <w:szCs w:val="24"/>
          <w:lang w:val="de-DE" w:eastAsia="de-DE"/>
        </w:rPr>
      </w:pPr>
      <w:bookmarkStart w:id="0" w:name="_GoBack"/>
      <w:bookmarkEnd w:id="0"/>
      <w:r w:rsidRPr="00AF0D45">
        <w:rPr>
          <w:noProof/>
          <w:lang w:val="fr-FR" w:eastAsia="fr-FR"/>
        </w:rPr>
        <w:drawing>
          <wp:anchor distT="0" distB="0" distL="114300" distR="114300" simplePos="0" relativeHeight="251659264" behindDoc="0" locked="0" layoutInCell="1" allowOverlap="1" wp14:anchorId="7979200D" wp14:editId="36CF8D9B">
            <wp:simplePos x="0" y="0"/>
            <wp:positionH relativeFrom="column">
              <wp:posOffset>0</wp:posOffset>
            </wp:positionH>
            <wp:positionV relativeFrom="paragraph">
              <wp:posOffset>-68580</wp:posOffset>
            </wp:positionV>
            <wp:extent cx="1713865" cy="604520"/>
            <wp:effectExtent l="0" t="0" r="635" b="508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AF0D45">
        <w:rPr>
          <w:rFonts w:ascii="Arial" w:eastAsia="Arial" w:hAnsi="Arial" w:cs="Arial"/>
          <w:bCs/>
          <w:szCs w:val="24"/>
          <w:lang w:val="de-DE" w:eastAsia="de-DE"/>
        </w:rPr>
        <w:t>CCNR-ZKR/ADN/WP.15/AC.2/</w:t>
      </w:r>
      <w:r w:rsidR="00817513" w:rsidRPr="00AF0D45">
        <w:rPr>
          <w:rFonts w:ascii="Arial" w:eastAsia="Arial" w:hAnsi="Arial" w:cs="Arial"/>
          <w:bCs/>
          <w:szCs w:val="24"/>
          <w:lang w:val="de-DE" w:eastAsia="de-DE"/>
        </w:rPr>
        <w:t>68</w:t>
      </w:r>
    </w:p>
    <w:p w14:paraId="3354ED41" w14:textId="77777777" w:rsidR="000759B9" w:rsidRPr="00AF0D45" w:rsidRDefault="000759B9" w:rsidP="000759B9">
      <w:pPr>
        <w:spacing w:line="240" w:lineRule="auto"/>
        <w:ind w:left="5387" w:right="-286"/>
        <w:outlineLvl w:val="0"/>
        <w:rPr>
          <w:rFonts w:ascii="Arial" w:hAnsi="Arial" w:cs="Arial"/>
          <w:sz w:val="16"/>
          <w:szCs w:val="24"/>
          <w:lang w:val="de-DE" w:eastAsia="de-DE"/>
        </w:rPr>
      </w:pPr>
      <w:r w:rsidRPr="00AF0D45">
        <w:rPr>
          <w:rFonts w:ascii="Arial" w:hAnsi="Arial" w:cs="Arial"/>
          <w:sz w:val="16"/>
          <w:szCs w:val="24"/>
          <w:lang w:val="de-DE" w:eastAsia="de-DE"/>
        </w:rPr>
        <w:t>Allgemeine Verteilung</w:t>
      </w:r>
    </w:p>
    <w:p w14:paraId="5C1EB2C6" w14:textId="02E9245F" w:rsidR="000759B9" w:rsidRPr="00AF0D45" w:rsidRDefault="00817513" w:rsidP="000759B9">
      <w:pPr>
        <w:tabs>
          <w:tab w:val="right" w:pos="3856"/>
          <w:tab w:val="left" w:pos="5670"/>
        </w:tabs>
        <w:spacing w:line="240" w:lineRule="auto"/>
        <w:ind w:left="5387"/>
        <w:rPr>
          <w:rFonts w:ascii="Arial" w:eastAsia="Arial" w:hAnsi="Arial" w:cs="Arial"/>
          <w:szCs w:val="24"/>
          <w:lang w:val="de-DE" w:eastAsia="de-DE"/>
        </w:rPr>
      </w:pPr>
      <w:r w:rsidRPr="00AF0D45">
        <w:rPr>
          <w:rFonts w:ascii="Arial" w:eastAsia="Arial" w:hAnsi="Arial" w:cs="Arial"/>
          <w:szCs w:val="24"/>
          <w:lang w:val="de-DE" w:eastAsia="de-DE"/>
        </w:rPr>
        <w:t>1</w:t>
      </w:r>
      <w:r w:rsidR="000759B9" w:rsidRPr="00AF0D45">
        <w:rPr>
          <w:rFonts w:ascii="Arial" w:eastAsia="Arial" w:hAnsi="Arial" w:cs="Arial"/>
          <w:szCs w:val="24"/>
          <w:lang w:val="de-DE" w:eastAsia="de-DE"/>
        </w:rPr>
        <w:t xml:space="preserve">7. </w:t>
      </w:r>
      <w:r w:rsidRPr="00AF0D45">
        <w:rPr>
          <w:rFonts w:ascii="Arial" w:eastAsia="Arial" w:hAnsi="Arial" w:cs="Arial"/>
          <w:szCs w:val="24"/>
          <w:lang w:val="de-DE" w:eastAsia="de-DE"/>
        </w:rPr>
        <w:t>September</w:t>
      </w:r>
      <w:r w:rsidR="000759B9" w:rsidRPr="00AF0D45">
        <w:rPr>
          <w:rFonts w:ascii="Arial" w:eastAsia="Arial" w:hAnsi="Arial" w:cs="Arial"/>
          <w:szCs w:val="24"/>
          <w:lang w:val="de-DE" w:eastAsia="de-DE"/>
        </w:rPr>
        <w:t xml:space="preserve"> 2018</w:t>
      </w:r>
    </w:p>
    <w:p w14:paraId="20BD3FCE" w14:textId="77777777" w:rsidR="000759B9" w:rsidRPr="00AF0D45" w:rsidRDefault="000759B9" w:rsidP="000759B9">
      <w:pPr>
        <w:tabs>
          <w:tab w:val="right" w:pos="3856"/>
          <w:tab w:val="left" w:pos="5670"/>
        </w:tabs>
        <w:spacing w:line="240" w:lineRule="auto"/>
        <w:ind w:left="5387" w:right="565"/>
        <w:rPr>
          <w:rFonts w:ascii="Arial" w:hAnsi="Arial" w:cs="Arial"/>
          <w:snapToGrid w:val="0"/>
          <w:kern w:val="2"/>
          <w:lang w:val="de-DE" w:eastAsia="de-DE"/>
        </w:rPr>
      </w:pPr>
      <w:proofErr w:type="spellStart"/>
      <w:r w:rsidRPr="00AF0D45">
        <w:rPr>
          <w:rFonts w:ascii="Arial" w:eastAsia="Arial" w:hAnsi="Arial" w:cs="Arial"/>
          <w:sz w:val="16"/>
          <w:szCs w:val="24"/>
          <w:lang w:val="de-DE" w:eastAsia="de-DE"/>
        </w:rPr>
        <w:t>Or</w:t>
      </w:r>
      <w:proofErr w:type="spellEnd"/>
      <w:r w:rsidRPr="00AF0D45">
        <w:rPr>
          <w:rFonts w:ascii="Arial" w:eastAsia="Arial" w:hAnsi="Arial" w:cs="Arial"/>
          <w:sz w:val="16"/>
          <w:szCs w:val="24"/>
          <w:lang w:val="de-DE" w:eastAsia="de-DE"/>
        </w:rPr>
        <w:t>.  ENGLISCH</w:t>
      </w:r>
    </w:p>
    <w:p w14:paraId="17458E91" w14:textId="77777777" w:rsidR="000759B9" w:rsidRPr="00AF0D45" w:rsidRDefault="000759B9" w:rsidP="000759B9">
      <w:pPr>
        <w:spacing w:line="240" w:lineRule="auto"/>
        <w:rPr>
          <w:rFonts w:ascii="Arial" w:hAnsi="Arial" w:cs="Arial"/>
          <w:sz w:val="16"/>
          <w:szCs w:val="24"/>
          <w:lang w:val="de-DE" w:eastAsia="de-DE"/>
        </w:rPr>
      </w:pPr>
    </w:p>
    <w:p w14:paraId="627B0426" w14:textId="77777777" w:rsidR="000759B9" w:rsidRPr="00AF0D45" w:rsidRDefault="000759B9" w:rsidP="000759B9">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AF0D45">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14:paraId="245B1DD8" w14:textId="77777777" w:rsidR="000759B9" w:rsidRPr="00AF0D45" w:rsidRDefault="000759B9" w:rsidP="000759B9">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AF0D45">
        <w:rPr>
          <w:rFonts w:ascii="Arial" w:hAnsi="Arial" w:cs="Arial"/>
          <w:snapToGrid w:val="0"/>
          <w:sz w:val="16"/>
          <w:szCs w:val="16"/>
          <w:lang w:val="de-DE" w:eastAsia="fr-FR"/>
        </w:rPr>
        <w:t>BEIGEFÜGTE VERORDNUNG (ADN)</w:t>
      </w:r>
    </w:p>
    <w:p w14:paraId="56949A7E" w14:textId="77777777" w:rsidR="000759B9" w:rsidRPr="00AF0D45" w:rsidRDefault="000759B9" w:rsidP="000759B9">
      <w:pPr>
        <w:tabs>
          <w:tab w:val="left" w:pos="2977"/>
        </w:tabs>
        <w:spacing w:line="240" w:lineRule="auto"/>
        <w:ind w:left="4111" w:right="-2"/>
        <w:rPr>
          <w:rFonts w:ascii="Arial" w:hAnsi="Arial" w:cs="Arial"/>
          <w:snapToGrid w:val="0"/>
          <w:sz w:val="16"/>
          <w:szCs w:val="16"/>
          <w:lang w:val="de-DE" w:eastAsia="fr-FR"/>
        </w:rPr>
      </w:pPr>
      <w:r w:rsidRPr="00AF0D45">
        <w:rPr>
          <w:rFonts w:ascii="Arial" w:hAnsi="Arial" w:cs="Arial"/>
          <w:snapToGrid w:val="0"/>
          <w:sz w:val="16"/>
          <w:szCs w:val="16"/>
          <w:lang w:val="de-DE" w:eastAsia="fr-FR"/>
        </w:rPr>
        <w:t>(SICHERHEITSAUSSCHUSS)</w:t>
      </w:r>
    </w:p>
    <w:p w14:paraId="1DF7C85D" w14:textId="11561E88" w:rsidR="000759B9" w:rsidRPr="00AF0D45" w:rsidRDefault="000759B9" w:rsidP="000759B9">
      <w:pPr>
        <w:tabs>
          <w:tab w:val="left" w:pos="2977"/>
        </w:tabs>
        <w:spacing w:line="240" w:lineRule="auto"/>
        <w:ind w:left="4111" w:right="-2"/>
        <w:rPr>
          <w:rFonts w:ascii="Arial" w:hAnsi="Arial" w:cs="Arial"/>
          <w:snapToGrid w:val="0"/>
          <w:sz w:val="16"/>
          <w:szCs w:val="16"/>
          <w:lang w:val="de-DE" w:eastAsia="fr-FR"/>
        </w:rPr>
      </w:pPr>
      <w:r w:rsidRPr="00AF0D45">
        <w:rPr>
          <w:rFonts w:ascii="Arial" w:hAnsi="Arial" w:cs="Arial"/>
          <w:snapToGrid w:val="0"/>
          <w:sz w:val="16"/>
          <w:szCs w:val="16"/>
          <w:lang w:val="de-DE" w:eastAsia="fr-FR"/>
        </w:rPr>
        <w:t>(3</w:t>
      </w:r>
      <w:r w:rsidR="00817513" w:rsidRPr="00AF0D45">
        <w:rPr>
          <w:rFonts w:ascii="Arial" w:hAnsi="Arial" w:cs="Arial"/>
          <w:snapToGrid w:val="0"/>
          <w:sz w:val="16"/>
          <w:szCs w:val="16"/>
          <w:lang w:val="de-DE" w:eastAsia="fr-FR"/>
        </w:rPr>
        <w:t>3</w:t>
      </w:r>
      <w:r w:rsidRPr="00AF0D45">
        <w:rPr>
          <w:rFonts w:ascii="Arial" w:hAnsi="Arial" w:cs="Arial"/>
          <w:snapToGrid w:val="0"/>
          <w:sz w:val="16"/>
          <w:szCs w:val="16"/>
          <w:lang w:val="de-DE" w:eastAsia="fr-FR"/>
        </w:rPr>
        <w:t>. Tagung, Genf, 2</w:t>
      </w:r>
      <w:r w:rsidR="00817513" w:rsidRPr="00AF0D45">
        <w:rPr>
          <w:rFonts w:ascii="Arial" w:hAnsi="Arial" w:cs="Arial"/>
          <w:snapToGrid w:val="0"/>
          <w:sz w:val="16"/>
          <w:szCs w:val="16"/>
          <w:lang w:val="de-DE" w:eastAsia="fr-FR"/>
        </w:rPr>
        <w:t>7</w:t>
      </w:r>
      <w:r w:rsidRPr="00AF0D45">
        <w:rPr>
          <w:rFonts w:ascii="Arial" w:hAnsi="Arial" w:cs="Arial"/>
          <w:snapToGrid w:val="0"/>
          <w:sz w:val="16"/>
          <w:szCs w:val="16"/>
          <w:lang w:val="de-DE" w:eastAsia="fr-FR"/>
        </w:rPr>
        <w:t xml:space="preserve">. bis </w:t>
      </w:r>
      <w:r w:rsidR="00817513" w:rsidRPr="00AF0D45">
        <w:rPr>
          <w:rFonts w:ascii="Arial" w:hAnsi="Arial" w:cs="Arial"/>
          <w:snapToGrid w:val="0"/>
          <w:sz w:val="16"/>
          <w:szCs w:val="16"/>
          <w:lang w:val="de-DE" w:eastAsia="fr-FR"/>
        </w:rPr>
        <w:t>31</w:t>
      </w:r>
      <w:r w:rsidRPr="00AF0D45">
        <w:rPr>
          <w:rFonts w:ascii="Arial" w:hAnsi="Arial" w:cs="Arial"/>
          <w:snapToGrid w:val="0"/>
          <w:sz w:val="16"/>
          <w:szCs w:val="16"/>
          <w:lang w:val="de-DE" w:eastAsia="fr-FR"/>
        </w:rPr>
        <w:t xml:space="preserve">. </w:t>
      </w:r>
      <w:r w:rsidR="00817513" w:rsidRPr="00AF0D45">
        <w:rPr>
          <w:rFonts w:ascii="Arial" w:hAnsi="Arial" w:cs="Arial"/>
          <w:snapToGrid w:val="0"/>
          <w:sz w:val="16"/>
          <w:szCs w:val="16"/>
          <w:lang w:val="de-DE" w:eastAsia="fr-FR"/>
        </w:rPr>
        <w:t>August</w:t>
      </w:r>
      <w:r w:rsidRPr="00AF0D45">
        <w:rPr>
          <w:rFonts w:ascii="Arial" w:hAnsi="Arial" w:cs="Arial"/>
          <w:snapToGrid w:val="0"/>
          <w:sz w:val="16"/>
          <w:szCs w:val="16"/>
          <w:lang w:val="de-DE" w:eastAsia="fr-FR"/>
        </w:rPr>
        <w:t xml:space="preserve"> 2018)</w:t>
      </w:r>
    </w:p>
    <w:p w14:paraId="45CE638A" w14:textId="77777777" w:rsidR="000759B9" w:rsidRPr="00AF0D45" w:rsidRDefault="000759B9" w:rsidP="000759B9">
      <w:pPr>
        <w:keepNext/>
        <w:keepLines/>
        <w:tabs>
          <w:tab w:val="left" w:pos="6740"/>
        </w:tabs>
        <w:spacing w:before="300" w:after="240" w:line="300" w:lineRule="exact"/>
        <w:ind w:left="1134" w:right="1134" w:hanging="1134"/>
        <w:rPr>
          <w:b/>
          <w:sz w:val="28"/>
          <w:lang w:val="de-DE"/>
        </w:rPr>
      </w:pPr>
    </w:p>
    <w:p w14:paraId="100578B3" w14:textId="2C70116F" w:rsidR="009753E1" w:rsidRPr="00AF0D45" w:rsidRDefault="009753E1" w:rsidP="00983BD6">
      <w:pPr>
        <w:pStyle w:val="HChG"/>
        <w:spacing w:before="300"/>
        <w:rPr>
          <w:lang w:val="de-DE"/>
        </w:rPr>
      </w:pPr>
      <w:r w:rsidRPr="00AF0D45">
        <w:rPr>
          <w:lang w:val="de-DE"/>
        </w:rPr>
        <w:tab/>
      </w:r>
      <w:bookmarkStart w:id="1" w:name="_Toc410743246"/>
      <w:bookmarkStart w:id="2" w:name="_Toc428948781"/>
      <w:bookmarkStart w:id="3" w:name="_Toc442372095"/>
      <w:bookmarkStart w:id="4" w:name="_Toc505688398"/>
      <w:r w:rsidRPr="00AF0D45">
        <w:rPr>
          <w:lang w:val="de-DE"/>
        </w:rPr>
        <w:tab/>
      </w:r>
      <w:bookmarkEnd w:id="1"/>
      <w:bookmarkEnd w:id="2"/>
      <w:bookmarkEnd w:id="3"/>
      <w:bookmarkEnd w:id="4"/>
      <w:r w:rsidR="00983BD6" w:rsidRPr="00AF0D45">
        <w:rPr>
          <w:lang w:val="de-DE"/>
        </w:rPr>
        <w:t>Protokoll über die dreiunddreißigste Sitzung der Gemeinsamen Expertentagung für die dem Europäischen Übereinkommen über die internationale Beförderung von gefährlichen Gütern auf Binnenwasserstraßen beigefügte Verordnung (ADN-Sicherheitsausschuss)</w:t>
      </w:r>
      <w:r w:rsidR="00B403C0" w:rsidRPr="00B403C0">
        <w:rPr>
          <w:b w:val="0"/>
          <w:szCs w:val="28"/>
          <w:vertAlign w:val="superscript"/>
          <w:lang w:val="de-DE"/>
        </w:rPr>
        <w:t xml:space="preserve"> </w:t>
      </w:r>
      <w:r w:rsidR="00B403C0" w:rsidRPr="00B403C0">
        <w:rPr>
          <w:b w:val="0"/>
          <w:szCs w:val="28"/>
          <w:vertAlign w:val="superscript"/>
          <w:lang w:val="de-DE"/>
        </w:rPr>
        <w:footnoteReference w:customMarkFollows="1" w:id="2"/>
        <w:sym w:font="Symbol" w:char="F02A"/>
      </w:r>
    </w:p>
    <w:p w14:paraId="1DFD49A2" w14:textId="77777777" w:rsidR="00A34EAD" w:rsidRPr="00AF0D45" w:rsidRDefault="009753E1" w:rsidP="007B0D0B">
      <w:pPr>
        <w:pStyle w:val="HChG"/>
        <w:spacing w:before="120" w:after="0"/>
        <w:rPr>
          <w:lang w:val="de-DE"/>
        </w:rPr>
      </w:pPr>
      <w:bookmarkStart w:id="5" w:name="_Toc410743247"/>
      <w:bookmarkStart w:id="6" w:name="_Toc428948782"/>
      <w:bookmarkStart w:id="7" w:name="_Toc442372096"/>
      <w:bookmarkStart w:id="8" w:name="_Toc505688399"/>
      <w:r w:rsidRPr="00AF0D45">
        <w:rPr>
          <w:lang w:val="de-DE"/>
        </w:rPr>
        <w:tab/>
      </w:r>
      <w:r w:rsidR="00A34EAD" w:rsidRPr="00AF0D45">
        <w:rPr>
          <w:lang w:val="de-DE"/>
        </w:rPr>
        <w:br w:type="page"/>
      </w:r>
    </w:p>
    <w:bookmarkEnd w:id="5"/>
    <w:bookmarkEnd w:id="6"/>
    <w:bookmarkEnd w:id="7"/>
    <w:bookmarkEnd w:id="8"/>
    <w:p w14:paraId="3CF428D8" w14:textId="6D5877A0" w:rsidR="009753E1" w:rsidRPr="00AF0D45" w:rsidRDefault="00983BD6" w:rsidP="00983BD6">
      <w:pPr>
        <w:pStyle w:val="HChG"/>
        <w:spacing w:before="120" w:after="0"/>
        <w:rPr>
          <w:lang w:val="de-DE"/>
        </w:rPr>
      </w:pPr>
      <w:r w:rsidRPr="00AF0D45">
        <w:rPr>
          <w:lang w:val="de-DE"/>
        </w:rPr>
        <w:lastRenderedPageBreak/>
        <w:t>Inhalt</w:t>
      </w:r>
    </w:p>
    <w:p w14:paraId="7DCFBAAF" w14:textId="632CC68C" w:rsidR="009753E1" w:rsidRPr="00AF0D45" w:rsidRDefault="009753E1" w:rsidP="00983BD6">
      <w:pPr>
        <w:tabs>
          <w:tab w:val="right" w:pos="8929"/>
          <w:tab w:val="right" w:pos="9638"/>
        </w:tabs>
        <w:spacing w:after="120"/>
        <w:ind w:left="284"/>
        <w:rPr>
          <w:noProof/>
          <w:lang w:val="de-DE"/>
        </w:rPr>
      </w:pPr>
      <w:r w:rsidRPr="00AF0D45">
        <w:rPr>
          <w:i/>
          <w:sz w:val="18"/>
          <w:lang w:val="de-DE"/>
        </w:rPr>
        <w:tab/>
      </w:r>
      <w:r w:rsidR="00983BD6" w:rsidRPr="00AF0D45">
        <w:rPr>
          <w:i/>
          <w:sz w:val="18"/>
          <w:lang w:val="de-DE"/>
        </w:rPr>
        <w:t>Absätze</w:t>
      </w:r>
      <w:r w:rsidRPr="00AF0D45">
        <w:rPr>
          <w:i/>
          <w:sz w:val="18"/>
          <w:lang w:val="de-DE"/>
        </w:rPr>
        <w:tab/>
      </w:r>
      <w:r w:rsidR="00983BD6" w:rsidRPr="00AF0D45">
        <w:rPr>
          <w:i/>
          <w:sz w:val="18"/>
          <w:lang w:val="de-DE"/>
        </w:rPr>
        <w:t>Seite</w:t>
      </w:r>
    </w:p>
    <w:p w14:paraId="2539D213" w14:textId="204533C4" w:rsidR="009753E1" w:rsidRPr="00AF0D45" w:rsidRDefault="009753E1" w:rsidP="00983BD6">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lang w:val="de-DE"/>
        </w:rPr>
      </w:pPr>
      <w:r w:rsidRPr="00AF0D45">
        <w:rPr>
          <w:rStyle w:val="Hyperlink"/>
          <w:noProof/>
          <w:lang w:val="de-DE"/>
        </w:rPr>
        <w:tab/>
      </w:r>
      <w:r w:rsidR="00983BD6" w:rsidRPr="00AF0D45">
        <w:rPr>
          <w:rStyle w:val="Hyperlink"/>
          <w:lang w:val="de-DE"/>
        </w:rPr>
        <w:t>I.</w:t>
      </w:r>
      <w:r w:rsidRPr="00AF0D45">
        <w:rPr>
          <w:noProof/>
          <w:lang w:val="de-DE"/>
        </w:rPr>
        <w:tab/>
      </w:r>
      <w:r w:rsidR="00983BD6" w:rsidRPr="00AF0D45">
        <w:rPr>
          <w:lang w:val="de-DE"/>
        </w:rPr>
        <w:t>Teilnehmer</w:t>
      </w:r>
      <w:r w:rsidRPr="00AF0D45">
        <w:rPr>
          <w:noProof/>
          <w:webHidden/>
          <w:lang w:val="de-DE"/>
        </w:rPr>
        <w:tab/>
      </w:r>
      <w:r w:rsidRPr="00AF0D45">
        <w:rPr>
          <w:noProof/>
          <w:webHidden/>
          <w:lang w:val="de-DE"/>
        </w:rPr>
        <w:tab/>
        <w:t>1</w:t>
      </w:r>
      <w:r w:rsidR="00F675C8" w:rsidRPr="00AF0D45">
        <w:rPr>
          <w:noProof/>
          <w:webHidden/>
          <w:lang w:val="de-DE"/>
        </w:rPr>
        <w:t>-4</w:t>
      </w:r>
      <w:r w:rsidRPr="00AF0D45">
        <w:rPr>
          <w:noProof/>
          <w:webHidden/>
          <w:lang w:val="de-DE"/>
        </w:rPr>
        <w:tab/>
      </w:r>
      <w:r w:rsidR="001048F9" w:rsidRPr="00AF0D45">
        <w:rPr>
          <w:noProof/>
          <w:webHidden/>
          <w:lang w:val="de-DE"/>
        </w:rPr>
        <w:t>4</w:t>
      </w:r>
    </w:p>
    <w:p w14:paraId="363CD82D" w14:textId="3141374B" w:rsidR="009753E1" w:rsidRPr="00AF0D45" w:rsidRDefault="009753E1" w:rsidP="00983BD6">
      <w:pPr>
        <w:tabs>
          <w:tab w:val="right" w:pos="850"/>
          <w:tab w:val="left" w:pos="1134"/>
          <w:tab w:val="left" w:pos="1559"/>
          <w:tab w:val="left" w:pos="1984"/>
          <w:tab w:val="left" w:leader="dot" w:pos="8080"/>
          <w:tab w:val="right" w:pos="8929"/>
          <w:tab w:val="right" w:pos="9638"/>
        </w:tabs>
        <w:spacing w:after="120" w:line="220" w:lineRule="atLeast"/>
        <w:ind w:left="1134" w:hanging="1134"/>
        <w:rPr>
          <w:noProof/>
          <w:webHidden/>
          <w:lang w:val="de-DE"/>
        </w:rPr>
      </w:pPr>
      <w:r w:rsidRPr="00AF0D45">
        <w:rPr>
          <w:rStyle w:val="Hyperlink"/>
          <w:noProof/>
          <w:lang w:val="de-DE"/>
        </w:rPr>
        <w:tab/>
      </w:r>
      <w:r w:rsidR="00983BD6" w:rsidRPr="00AF0D45">
        <w:rPr>
          <w:rStyle w:val="Hyperlink"/>
          <w:lang w:val="de-DE"/>
        </w:rPr>
        <w:t>II.</w:t>
      </w:r>
      <w:r w:rsidRPr="00AF0D45">
        <w:rPr>
          <w:noProof/>
          <w:lang w:val="de-DE"/>
        </w:rPr>
        <w:tab/>
      </w:r>
      <w:r w:rsidR="00983BD6" w:rsidRPr="00AF0D45">
        <w:rPr>
          <w:lang w:val="de-DE"/>
        </w:rPr>
        <w:t>Genehmigung der Tagesordnung (TOP 1)</w:t>
      </w:r>
      <w:r w:rsidRPr="00AF0D45">
        <w:rPr>
          <w:noProof/>
          <w:webHidden/>
          <w:lang w:val="de-DE"/>
        </w:rPr>
        <w:tab/>
      </w:r>
      <w:r w:rsidRPr="00AF0D45">
        <w:rPr>
          <w:noProof/>
          <w:webHidden/>
          <w:lang w:val="de-DE"/>
        </w:rPr>
        <w:tab/>
      </w:r>
      <w:r w:rsidR="00F675C8" w:rsidRPr="00AF0D45">
        <w:rPr>
          <w:noProof/>
          <w:webHidden/>
          <w:lang w:val="de-DE"/>
        </w:rPr>
        <w:t>5</w:t>
      </w:r>
      <w:r w:rsidRPr="00AF0D45">
        <w:rPr>
          <w:noProof/>
          <w:webHidden/>
          <w:lang w:val="de-DE"/>
        </w:rPr>
        <w:tab/>
      </w:r>
      <w:r w:rsidR="001048F9" w:rsidRPr="00AF0D45">
        <w:rPr>
          <w:noProof/>
          <w:webHidden/>
          <w:lang w:val="de-DE"/>
        </w:rPr>
        <w:t>4</w:t>
      </w:r>
    </w:p>
    <w:p w14:paraId="751D60AD" w14:textId="1F656F57" w:rsidR="004B1928" w:rsidRPr="00AF0D45" w:rsidRDefault="00AA3F90" w:rsidP="00983BD6">
      <w:pPr>
        <w:tabs>
          <w:tab w:val="right" w:pos="851"/>
          <w:tab w:val="left" w:pos="1134"/>
          <w:tab w:val="left" w:pos="1559"/>
          <w:tab w:val="left" w:pos="1984"/>
          <w:tab w:val="left" w:leader="dot" w:pos="8080"/>
          <w:tab w:val="right" w:pos="8929"/>
          <w:tab w:val="right" w:pos="9638"/>
        </w:tabs>
        <w:spacing w:after="120" w:line="220" w:lineRule="atLeast"/>
        <w:ind w:left="1134" w:hanging="1134"/>
        <w:rPr>
          <w:rStyle w:val="Hyperlink"/>
          <w:noProof/>
          <w:lang w:val="de-DE"/>
        </w:rPr>
      </w:pPr>
      <w:r w:rsidRPr="00AF0D45">
        <w:rPr>
          <w:rStyle w:val="Hyperlink"/>
          <w:webHidden/>
          <w:lang w:val="de-DE"/>
        </w:rPr>
        <w:tab/>
      </w:r>
      <w:r w:rsidR="00983BD6" w:rsidRPr="00AF0D45">
        <w:rPr>
          <w:rStyle w:val="Hyperlink"/>
          <w:webHidden/>
          <w:lang w:val="de-DE"/>
        </w:rPr>
        <w:t>III.</w:t>
      </w:r>
      <w:r w:rsidRPr="00AF0D45">
        <w:rPr>
          <w:rStyle w:val="Hyperlink"/>
          <w:webHidden/>
          <w:lang w:val="de-DE"/>
        </w:rPr>
        <w:tab/>
      </w:r>
      <w:r w:rsidR="00983BD6" w:rsidRPr="00AF0D45">
        <w:rPr>
          <w:rStyle w:val="Hyperlink"/>
          <w:lang w:val="de-DE"/>
        </w:rPr>
        <w:t xml:space="preserve">Fragen im Zusammenhang mit den Arbeiten der Organe der Vereinten Nationen oder </w:t>
      </w:r>
      <w:r w:rsidR="00274205" w:rsidRPr="00AF0D45">
        <w:rPr>
          <w:rStyle w:val="Hyperlink"/>
          <w:lang w:val="de-DE"/>
        </w:rPr>
        <w:br/>
      </w:r>
      <w:r w:rsidR="00983BD6" w:rsidRPr="00AF0D45">
        <w:rPr>
          <w:rStyle w:val="Hyperlink"/>
          <w:lang w:val="de-DE"/>
        </w:rPr>
        <w:t>anderer Organisationen (TOP 2)</w:t>
      </w:r>
      <w:r w:rsidR="004B1928" w:rsidRPr="00AF0D45">
        <w:rPr>
          <w:rStyle w:val="Hyperlink"/>
          <w:noProof/>
          <w:lang w:val="de-DE"/>
        </w:rPr>
        <w:tab/>
      </w:r>
      <w:r w:rsidR="004B1928" w:rsidRPr="00AF0D45">
        <w:rPr>
          <w:rStyle w:val="Hyperlink"/>
          <w:noProof/>
          <w:lang w:val="de-DE"/>
        </w:rPr>
        <w:tab/>
      </w:r>
      <w:r w:rsidR="00F675C8" w:rsidRPr="00AF0D45">
        <w:rPr>
          <w:rStyle w:val="Hyperlink"/>
          <w:noProof/>
          <w:lang w:val="de-DE"/>
        </w:rPr>
        <w:t>6-12</w:t>
      </w:r>
      <w:r w:rsidR="004B1928" w:rsidRPr="00AF0D45">
        <w:rPr>
          <w:rStyle w:val="Hyperlink"/>
          <w:noProof/>
          <w:lang w:val="de-DE"/>
        </w:rPr>
        <w:tab/>
      </w:r>
      <w:r w:rsidR="001048F9" w:rsidRPr="00AF0D45">
        <w:rPr>
          <w:rStyle w:val="Hyperlink"/>
          <w:noProof/>
          <w:lang w:val="de-DE"/>
        </w:rPr>
        <w:t>4</w:t>
      </w:r>
    </w:p>
    <w:p w14:paraId="0312CC14" w14:textId="175ABEA6" w:rsidR="004B1928" w:rsidRPr="00AF0D45" w:rsidRDefault="004B1928" w:rsidP="00983BD6">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983BD6" w:rsidRPr="00AF0D45">
        <w:rPr>
          <w:rStyle w:val="Hyperlink"/>
          <w:lang w:val="de-DE"/>
        </w:rPr>
        <w:t>A.</w:t>
      </w:r>
      <w:r w:rsidRPr="00AF0D45">
        <w:rPr>
          <w:rStyle w:val="Hyperlink"/>
          <w:lang w:val="de-DE"/>
        </w:rPr>
        <w:tab/>
      </w:r>
      <w:r w:rsidR="00983BD6" w:rsidRPr="00AF0D45">
        <w:rPr>
          <w:rStyle w:val="Hyperlink"/>
          <w:lang w:val="de-DE"/>
        </w:rPr>
        <w:t>Strategie der Europäischen Union für den Donauraum (EUSDR)</w:t>
      </w:r>
      <w:r w:rsidR="00274205" w:rsidRPr="00AF0D45">
        <w:rPr>
          <w:rStyle w:val="Hyperlink"/>
          <w:lang w:val="de-DE"/>
        </w:rPr>
        <w:t>:</w:t>
      </w:r>
      <w:r w:rsidRPr="00AF0D45">
        <w:rPr>
          <w:rStyle w:val="Hyperlink"/>
          <w:lang w:val="de-DE"/>
        </w:rPr>
        <w:t xml:space="preserve"> </w:t>
      </w:r>
      <w:r w:rsidRPr="00AF0D45">
        <w:rPr>
          <w:rStyle w:val="Hyperlink"/>
          <w:lang w:val="de-DE"/>
        </w:rPr>
        <w:br/>
      </w:r>
      <w:r w:rsidR="00983BD6" w:rsidRPr="00AF0D45">
        <w:rPr>
          <w:rStyle w:val="Hyperlink"/>
          <w:lang w:val="de-DE"/>
        </w:rPr>
        <w:t>Arbeit</w:t>
      </w:r>
      <w:r w:rsidR="00274205" w:rsidRPr="00AF0D45">
        <w:rPr>
          <w:rStyle w:val="Hyperlink"/>
          <w:lang w:val="de-DE"/>
        </w:rPr>
        <w:t>en</w:t>
      </w:r>
      <w:r w:rsidR="00983BD6" w:rsidRPr="00AF0D45">
        <w:rPr>
          <w:rStyle w:val="Hyperlink"/>
          <w:lang w:val="de-DE"/>
        </w:rPr>
        <w:t xml:space="preserve"> in den Prioritätsbereichen 1A und 11</w:t>
      </w:r>
      <w:r w:rsidRPr="00AF0D45">
        <w:rPr>
          <w:rStyle w:val="Hyperlink"/>
          <w:lang w:val="de-DE"/>
        </w:rPr>
        <w:t xml:space="preserve"> </w:t>
      </w:r>
      <w:r w:rsidRPr="00AF0D45">
        <w:rPr>
          <w:rStyle w:val="Hyperlink"/>
          <w:lang w:val="de-DE"/>
        </w:rPr>
        <w:tab/>
      </w:r>
      <w:r w:rsidRPr="00AF0D45">
        <w:rPr>
          <w:rStyle w:val="Hyperlink"/>
          <w:lang w:val="de-DE"/>
        </w:rPr>
        <w:tab/>
      </w:r>
      <w:r w:rsidR="00F675C8" w:rsidRPr="00AF0D45">
        <w:rPr>
          <w:rStyle w:val="Hyperlink"/>
          <w:lang w:val="de-DE"/>
        </w:rPr>
        <w:t>6-10</w:t>
      </w:r>
      <w:r w:rsidRPr="00AF0D45">
        <w:rPr>
          <w:rStyle w:val="Hyperlink"/>
          <w:lang w:val="de-DE"/>
        </w:rPr>
        <w:tab/>
      </w:r>
      <w:r w:rsidR="001048F9" w:rsidRPr="00AF0D45">
        <w:rPr>
          <w:rStyle w:val="Hyperlink"/>
          <w:lang w:val="de-DE"/>
        </w:rPr>
        <w:t>4</w:t>
      </w:r>
    </w:p>
    <w:p w14:paraId="26F866E2" w14:textId="79FD0269" w:rsidR="004B1928" w:rsidRPr="00AF0D45" w:rsidRDefault="004B1928" w:rsidP="00983BD6">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983BD6" w:rsidRPr="00AF0D45">
        <w:rPr>
          <w:rStyle w:val="Hyperlink"/>
          <w:lang w:val="de-DE"/>
        </w:rPr>
        <w:t>B.</w:t>
      </w:r>
      <w:r w:rsidRPr="00AF0D45">
        <w:rPr>
          <w:rStyle w:val="Hyperlink"/>
          <w:lang w:val="de-DE"/>
        </w:rPr>
        <w:tab/>
      </w:r>
      <w:r w:rsidR="00983BD6" w:rsidRPr="00AF0D45">
        <w:rPr>
          <w:rStyle w:val="Hyperlink"/>
          <w:lang w:val="de-DE"/>
        </w:rPr>
        <w:t>Arbeit</w:t>
      </w:r>
      <w:r w:rsidR="00130BE0" w:rsidRPr="00AF0D45">
        <w:rPr>
          <w:rStyle w:val="Hyperlink"/>
          <w:lang w:val="de-DE"/>
        </w:rPr>
        <w:t>en</w:t>
      </w:r>
      <w:r w:rsidR="00983BD6" w:rsidRPr="00AF0D45">
        <w:rPr>
          <w:rStyle w:val="Hyperlink"/>
          <w:lang w:val="de-DE"/>
        </w:rPr>
        <w:t xml:space="preserve"> des Binnenverkehrsausschusses</w:t>
      </w:r>
      <w:r w:rsidRPr="00AF0D45">
        <w:rPr>
          <w:rStyle w:val="Hyperlink"/>
          <w:lang w:val="de-DE"/>
        </w:rPr>
        <w:tab/>
      </w:r>
      <w:r w:rsidRPr="00AF0D45">
        <w:rPr>
          <w:rStyle w:val="Hyperlink"/>
          <w:lang w:val="de-DE"/>
        </w:rPr>
        <w:tab/>
      </w:r>
      <w:r w:rsidR="00F675C8" w:rsidRPr="00AF0D45">
        <w:rPr>
          <w:rStyle w:val="Hyperlink"/>
          <w:lang w:val="de-DE"/>
        </w:rPr>
        <w:t>11-12</w:t>
      </w:r>
      <w:r w:rsidRPr="00AF0D45">
        <w:rPr>
          <w:rStyle w:val="Hyperlink"/>
          <w:lang w:val="de-DE"/>
        </w:rPr>
        <w:tab/>
      </w:r>
      <w:r w:rsidR="001048F9" w:rsidRPr="00AF0D45">
        <w:rPr>
          <w:rStyle w:val="Hyperlink"/>
          <w:lang w:val="de-DE"/>
        </w:rPr>
        <w:t>5</w:t>
      </w:r>
    </w:p>
    <w:p w14:paraId="6142E0F0" w14:textId="7C7A14D4" w:rsidR="004B1928" w:rsidRPr="00AF0D45" w:rsidRDefault="004B1928" w:rsidP="00983BD6">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r w:rsidRPr="00AF0D45">
        <w:rPr>
          <w:rStyle w:val="Hyperlink"/>
          <w:lang w:val="de-DE"/>
        </w:rPr>
        <w:tab/>
      </w:r>
      <w:r w:rsidR="00983BD6" w:rsidRPr="00AF0D45">
        <w:rPr>
          <w:rStyle w:val="Hyperlink"/>
          <w:lang w:val="de-DE"/>
        </w:rPr>
        <w:t>IV.</w:t>
      </w:r>
      <w:r w:rsidRPr="00AF0D45">
        <w:rPr>
          <w:rStyle w:val="Hyperlink"/>
          <w:lang w:val="de-DE"/>
        </w:rPr>
        <w:tab/>
      </w:r>
      <w:r w:rsidR="00983BD6" w:rsidRPr="00AF0D45">
        <w:rPr>
          <w:rStyle w:val="Hyperlink"/>
          <w:lang w:val="de-DE"/>
        </w:rPr>
        <w:t>Durchführung des Europäischen Übereinkommens über die internationale Beförderung</w:t>
      </w:r>
      <w:r w:rsidR="00983BD6" w:rsidRPr="00AF0D45">
        <w:rPr>
          <w:rStyle w:val="Hyperlink"/>
          <w:lang w:val="de-DE"/>
        </w:rPr>
        <w:br/>
        <w:t>von gefährlichen Gütern auf Binnenwasserstraßen (ADN) (TOP 3)</w:t>
      </w:r>
      <w:r w:rsidRPr="00AF0D45">
        <w:rPr>
          <w:rStyle w:val="Hyperlink"/>
          <w:lang w:val="de-DE"/>
        </w:rPr>
        <w:tab/>
      </w:r>
      <w:r w:rsidRPr="00AF0D45">
        <w:rPr>
          <w:rStyle w:val="Hyperlink"/>
          <w:lang w:val="de-DE"/>
        </w:rPr>
        <w:tab/>
      </w:r>
      <w:r w:rsidR="00F675C8" w:rsidRPr="00AF0D45">
        <w:rPr>
          <w:rStyle w:val="Hyperlink"/>
          <w:lang w:val="de-DE"/>
        </w:rPr>
        <w:t>13-</w:t>
      </w:r>
      <w:r w:rsidR="001048F9" w:rsidRPr="00AF0D45">
        <w:rPr>
          <w:rStyle w:val="Hyperlink"/>
          <w:lang w:val="de-DE"/>
        </w:rPr>
        <w:t>3</w:t>
      </w:r>
      <w:r w:rsidR="00F675C8" w:rsidRPr="00AF0D45">
        <w:rPr>
          <w:rStyle w:val="Hyperlink"/>
          <w:lang w:val="de-DE"/>
        </w:rPr>
        <w:t>6</w:t>
      </w:r>
      <w:r w:rsidRPr="00AF0D45">
        <w:rPr>
          <w:rStyle w:val="Hyperlink"/>
          <w:lang w:val="de-DE"/>
        </w:rPr>
        <w:tab/>
      </w:r>
      <w:r w:rsidR="001048F9" w:rsidRPr="00AF0D45">
        <w:rPr>
          <w:rStyle w:val="Hyperlink"/>
          <w:lang w:val="de-DE"/>
        </w:rPr>
        <w:t>5</w:t>
      </w:r>
    </w:p>
    <w:p w14:paraId="5DBC4CD3" w14:textId="40F3979E" w:rsidR="004B1928" w:rsidRPr="00AF0D45" w:rsidRDefault="004B1928" w:rsidP="00983BD6">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983BD6" w:rsidRPr="00AF0D45">
        <w:rPr>
          <w:rStyle w:val="Hyperlink"/>
          <w:lang w:val="de-DE"/>
        </w:rPr>
        <w:t>A.</w:t>
      </w:r>
      <w:r w:rsidRPr="00AF0D45">
        <w:rPr>
          <w:rStyle w:val="Hyperlink"/>
          <w:lang w:val="de-DE"/>
        </w:rPr>
        <w:tab/>
      </w:r>
      <w:r w:rsidR="00983BD6" w:rsidRPr="00AF0D45">
        <w:rPr>
          <w:rStyle w:val="Hyperlink"/>
          <w:lang w:val="de-DE"/>
        </w:rPr>
        <w:t>Status des ADN</w:t>
      </w:r>
      <w:r w:rsidRPr="00AF0D45">
        <w:rPr>
          <w:rStyle w:val="Hyperlink"/>
          <w:lang w:val="de-DE"/>
        </w:rPr>
        <w:tab/>
      </w:r>
      <w:r w:rsidRPr="00AF0D45">
        <w:rPr>
          <w:rStyle w:val="Hyperlink"/>
          <w:lang w:val="de-DE"/>
        </w:rPr>
        <w:tab/>
      </w:r>
      <w:r w:rsidR="00F675C8" w:rsidRPr="00AF0D45">
        <w:rPr>
          <w:rStyle w:val="Hyperlink"/>
          <w:lang w:val="de-DE"/>
        </w:rPr>
        <w:t>13-14</w:t>
      </w:r>
      <w:r w:rsidRPr="00AF0D45">
        <w:rPr>
          <w:rStyle w:val="Hyperlink"/>
          <w:lang w:val="de-DE"/>
        </w:rPr>
        <w:tab/>
      </w:r>
      <w:r w:rsidR="001048F9" w:rsidRPr="00AF0D45">
        <w:rPr>
          <w:rStyle w:val="Hyperlink"/>
          <w:lang w:val="de-DE"/>
        </w:rPr>
        <w:t>5</w:t>
      </w:r>
    </w:p>
    <w:p w14:paraId="1BDC1B3D" w14:textId="77760516" w:rsidR="004B1928" w:rsidRPr="00AF0D45" w:rsidRDefault="004B1928" w:rsidP="00983BD6">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983BD6" w:rsidRPr="00AF0D45">
        <w:rPr>
          <w:rStyle w:val="Hyperlink"/>
          <w:lang w:val="de-DE"/>
        </w:rPr>
        <w:t>B.</w:t>
      </w:r>
      <w:r w:rsidRPr="00AF0D45">
        <w:rPr>
          <w:rStyle w:val="Hyperlink"/>
          <w:lang w:val="de-DE"/>
        </w:rPr>
        <w:tab/>
      </w:r>
      <w:r w:rsidR="00983BD6" w:rsidRPr="00AF0D45">
        <w:rPr>
          <w:rStyle w:val="Hyperlink"/>
          <w:lang w:val="de-DE"/>
        </w:rPr>
        <w:t>Ausnahmegenehmigungen, Abweichungen und Gleichwertigkeiten</w:t>
      </w:r>
      <w:r w:rsidRPr="00AF0D45">
        <w:rPr>
          <w:rStyle w:val="Hyperlink"/>
          <w:lang w:val="de-DE"/>
        </w:rPr>
        <w:tab/>
      </w:r>
      <w:r w:rsidRPr="00AF0D45">
        <w:rPr>
          <w:rStyle w:val="Hyperlink"/>
          <w:lang w:val="de-DE"/>
        </w:rPr>
        <w:tab/>
      </w:r>
      <w:r w:rsidR="00F675C8" w:rsidRPr="00AF0D45">
        <w:rPr>
          <w:rStyle w:val="Hyperlink"/>
          <w:lang w:val="de-DE"/>
        </w:rPr>
        <w:t>15</w:t>
      </w:r>
      <w:r w:rsidR="009C033A" w:rsidRPr="00AF0D45">
        <w:rPr>
          <w:rStyle w:val="Hyperlink"/>
          <w:lang w:val="de-DE"/>
        </w:rPr>
        <w:tab/>
        <w:t>5</w:t>
      </w:r>
    </w:p>
    <w:p w14:paraId="660DABCE" w14:textId="51888580" w:rsidR="004B1928" w:rsidRPr="00AF0D45" w:rsidRDefault="004B1928" w:rsidP="00983BD6">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983BD6" w:rsidRPr="00AF0D45">
        <w:rPr>
          <w:rStyle w:val="Hyperlink"/>
          <w:lang w:val="de-DE"/>
        </w:rPr>
        <w:t>C.</w:t>
      </w:r>
      <w:r w:rsidRPr="00AF0D45">
        <w:rPr>
          <w:rStyle w:val="Hyperlink"/>
          <w:lang w:val="de-DE"/>
        </w:rPr>
        <w:tab/>
      </w:r>
      <w:r w:rsidR="00983BD6" w:rsidRPr="00AF0D45">
        <w:rPr>
          <w:rStyle w:val="Hyperlink"/>
          <w:lang w:val="de-DE"/>
        </w:rPr>
        <w:t>Auslegung der dem ADN beigefügten Verordnung</w:t>
      </w:r>
      <w:r w:rsidRPr="00AF0D45">
        <w:rPr>
          <w:rStyle w:val="Hyperlink"/>
          <w:lang w:val="de-DE"/>
        </w:rPr>
        <w:tab/>
      </w:r>
      <w:r w:rsidRPr="00AF0D45">
        <w:rPr>
          <w:rStyle w:val="Hyperlink"/>
          <w:lang w:val="de-DE"/>
        </w:rPr>
        <w:tab/>
      </w:r>
      <w:r w:rsidR="00F675C8" w:rsidRPr="00AF0D45">
        <w:rPr>
          <w:rStyle w:val="Hyperlink"/>
          <w:lang w:val="de-DE"/>
        </w:rPr>
        <w:t>16-19</w:t>
      </w:r>
      <w:r w:rsidR="009C033A" w:rsidRPr="00AF0D45">
        <w:rPr>
          <w:rStyle w:val="Hyperlink"/>
          <w:lang w:val="de-DE"/>
        </w:rPr>
        <w:tab/>
        <w:t>6</w:t>
      </w:r>
    </w:p>
    <w:p w14:paraId="3584E3F7" w14:textId="0F509AE8" w:rsidR="004B1928" w:rsidRPr="00AF0D45" w:rsidRDefault="004B1928" w:rsidP="00983BD6">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1.</w:t>
      </w:r>
      <w:r w:rsidRPr="00AF0D45">
        <w:rPr>
          <w:rStyle w:val="Hyperlink"/>
          <w:lang w:val="de-DE"/>
        </w:rPr>
        <w:tab/>
      </w:r>
      <w:r w:rsidR="00983BD6" w:rsidRPr="00AF0D45">
        <w:rPr>
          <w:rStyle w:val="Hyperlink"/>
          <w:lang w:val="de-DE"/>
        </w:rPr>
        <w:t xml:space="preserve">Feuerlöscheinrichtung an Bord eines Verbandes oder an Bord eines </w:t>
      </w:r>
      <w:r w:rsidR="00274205" w:rsidRPr="00AF0D45">
        <w:rPr>
          <w:rStyle w:val="Hyperlink"/>
          <w:lang w:val="de-DE"/>
        </w:rPr>
        <w:br/>
      </w:r>
      <w:r w:rsidR="00983BD6" w:rsidRPr="00AF0D45">
        <w:rPr>
          <w:rStyle w:val="Hyperlink"/>
          <w:lang w:val="de-DE"/>
        </w:rPr>
        <w:t xml:space="preserve">einzelnen </w:t>
      </w:r>
      <w:proofErr w:type="spellStart"/>
      <w:r w:rsidR="00983BD6" w:rsidRPr="00AF0D45">
        <w:rPr>
          <w:rStyle w:val="Hyperlink"/>
          <w:lang w:val="de-DE"/>
        </w:rPr>
        <w:t>Leichters</w:t>
      </w:r>
      <w:proofErr w:type="spellEnd"/>
      <w:r w:rsidRPr="00AF0D45">
        <w:rPr>
          <w:rStyle w:val="Hyperlink"/>
          <w:lang w:val="de-DE"/>
        </w:rPr>
        <w:tab/>
      </w:r>
      <w:r w:rsidRPr="00AF0D45">
        <w:rPr>
          <w:rStyle w:val="Hyperlink"/>
          <w:lang w:val="de-DE"/>
        </w:rPr>
        <w:tab/>
      </w:r>
      <w:r w:rsidR="00F675C8" w:rsidRPr="00AF0D45">
        <w:rPr>
          <w:rStyle w:val="Hyperlink"/>
          <w:lang w:val="de-DE"/>
        </w:rPr>
        <w:t>16-17</w:t>
      </w:r>
      <w:r w:rsidR="009C033A" w:rsidRPr="00AF0D45">
        <w:rPr>
          <w:rStyle w:val="Hyperlink"/>
          <w:lang w:val="de-DE"/>
        </w:rPr>
        <w:tab/>
        <w:t>6</w:t>
      </w:r>
    </w:p>
    <w:p w14:paraId="462A444F" w14:textId="77FE2743"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2.</w:t>
      </w:r>
      <w:r w:rsidRPr="00AF0D45">
        <w:rPr>
          <w:rStyle w:val="Hyperlink"/>
          <w:lang w:val="de-DE"/>
        </w:rPr>
        <w:tab/>
      </w:r>
      <w:r w:rsidR="00983BD6" w:rsidRPr="00AF0D45">
        <w:rPr>
          <w:rStyle w:val="Hyperlink"/>
          <w:lang w:val="de-DE"/>
        </w:rPr>
        <w:t xml:space="preserve">„Chemical Abstracts Service“ (CAS) oder EG-Nummer </w:t>
      </w:r>
      <w:r w:rsidR="00930BB9" w:rsidRPr="00AF0D45">
        <w:rPr>
          <w:rStyle w:val="Hyperlink"/>
          <w:lang w:val="de-DE"/>
        </w:rPr>
        <w:t xml:space="preserve">für die Meldung </w:t>
      </w:r>
      <w:r w:rsidR="00274205" w:rsidRPr="00AF0D45">
        <w:rPr>
          <w:rStyle w:val="Hyperlink"/>
          <w:lang w:val="de-DE"/>
        </w:rPr>
        <w:br/>
      </w:r>
      <w:r w:rsidR="00930BB9" w:rsidRPr="00AF0D45">
        <w:rPr>
          <w:rStyle w:val="Hyperlink"/>
          <w:lang w:val="de-DE"/>
        </w:rPr>
        <w:t>gefährlicher Güter</w:t>
      </w:r>
      <w:r w:rsidRPr="00AF0D45">
        <w:rPr>
          <w:rStyle w:val="Hyperlink"/>
          <w:lang w:val="de-DE"/>
        </w:rPr>
        <w:tab/>
      </w:r>
      <w:r w:rsidRPr="00AF0D45">
        <w:rPr>
          <w:rStyle w:val="Hyperlink"/>
          <w:lang w:val="de-DE"/>
        </w:rPr>
        <w:tab/>
      </w:r>
      <w:r w:rsidR="00F675C8" w:rsidRPr="00AF0D45">
        <w:rPr>
          <w:rStyle w:val="Hyperlink"/>
          <w:lang w:val="de-DE"/>
        </w:rPr>
        <w:t>18</w:t>
      </w:r>
      <w:r w:rsidR="009C033A" w:rsidRPr="00AF0D45">
        <w:rPr>
          <w:rStyle w:val="Hyperlink"/>
          <w:lang w:val="de-DE"/>
        </w:rPr>
        <w:tab/>
        <w:t>6</w:t>
      </w:r>
    </w:p>
    <w:p w14:paraId="5E8B72C6" w14:textId="530DBB05"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3.</w:t>
      </w:r>
      <w:r w:rsidRPr="00AF0D45">
        <w:rPr>
          <w:rStyle w:val="Hyperlink"/>
          <w:lang w:val="de-DE"/>
        </w:rPr>
        <w:tab/>
      </w:r>
      <w:r w:rsidR="00930BB9" w:rsidRPr="00AF0D45">
        <w:rPr>
          <w:rStyle w:val="Hyperlink"/>
          <w:lang w:val="de-DE"/>
        </w:rPr>
        <w:t>Messungen für die Entgasung</w:t>
      </w:r>
      <w:r w:rsidRPr="00AF0D45">
        <w:rPr>
          <w:rStyle w:val="Hyperlink"/>
          <w:lang w:val="de-DE"/>
        </w:rPr>
        <w:tab/>
      </w:r>
      <w:r w:rsidRPr="00AF0D45">
        <w:rPr>
          <w:rStyle w:val="Hyperlink"/>
          <w:lang w:val="de-DE"/>
        </w:rPr>
        <w:tab/>
      </w:r>
      <w:r w:rsidR="00F675C8" w:rsidRPr="00AF0D45">
        <w:rPr>
          <w:rStyle w:val="Hyperlink"/>
          <w:lang w:val="de-DE"/>
        </w:rPr>
        <w:t>19</w:t>
      </w:r>
      <w:r w:rsidR="009C033A" w:rsidRPr="00AF0D45">
        <w:rPr>
          <w:rStyle w:val="Hyperlink"/>
          <w:lang w:val="de-DE"/>
        </w:rPr>
        <w:tab/>
        <w:t>6</w:t>
      </w:r>
    </w:p>
    <w:p w14:paraId="26BEFB3C" w14:textId="21DF3A8A"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930BB9" w:rsidRPr="00AF0D45">
        <w:rPr>
          <w:rStyle w:val="Hyperlink"/>
          <w:lang w:val="de-DE"/>
        </w:rPr>
        <w:t>D.</w:t>
      </w:r>
      <w:r w:rsidRPr="00AF0D45">
        <w:rPr>
          <w:rStyle w:val="Hyperlink"/>
          <w:lang w:val="de-DE"/>
        </w:rPr>
        <w:tab/>
      </w:r>
      <w:r w:rsidR="00930BB9" w:rsidRPr="00AF0D45">
        <w:rPr>
          <w:rStyle w:val="Hyperlink"/>
          <w:lang w:val="de-DE"/>
        </w:rPr>
        <w:t>Ausbildung der Sachkundigen</w:t>
      </w:r>
      <w:r w:rsidRPr="00AF0D45">
        <w:rPr>
          <w:rStyle w:val="Hyperlink"/>
          <w:lang w:val="de-DE"/>
        </w:rPr>
        <w:tab/>
      </w:r>
      <w:r w:rsidRPr="00AF0D45">
        <w:rPr>
          <w:rStyle w:val="Hyperlink"/>
          <w:lang w:val="de-DE"/>
        </w:rPr>
        <w:tab/>
      </w:r>
      <w:r w:rsidR="00F675C8" w:rsidRPr="00AF0D45">
        <w:rPr>
          <w:rStyle w:val="Hyperlink"/>
          <w:lang w:val="de-DE"/>
        </w:rPr>
        <w:t>20-25</w:t>
      </w:r>
      <w:r w:rsidR="009C033A" w:rsidRPr="00AF0D45">
        <w:rPr>
          <w:rStyle w:val="Hyperlink"/>
          <w:lang w:val="de-DE"/>
        </w:rPr>
        <w:tab/>
        <w:t>7</w:t>
      </w:r>
    </w:p>
    <w:p w14:paraId="07B8F675" w14:textId="387D74F0"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r>
      <w:r w:rsidR="00930BB9" w:rsidRPr="00AF0D45">
        <w:rPr>
          <w:rStyle w:val="Hyperlink"/>
          <w:lang w:val="de-DE"/>
        </w:rPr>
        <w:t>Arbeiten der informellen Arbeitsgruppe „</w:t>
      </w:r>
      <w:proofErr w:type="spellStart"/>
      <w:r w:rsidR="00930BB9" w:rsidRPr="00AF0D45">
        <w:rPr>
          <w:rStyle w:val="Hyperlink"/>
          <w:lang w:val="de-DE"/>
        </w:rPr>
        <w:t>Sachkundigenausbildung</w:t>
      </w:r>
      <w:proofErr w:type="spellEnd"/>
      <w:r w:rsidR="00930BB9" w:rsidRPr="00AF0D45">
        <w:rPr>
          <w:rStyle w:val="Hyperlink"/>
          <w:lang w:val="de-DE"/>
        </w:rPr>
        <w:t>“</w:t>
      </w:r>
      <w:r w:rsidRPr="00AF0D45">
        <w:rPr>
          <w:rStyle w:val="Hyperlink"/>
          <w:lang w:val="de-DE"/>
        </w:rPr>
        <w:tab/>
      </w:r>
      <w:r w:rsidRPr="00AF0D45">
        <w:rPr>
          <w:rStyle w:val="Hyperlink"/>
          <w:lang w:val="de-DE"/>
        </w:rPr>
        <w:tab/>
      </w:r>
      <w:r w:rsidR="00F675C8" w:rsidRPr="00AF0D45">
        <w:rPr>
          <w:rStyle w:val="Hyperlink"/>
          <w:lang w:val="de-DE"/>
        </w:rPr>
        <w:t>20-25</w:t>
      </w:r>
      <w:r w:rsidR="009C033A" w:rsidRPr="00AF0D45">
        <w:rPr>
          <w:rStyle w:val="Hyperlink"/>
          <w:lang w:val="de-DE"/>
        </w:rPr>
        <w:tab/>
        <w:t>7</w:t>
      </w:r>
    </w:p>
    <w:p w14:paraId="5DD388D2" w14:textId="1215D628"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930BB9" w:rsidRPr="00AF0D45">
        <w:rPr>
          <w:rStyle w:val="Hyperlink"/>
          <w:lang w:val="de-DE"/>
        </w:rPr>
        <w:t>E.</w:t>
      </w:r>
      <w:r w:rsidRPr="00AF0D45">
        <w:rPr>
          <w:rStyle w:val="Hyperlink"/>
          <w:lang w:val="de-DE"/>
        </w:rPr>
        <w:tab/>
      </w:r>
      <w:r w:rsidR="00930BB9" w:rsidRPr="00AF0D45">
        <w:rPr>
          <w:rStyle w:val="Hyperlink"/>
          <w:lang w:val="de-DE"/>
        </w:rPr>
        <w:t>Fragen im Zusammenhang mit den Klassifikationsgesellschaften</w:t>
      </w:r>
      <w:r w:rsidRPr="00AF0D45">
        <w:rPr>
          <w:rStyle w:val="Hyperlink"/>
          <w:lang w:val="de-DE"/>
        </w:rPr>
        <w:tab/>
      </w:r>
      <w:r w:rsidRPr="00AF0D45">
        <w:rPr>
          <w:rStyle w:val="Hyperlink"/>
          <w:lang w:val="de-DE"/>
        </w:rPr>
        <w:tab/>
      </w:r>
      <w:r w:rsidR="00F675C8" w:rsidRPr="00AF0D45">
        <w:rPr>
          <w:rStyle w:val="Hyperlink"/>
          <w:lang w:val="de-DE"/>
        </w:rPr>
        <w:t>26-36</w:t>
      </w:r>
      <w:r w:rsidR="009C033A" w:rsidRPr="00AF0D45">
        <w:rPr>
          <w:rStyle w:val="Hyperlink"/>
          <w:lang w:val="de-DE"/>
        </w:rPr>
        <w:tab/>
        <w:t>8</w:t>
      </w:r>
    </w:p>
    <w:p w14:paraId="1734C179" w14:textId="3ACE689A"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1.</w:t>
      </w:r>
      <w:r w:rsidRPr="00AF0D45">
        <w:rPr>
          <w:rStyle w:val="Hyperlink"/>
          <w:lang w:val="de-DE"/>
        </w:rPr>
        <w:tab/>
      </w:r>
      <w:r w:rsidR="00930BB9" w:rsidRPr="00AF0D45">
        <w:rPr>
          <w:rStyle w:val="Hyperlink"/>
          <w:lang w:val="de-DE"/>
        </w:rPr>
        <w:t>Verweis auf die Einhaltung der ISO/IEC 17020:2012</w:t>
      </w:r>
      <w:r w:rsidRPr="00AF0D45">
        <w:rPr>
          <w:rStyle w:val="Hyperlink"/>
          <w:lang w:val="de-DE"/>
        </w:rPr>
        <w:tab/>
      </w:r>
      <w:r w:rsidRPr="00AF0D45">
        <w:rPr>
          <w:rStyle w:val="Hyperlink"/>
          <w:lang w:val="de-DE"/>
        </w:rPr>
        <w:tab/>
      </w:r>
      <w:r w:rsidR="00F675C8" w:rsidRPr="00AF0D45">
        <w:rPr>
          <w:rStyle w:val="Hyperlink"/>
          <w:lang w:val="de-DE"/>
        </w:rPr>
        <w:t>26-27</w:t>
      </w:r>
      <w:r w:rsidR="009C033A" w:rsidRPr="00AF0D45">
        <w:rPr>
          <w:rStyle w:val="Hyperlink"/>
          <w:lang w:val="de-DE"/>
        </w:rPr>
        <w:tab/>
        <w:t>8</w:t>
      </w:r>
    </w:p>
    <w:p w14:paraId="5DEF08FC" w14:textId="6C352F8C"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2.</w:t>
      </w:r>
      <w:r w:rsidRPr="00AF0D45">
        <w:rPr>
          <w:rStyle w:val="Hyperlink"/>
          <w:lang w:val="de-DE"/>
        </w:rPr>
        <w:tab/>
      </w:r>
      <w:r w:rsidR="00930BB9" w:rsidRPr="00AF0D45">
        <w:rPr>
          <w:rStyle w:val="Hyperlink"/>
          <w:lang w:val="de-DE"/>
        </w:rPr>
        <w:t xml:space="preserve">Liste der ADN-Verweise in den Klassenvorschriften des </w:t>
      </w:r>
      <w:proofErr w:type="spellStart"/>
      <w:r w:rsidR="00930BB9" w:rsidRPr="00AF0D45">
        <w:rPr>
          <w:rStyle w:val="Hyperlink"/>
          <w:lang w:val="de-DE"/>
        </w:rPr>
        <w:t>Russian</w:t>
      </w:r>
      <w:proofErr w:type="spellEnd"/>
      <w:r w:rsidR="00930BB9" w:rsidRPr="00AF0D45">
        <w:rPr>
          <w:rStyle w:val="Hyperlink"/>
          <w:lang w:val="de-DE"/>
        </w:rPr>
        <w:t xml:space="preserve"> Maritime </w:t>
      </w:r>
      <w:r w:rsidR="00274205" w:rsidRPr="00AF0D45">
        <w:rPr>
          <w:rStyle w:val="Hyperlink"/>
          <w:lang w:val="de-DE"/>
        </w:rPr>
        <w:br/>
      </w:r>
      <w:r w:rsidR="00930BB9" w:rsidRPr="00AF0D45">
        <w:rPr>
          <w:rStyle w:val="Hyperlink"/>
          <w:lang w:val="de-DE"/>
        </w:rPr>
        <w:t xml:space="preserve">Register </w:t>
      </w:r>
      <w:proofErr w:type="spellStart"/>
      <w:r w:rsidR="00930BB9" w:rsidRPr="00AF0D45">
        <w:rPr>
          <w:rStyle w:val="Hyperlink"/>
          <w:lang w:val="de-DE"/>
        </w:rPr>
        <w:t>of</w:t>
      </w:r>
      <w:proofErr w:type="spellEnd"/>
      <w:r w:rsidR="00930BB9" w:rsidRPr="00AF0D45">
        <w:rPr>
          <w:rStyle w:val="Hyperlink"/>
          <w:lang w:val="de-DE"/>
        </w:rPr>
        <w:t xml:space="preserve"> Shipping</w:t>
      </w:r>
      <w:r w:rsidRPr="00AF0D45">
        <w:rPr>
          <w:rStyle w:val="Hyperlink"/>
          <w:lang w:val="de-DE"/>
        </w:rPr>
        <w:tab/>
      </w:r>
      <w:r w:rsidRPr="00AF0D45">
        <w:rPr>
          <w:rStyle w:val="Hyperlink"/>
          <w:lang w:val="de-DE"/>
        </w:rPr>
        <w:tab/>
      </w:r>
      <w:r w:rsidR="00F675C8" w:rsidRPr="00AF0D45">
        <w:rPr>
          <w:rStyle w:val="Hyperlink"/>
          <w:lang w:val="de-DE"/>
        </w:rPr>
        <w:t>28</w:t>
      </w:r>
      <w:r w:rsidR="009C033A" w:rsidRPr="00AF0D45">
        <w:rPr>
          <w:rStyle w:val="Hyperlink"/>
          <w:lang w:val="de-DE"/>
        </w:rPr>
        <w:tab/>
        <w:t>8</w:t>
      </w:r>
    </w:p>
    <w:p w14:paraId="36389712" w14:textId="3F0DE275"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3.</w:t>
      </w:r>
      <w:r w:rsidRPr="00AF0D45">
        <w:rPr>
          <w:rStyle w:val="Hyperlink"/>
          <w:lang w:val="de-DE"/>
        </w:rPr>
        <w:tab/>
      </w:r>
      <w:r w:rsidR="00930BB9" w:rsidRPr="00AF0D45">
        <w:rPr>
          <w:rStyle w:val="Hyperlink"/>
          <w:lang w:val="de-DE"/>
        </w:rPr>
        <w:t>Fünfzehnte Sitzung der informellen Arbeitsgruppe „Empfohlene ADN-Klassifikationsgesellschaften“</w:t>
      </w:r>
      <w:r w:rsidRPr="00AF0D45">
        <w:rPr>
          <w:rStyle w:val="Hyperlink"/>
          <w:lang w:val="de-DE"/>
        </w:rPr>
        <w:tab/>
      </w:r>
      <w:r w:rsidRPr="00AF0D45">
        <w:rPr>
          <w:rStyle w:val="Hyperlink"/>
          <w:lang w:val="de-DE"/>
        </w:rPr>
        <w:tab/>
      </w:r>
      <w:r w:rsidR="00F675C8" w:rsidRPr="00AF0D45">
        <w:rPr>
          <w:rStyle w:val="Hyperlink"/>
          <w:lang w:val="de-DE"/>
        </w:rPr>
        <w:t>29-33</w:t>
      </w:r>
      <w:r w:rsidR="009C033A" w:rsidRPr="00AF0D45">
        <w:rPr>
          <w:rStyle w:val="Hyperlink"/>
          <w:lang w:val="de-DE"/>
        </w:rPr>
        <w:tab/>
        <w:t>8</w:t>
      </w:r>
    </w:p>
    <w:p w14:paraId="34085A1E" w14:textId="3BC8B198" w:rsidR="004B1928" w:rsidRPr="00AF0D45" w:rsidRDefault="004B1928" w:rsidP="00930BB9">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4.</w:t>
      </w:r>
      <w:r w:rsidRPr="00AF0D45">
        <w:rPr>
          <w:rStyle w:val="Hyperlink"/>
          <w:lang w:val="de-DE"/>
        </w:rPr>
        <w:tab/>
      </w:r>
      <w:r w:rsidR="00930BB9" w:rsidRPr="00AF0D45">
        <w:rPr>
          <w:rStyle w:val="Hyperlink"/>
          <w:lang w:val="de-DE"/>
        </w:rPr>
        <w:t>Aktueller Stand der Zulassung von Ladungsrechnern</w:t>
      </w:r>
      <w:r w:rsidRPr="00AF0D45">
        <w:rPr>
          <w:rStyle w:val="Hyperlink"/>
          <w:lang w:val="de-DE"/>
        </w:rPr>
        <w:tab/>
      </w:r>
      <w:r w:rsidRPr="00AF0D45">
        <w:rPr>
          <w:rStyle w:val="Hyperlink"/>
          <w:lang w:val="de-DE"/>
        </w:rPr>
        <w:tab/>
      </w:r>
      <w:r w:rsidR="00F675C8" w:rsidRPr="00AF0D45">
        <w:rPr>
          <w:rStyle w:val="Hyperlink"/>
          <w:lang w:val="de-DE"/>
        </w:rPr>
        <w:t>34</w:t>
      </w:r>
      <w:r w:rsidR="009C033A" w:rsidRPr="00AF0D45">
        <w:rPr>
          <w:rStyle w:val="Hyperlink"/>
          <w:lang w:val="de-DE"/>
        </w:rPr>
        <w:tab/>
        <w:t>9</w:t>
      </w:r>
    </w:p>
    <w:p w14:paraId="3F75FCCD" w14:textId="4F6DF197" w:rsidR="004B1928" w:rsidRPr="00AF0D45" w:rsidRDefault="004B1928" w:rsidP="00521FA2">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5.</w:t>
      </w:r>
      <w:r w:rsidRPr="00AF0D45">
        <w:rPr>
          <w:rStyle w:val="Hyperlink"/>
          <w:lang w:val="de-DE"/>
        </w:rPr>
        <w:tab/>
      </w:r>
      <w:r w:rsidR="00930BB9" w:rsidRPr="00AF0D45">
        <w:rPr>
          <w:rStyle w:val="Hyperlink"/>
          <w:lang w:val="de-DE"/>
        </w:rPr>
        <w:t xml:space="preserve">Antrag Kroatiens auf Aufnahme des </w:t>
      </w:r>
      <w:proofErr w:type="spellStart"/>
      <w:r w:rsidR="00930BB9" w:rsidRPr="00AF0D45">
        <w:rPr>
          <w:rStyle w:val="Hyperlink"/>
          <w:lang w:val="de-DE"/>
        </w:rPr>
        <w:t>Croatian</w:t>
      </w:r>
      <w:proofErr w:type="spellEnd"/>
      <w:r w:rsidR="00930BB9" w:rsidRPr="00AF0D45">
        <w:rPr>
          <w:rStyle w:val="Hyperlink"/>
          <w:lang w:val="de-DE"/>
        </w:rPr>
        <w:t xml:space="preserve"> Register </w:t>
      </w:r>
      <w:proofErr w:type="spellStart"/>
      <w:r w:rsidR="00930BB9" w:rsidRPr="00AF0D45">
        <w:rPr>
          <w:rStyle w:val="Hyperlink"/>
          <w:lang w:val="de-DE"/>
        </w:rPr>
        <w:t>of</w:t>
      </w:r>
      <w:proofErr w:type="spellEnd"/>
      <w:r w:rsidR="00930BB9" w:rsidRPr="00AF0D45">
        <w:rPr>
          <w:rStyle w:val="Hyperlink"/>
          <w:lang w:val="de-DE"/>
        </w:rPr>
        <w:t xml:space="preserve"> Shipping </w:t>
      </w:r>
      <w:r w:rsidR="00930BB9" w:rsidRPr="00AF0D45">
        <w:rPr>
          <w:rStyle w:val="Hyperlink"/>
          <w:lang w:val="de-DE"/>
        </w:rPr>
        <w:br/>
        <w:t>in die Liste der für die Anerkennung empfohlenen Klassifikationsgesellschaften</w:t>
      </w:r>
      <w:r w:rsidRPr="00AF0D45">
        <w:rPr>
          <w:rStyle w:val="Hyperlink"/>
          <w:lang w:val="de-DE"/>
        </w:rPr>
        <w:t xml:space="preserve"> </w:t>
      </w:r>
      <w:r w:rsidRPr="00AF0D45">
        <w:rPr>
          <w:rStyle w:val="Hyperlink"/>
          <w:lang w:val="de-DE"/>
        </w:rPr>
        <w:tab/>
      </w:r>
      <w:r w:rsidR="00F675C8" w:rsidRPr="00AF0D45">
        <w:rPr>
          <w:rStyle w:val="Hyperlink"/>
          <w:lang w:val="de-DE"/>
        </w:rPr>
        <w:t>35-36</w:t>
      </w:r>
      <w:r w:rsidR="009C033A" w:rsidRPr="00AF0D45">
        <w:rPr>
          <w:rStyle w:val="Hyperlink"/>
          <w:lang w:val="de-DE"/>
        </w:rPr>
        <w:tab/>
        <w:t>9</w:t>
      </w:r>
    </w:p>
    <w:p w14:paraId="03EF20DD" w14:textId="5BF988C2" w:rsidR="004B1928" w:rsidRPr="00AF0D45" w:rsidRDefault="004B1928" w:rsidP="00521FA2">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r w:rsidRPr="00AF0D45">
        <w:rPr>
          <w:rStyle w:val="Hyperlink"/>
          <w:lang w:val="de-DE"/>
        </w:rPr>
        <w:tab/>
      </w:r>
      <w:r w:rsidR="00521FA2" w:rsidRPr="00AF0D45">
        <w:rPr>
          <w:rStyle w:val="Hyperlink"/>
          <w:lang w:val="de-DE"/>
        </w:rPr>
        <w:t>V.</w:t>
      </w:r>
      <w:r w:rsidRPr="00AF0D45">
        <w:rPr>
          <w:rStyle w:val="Hyperlink"/>
          <w:lang w:val="de-DE"/>
        </w:rPr>
        <w:tab/>
      </w:r>
      <w:r w:rsidR="00521FA2" w:rsidRPr="00AF0D45">
        <w:rPr>
          <w:rStyle w:val="Hyperlink"/>
          <w:lang w:val="de-DE"/>
        </w:rPr>
        <w:t>Vorschläge für Änderungen der dem ADN beigefügten Verordnung (TOP 4)</w:t>
      </w:r>
      <w:r w:rsidRPr="00AF0D45">
        <w:rPr>
          <w:rStyle w:val="Hyperlink"/>
          <w:lang w:val="de-DE"/>
        </w:rPr>
        <w:tab/>
      </w:r>
      <w:r w:rsidRPr="00AF0D45">
        <w:rPr>
          <w:rStyle w:val="Hyperlink"/>
          <w:lang w:val="de-DE"/>
        </w:rPr>
        <w:tab/>
      </w:r>
      <w:r w:rsidR="00F675C8" w:rsidRPr="00AF0D45">
        <w:rPr>
          <w:rStyle w:val="Hyperlink"/>
          <w:lang w:val="de-DE"/>
        </w:rPr>
        <w:t>37</w:t>
      </w:r>
      <w:r w:rsidR="009C033A" w:rsidRPr="00AF0D45">
        <w:rPr>
          <w:rStyle w:val="Hyperlink"/>
          <w:lang w:val="de-DE"/>
        </w:rPr>
        <w:t>-67</w:t>
      </w:r>
      <w:r w:rsidR="009C033A" w:rsidRPr="00AF0D45">
        <w:rPr>
          <w:rStyle w:val="Hyperlink"/>
          <w:lang w:val="de-DE"/>
        </w:rPr>
        <w:tab/>
        <w:t>9</w:t>
      </w:r>
    </w:p>
    <w:p w14:paraId="07CC657A" w14:textId="79ABFF2C" w:rsidR="004B1928" w:rsidRPr="00AF0D45" w:rsidRDefault="004B1928" w:rsidP="00521FA2">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521FA2" w:rsidRPr="00AF0D45">
        <w:rPr>
          <w:rStyle w:val="Hyperlink"/>
          <w:lang w:val="de-DE"/>
        </w:rPr>
        <w:t>A.</w:t>
      </w:r>
      <w:r w:rsidRPr="00AF0D45">
        <w:rPr>
          <w:rStyle w:val="Hyperlink"/>
          <w:lang w:val="de-DE"/>
        </w:rPr>
        <w:tab/>
      </w:r>
      <w:r w:rsidR="00521FA2" w:rsidRPr="00AF0D45">
        <w:rPr>
          <w:rStyle w:val="Hyperlink"/>
          <w:lang w:val="de-DE"/>
        </w:rPr>
        <w:t>Arbeiten der Gemeinsamen RID/ADR/ADN-Tagung</w:t>
      </w:r>
      <w:r w:rsidRPr="00AF0D45">
        <w:rPr>
          <w:rStyle w:val="Hyperlink"/>
          <w:lang w:val="de-DE"/>
        </w:rPr>
        <w:tab/>
      </w:r>
      <w:r w:rsidRPr="00AF0D45">
        <w:rPr>
          <w:rStyle w:val="Hyperlink"/>
          <w:lang w:val="de-DE"/>
        </w:rPr>
        <w:tab/>
      </w:r>
      <w:r w:rsidR="00F675C8" w:rsidRPr="00AF0D45">
        <w:rPr>
          <w:rStyle w:val="Hyperlink"/>
          <w:lang w:val="de-DE"/>
        </w:rPr>
        <w:t>37-41</w:t>
      </w:r>
      <w:r w:rsidR="009C033A" w:rsidRPr="00AF0D45">
        <w:rPr>
          <w:rStyle w:val="Hyperlink"/>
          <w:lang w:val="de-DE"/>
        </w:rPr>
        <w:tab/>
        <w:t>9</w:t>
      </w:r>
    </w:p>
    <w:p w14:paraId="475DACB9" w14:textId="13547CF8" w:rsidR="004B1928" w:rsidRPr="00AF0D45" w:rsidRDefault="004B1928" w:rsidP="00521FA2">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1.</w:t>
      </w:r>
      <w:r w:rsidRPr="00AF0D45">
        <w:rPr>
          <w:rStyle w:val="Hyperlink"/>
          <w:lang w:val="de-DE"/>
        </w:rPr>
        <w:tab/>
      </w:r>
      <w:r w:rsidR="00521FA2" w:rsidRPr="00AF0D45">
        <w:rPr>
          <w:rStyle w:val="Hyperlink"/>
          <w:lang w:val="de-DE"/>
        </w:rPr>
        <w:t>Neue Änderungen</w:t>
      </w:r>
      <w:r w:rsidRPr="00AF0D45">
        <w:rPr>
          <w:rStyle w:val="Hyperlink"/>
          <w:lang w:val="de-DE"/>
        </w:rPr>
        <w:tab/>
      </w:r>
      <w:r w:rsidRPr="00AF0D45">
        <w:rPr>
          <w:rStyle w:val="Hyperlink"/>
          <w:lang w:val="de-DE"/>
        </w:rPr>
        <w:tab/>
      </w:r>
      <w:r w:rsidR="00F675C8" w:rsidRPr="00AF0D45">
        <w:rPr>
          <w:rStyle w:val="Hyperlink"/>
          <w:lang w:val="de-DE"/>
        </w:rPr>
        <w:t>37-39</w:t>
      </w:r>
      <w:r w:rsidR="009C033A" w:rsidRPr="00AF0D45">
        <w:rPr>
          <w:rStyle w:val="Hyperlink"/>
          <w:lang w:val="de-DE"/>
        </w:rPr>
        <w:tab/>
        <w:t>9</w:t>
      </w:r>
    </w:p>
    <w:p w14:paraId="6FB7FFE8" w14:textId="5309A325" w:rsidR="004B1928" w:rsidRPr="00AF0D45" w:rsidRDefault="004B1928" w:rsidP="00521FA2">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2.</w:t>
      </w:r>
      <w:r w:rsidRPr="00AF0D45">
        <w:rPr>
          <w:rStyle w:val="Hyperlink"/>
          <w:lang w:val="de-DE"/>
        </w:rPr>
        <w:tab/>
      </w:r>
      <w:r w:rsidR="00521FA2" w:rsidRPr="00AF0D45">
        <w:rPr>
          <w:rStyle w:val="Hyperlink"/>
          <w:lang w:val="de-DE"/>
        </w:rPr>
        <w:t>Korrekturen bereits angenommener Änderungen (ECE/ADN/45)</w:t>
      </w:r>
      <w:r w:rsidRPr="00AF0D45">
        <w:rPr>
          <w:rStyle w:val="Hyperlink"/>
          <w:lang w:val="de-DE"/>
        </w:rPr>
        <w:tab/>
      </w:r>
      <w:r w:rsidRPr="00AF0D45">
        <w:rPr>
          <w:rStyle w:val="Hyperlink"/>
          <w:lang w:val="de-DE"/>
        </w:rPr>
        <w:tab/>
      </w:r>
      <w:r w:rsidR="00F675C8" w:rsidRPr="00AF0D45">
        <w:rPr>
          <w:rStyle w:val="Hyperlink"/>
          <w:lang w:val="de-DE"/>
        </w:rPr>
        <w:t>40</w:t>
      </w:r>
      <w:r w:rsidR="009C033A" w:rsidRPr="00AF0D45">
        <w:rPr>
          <w:rStyle w:val="Hyperlink"/>
          <w:lang w:val="de-DE"/>
        </w:rPr>
        <w:tab/>
        <w:t>10</w:t>
      </w:r>
    </w:p>
    <w:p w14:paraId="00E16B29" w14:textId="068DE962" w:rsidR="004B1928" w:rsidRPr="00AF0D45" w:rsidRDefault="004B1928" w:rsidP="009A3BA0">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3.</w:t>
      </w:r>
      <w:r w:rsidRPr="00AF0D45">
        <w:rPr>
          <w:rStyle w:val="Hyperlink"/>
          <w:lang w:val="de-DE"/>
        </w:rPr>
        <w:tab/>
      </w:r>
      <w:r w:rsidR="00521FA2" w:rsidRPr="00AF0D45">
        <w:rPr>
          <w:rStyle w:val="Hyperlink"/>
          <w:lang w:val="de-DE"/>
        </w:rPr>
        <w:t>Berichtigungen zu der dem ADN beigefügten Verordnung</w:t>
      </w:r>
      <w:r w:rsidRPr="00AF0D45">
        <w:rPr>
          <w:rStyle w:val="Hyperlink"/>
          <w:lang w:val="de-DE"/>
        </w:rPr>
        <w:tab/>
      </w:r>
      <w:r w:rsidRPr="00AF0D45">
        <w:rPr>
          <w:rStyle w:val="Hyperlink"/>
          <w:lang w:val="de-DE"/>
        </w:rPr>
        <w:tab/>
      </w:r>
      <w:r w:rsidR="00F675C8" w:rsidRPr="00AF0D45">
        <w:rPr>
          <w:rStyle w:val="Hyperlink"/>
          <w:lang w:val="de-DE"/>
        </w:rPr>
        <w:t>41</w:t>
      </w:r>
      <w:r w:rsidR="009C033A" w:rsidRPr="00AF0D45">
        <w:rPr>
          <w:rStyle w:val="Hyperlink"/>
          <w:lang w:val="de-DE"/>
        </w:rPr>
        <w:tab/>
        <w:t>10</w:t>
      </w:r>
    </w:p>
    <w:p w14:paraId="62D8AB61" w14:textId="65808B77" w:rsidR="004B1928" w:rsidRPr="00AF0D45" w:rsidRDefault="004B1928" w:rsidP="009A3BA0">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9A3BA0" w:rsidRPr="00AF0D45">
        <w:rPr>
          <w:rStyle w:val="Hyperlink"/>
          <w:lang w:val="de-DE"/>
        </w:rPr>
        <w:t>B.</w:t>
      </w:r>
      <w:r w:rsidRPr="00AF0D45">
        <w:rPr>
          <w:rStyle w:val="Hyperlink"/>
          <w:lang w:val="de-DE"/>
        </w:rPr>
        <w:tab/>
      </w:r>
      <w:r w:rsidR="009A3BA0" w:rsidRPr="00AF0D45">
        <w:rPr>
          <w:rStyle w:val="Hyperlink"/>
          <w:lang w:val="de-DE"/>
        </w:rPr>
        <w:t>Weitere Vorschläge</w:t>
      </w:r>
      <w:r w:rsidRPr="00AF0D45">
        <w:rPr>
          <w:rStyle w:val="Hyperlink"/>
          <w:lang w:val="de-DE"/>
        </w:rPr>
        <w:tab/>
      </w:r>
      <w:r w:rsidRPr="00AF0D45">
        <w:rPr>
          <w:rStyle w:val="Hyperlink"/>
          <w:lang w:val="de-DE"/>
        </w:rPr>
        <w:tab/>
      </w:r>
      <w:r w:rsidR="00F675C8" w:rsidRPr="00AF0D45">
        <w:rPr>
          <w:rStyle w:val="Hyperlink"/>
          <w:lang w:val="de-DE"/>
        </w:rPr>
        <w:t>42-67</w:t>
      </w:r>
      <w:r w:rsidR="009C033A" w:rsidRPr="00AF0D45">
        <w:rPr>
          <w:rStyle w:val="Hyperlink"/>
          <w:lang w:val="de-DE"/>
        </w:rPr>
        <w:tab/>
        <w:t>10</w:t>
      </w:r>
    </w:p>
    <w:p w14:paraId="2D339DE1" w14:textId="09FEB2A9" w:rsidR="004B1928" w:rsidRPr="00AF0D45" w:rsidRDefault="004B1928" w:rsidP="009A3BA0">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1.</w:t>
      </w:r>
      <w:r w:rsidRPr="00AF0D45">
        <w:rPr>
          <w:rStyle w:val="Hyperlink"/>
          <w:lang w:val="de-DE"/>
        </w:rPr>
        <w:tab/>
      </w:r>
      <w:r w:rsidR="009A3BA0" w:rsidRPr="00AF0D45">
        <w:rPr>
          <w:rStyle w:val="Hyperlink"/>
          <w:lang w:val="de-DE"/>
        </w:rPr>
        <w:t>Feuer und offenes Licht (9.1.0.41.3)</w:t>
      </w:r>
      <w:r w:rsidRPr="00AF0D45">
        <w:rPr>
          <w:rStyle w:val="Hyperlink"/>
          <w:lang w:val="de-DE"/>
        </w:rPr>
        <w:tab/>
      </w:r>
      <w:r w:rsidRPr="00AF0D45">
        <w:rPr>
          <w:rStyle w:val="Hyperlink"/>
          <w:lang w:val="de-DE"/>
        </w:rPr>
        <w:tab/>
      </w:r>
      <w:r w:rsidR="00F675C8" w:rsidRPr="00AF0D45">
        <w:rPr>
          <w:rStyle w:val="Hyperlink"/>
          <w:lang w:val="de-DE"/>
        </w:rPr>
        <w:t>42</w:t>
      </w:r>
      <w:r w:rsidR="009C033A" w:rsidRPr="00AF0D45">
        <w:rPr>
          <w:rStyle w:val="Hyperlink"/>
          <w:lang w:val="de-DE"/>
        </w:rPr>
        <w:tab/>
        <w:t>10</w:t>
      </w:r>
    </w:p>
    <w:p w14:paraId="303C866C" w14:textId="4B53D01F" w:rsidR="004B1928" w:rsidRPr="00AF0D45" w:rsidRDefault="004B1928" w:rsidP="009A3BA0">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2.</w:t>
      </w:r>
      <w:r w:rsidRPr="00AF0D45">
        <w:rPr>
          <w:rStyle w:val="Hyperlink"/>
          <w:lang w:val="de-DE"/>
        </w:rPr>
        <w:tab/>
      </w:r>
      <w:r w:rsidR="009A3BA0" w:rsidRPr="00AF0D45">
        <w:rPr>
          <w:rStyle w:val="Hyperlink"/>
          <w:lang w:val="de-DE"/>
        </w:rPr>
        <w:t>Stoffnummer 9001: Benennung und Beschreibung</w:t>
      </w:r>
      <w:r w:rsidRPr="00AF0D45">
        <w:rPr>
          <w:rStyle w:val="Hyperlink"/>
          <w:lang w:val="de-DE"/>
        </w:rPr>
        <w:tab/>
      </w:r>
      <w:r w:rsidRPr="00AF0D45">
        <w:rPr>
          <w:rStyle w:val="Hyperlink"/>
          <w:lang w:val="de-DE"/>
        </w:rPr>
        <w:tab/>
      </w:r>
      <w:r w:rsidR="00F675C8" w:rsidRPr="00AF0D45">
        <w:rPr>
          <w:rStyle w:val="Hyperlink"/>
          <w:lang w:val="de-DE"/>
        </w:rPr>
        <w:t>43</w:t>
      </w:r>
      <w:r w:rsidR="009C033A" w:rsidRPr="00AF0D45">
        <w:rPr>
          <w:rStyle w:val="Hyperlink"/>
          <w:lang w:val="de-DE"/>
        </w:rPr>
        <w:tab/>
        <w:t>10</w:t>
      </w:r>
    </w:p>
    <w:p w14:paraId="1CFDB43B" w14:textId="76104305" w:rsidR="004B1928" w:rsidRPr="00AF0D45" w:rsidRDefault="004B1928" w:rsidP="009A3BA0">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3.</w:t>
      </w:r>
      <w:r w:rsidRPr="00AF0D45">
        <w:rPr>
          <w:rStyle w:val="Hyperlink"/>
          <w:lang w:val="de-DE"/>
        </w:rPr>
        <w:tab/>
      </w:r>
      <w:r w:rsidR="009A3BA0" w:rsidRPr="00AF0D45">
        <w:rPr>
          <w:rStyle w:val="Hyperlink"/>
          <w:lang w:val="de-DE"/>
        </w:rPr>
        <w:t>Korrektur am ADN 2019</w:t>
      </w:r>
      <w:r w:rsidRPr="00AF0D45">
        <w:rPr>
          <w:rStyle w:val="Hyperlink"/>
          <w:lang w:val="de-DE"/>
        </w:rPr>
        <w:tab/>
      </w:r>
      <w:r w:rsidRPr="00AF0D45">
        <w:rPr>
          <w:rStyle w:val="Hyperlink"/>
          <w:lang w:val="de-DE"/>
        </w:rPr>
        <w:tab/>
      </w:r>
      <w:r w:rsidR="00F675C8" w:rsidRPr="00AF0D45">
        <w:rPr>
          <w:rStyle w:val="Hyperlink"/>
          <w:lang w:val="de-DE"/>
        </w:rPr>
        <w:t>44</w:t>
      </w:r>
      <w:r w:rsidR="009C033A" w:rsidRPr="00AF0D45">
        <w:rPr>
          <w:rStyle w:val="Hyperlink"/>
          <w:lang w:val="de-DE"/>
        </w:rPr>
        <w:tab/>
        <w:t>11</w:t>
      </w:r>
    </w:p>
    <w:p w14:paraId="4BF7EA7D" w14:textId="35C75F49"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4.</w:t>
      </w:r>
      <w:r w:rsidRPr="00AF0D45">
        <w:rPr>
          <w:rStyle w:val="Hyperlink"/>
          <w:lang w:val="de-DE"/>
        </w:rPr>
        <w:tab/>
      </w:r>
      <w:r w:rsidR="008622A0" w:rsidRPr="00AF0D45">
        <w:rPr>
          <w:rStyle w:val="Hyperlink"/>
          <w:lang w:val="de-DE"/>
        </w:rPr>
        <w:t>Beiboote (7.2.3.29.1)</w:t>
      </w:r>
      <w:r w:rsidRPr="00AF0D45">
        <w:rPr>
          <w:rStyle w:val="Hyperlink"/>
          <w:lang w:val="de-DE"/>
        </w:rPr>
        <w:tab/>
      </w:r>
      <w:r w:rsidRPr="00AF0D45">
        <w:rPr>
          <w:rStyle w:val="Hyperlink"/>
          <w:lang w:val="de-DE"/>
        </w:rPr>
        <w:tab/>
      </w:r>
      <w:r w:rsidR="00F675C8" w:rsidRPr="00AF0D45">
        <w:rPr>
          <w:rStyle w:val="Hyperlink"/>
          <w:lang w:val="de-DE"/>
        </w:rPr>
        <w:t>45-48</w:t>
      </w:r>
      <w:r w:rsidR="009C033A" w:rsidRPr="00AF0D45">
        <w:rPr>
          <w:rStyle w:val="Hyperlink"/>
          <w:lang w:val="de-DE"/>
        </w:rPr>
        <w:tab/>
        <w:t>11</w:t>
      </w:r>
    </w:p>
    <w:p w14:paraId="360B47BF" w14:textId="77777777" w:rsidR="00817513" w:rsidRPr="00AF0D45" w:rsidRDefault="00817513">
      <w:pPr>
        <w:suppressAutoHyphens w:val="0"/>
        <w:spacing w:line="240" w:lineRule="auto"/>
        <w:rPr>
          <w:rStyle w:val="Hyperlink"/>
          <w:lang w:val="de-DE"/>
        </w:rPr>
      </w:pPr>
      <w:r w:rsidRPr="00AF0D45">
        <w:rPr>
          <w:rStyle w:val="Hyperlink"/>
          <w:lang w:val="de-DE"/>
        </w:rPr>
        <w:br w:type="page"/>
      </w:r>
    </w:p>
    <w:p w14:paraId="00EB99F3" w14:textId="40130DF5"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lastRenderedPageBreak/>
        <w:tab/>
      </w:r>
      <w:r w:rsidRPr="00AF0D45">
        <w:rPr>
          <w:rStyle w:val="Hyperlink"/>
          <w:lang w:val="de-DE"/>
        </w:rPr>
        <w:tab/>
      </w:r>
      <w:r w:rsidRPr="00AF0D45">
        <w:rPr>
          <w:rStyle w:val="Hyperlink"/>
          <w:lang w:val="de-DE"/>
        </w:rPr>
        <w:tab/>
        <w:t>5.</w:t>
      </w:r>
      <w:r w:rsidRPr="00AF0D45">
        <w:rPr>
          <w:rStyle w:val="Hyperlink"/>
          <w:lang w:val="de-DE"/>
        </w:rPr>
        <w:tab/>
      </w:r>
      <w:r w:rsidR="008622A0" w:rsidRPr="00AF0D45">
        <w:rPr>
          <w:rStyle w:val="Hyperlink"/>
          <w:lang w:val="de-DE"/>
        </w:rPr>
        <w:t>Änderungen betreffend den Explosionsschutz auf Binnentankschiffen</w:t>
      </w:r>
      <w:r w:rsidRPr="00AF0D45">
        <w:rPr>
          <w:rStyle w:val="Hyperlink"/>
          <w:lang w:val="de-DE"/>
        </w:rPr>
        <w:tab/>
      </w:r>
      <w:r w:rsidRPr="00AF0D45">
        <w:rPr>
          <w:rStyle w:val="Hyperlink"/>
          <w:lang w:val="de-DE"/>
        </w:rPr>
        <w:tab/>
      </w:r>
      <w:r w:rsidR="00F675C8" w:rsidRPr="00AF0D45">
        <w:rPr>
          <w:rStyle w:val="Hyperlink"/>
          <w:lang w:val="de-DE"/>
        </w:rPr>
        <w:t>49</w:t>
      </w:r>
      <w:r w:rsidRPr="00AF0D45">
        <w:rPr>
          <w:rStyle w:val="Hyperlink"/>
          <w:lang w:val="de-DE"/>
        </w:rPr>
        <w:tab/>
      </w:r>
      <w:r w:rsidR="009C033A" w:rsidRPr="00AF0D45">
        <w:rPr>
          <w:rStyle w:val="Hyperlink"/>
          <w:lang w:val="de-DE"/>
        </w:rPr>
        <w:t>12</w:t>
      </w:r>
    </w:p>
    <w:p w14:paraId="697DBF44" w14:textId="7C9ECC19"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6.</w:t>
      </w:r>
      <w:r w:rsidRPr="00AF0D45">
        <w:rPr>
          <w:rStyle w:val="Hyperlink"/>
          <w:lang w:val="de-DE"/>
        </w:rPr>
        <w:tab/>
      </w:r>
      <w:r w:rsidR="008622A0" w:rsidRPr="00AF0D45">
        <w:rPr>
          <w:rStyle w:val="Hyperlink"/>
          <w:lang w:val="de-DE"/>
        </w:rPr>
        <w:t>Zuordnungskriterien für die Stoffe in Unterabschnitt 3.2.4.3</w:t>
      </w:r>
      <w:r w:rsidRPr="00AF0D45">
        <w:rPr>
          <w:rStyle w:val="Hyperlink"/>
          <w:lang w:val="de-DE"/>
        </w:rPr>
        <w:tab/>
      </w:r>
      <w:r w:rsidRPr="00AF0D45">
        <w:rPr>
          <w:rStyle w:val="Hyperlink"/>
          <w:lang w:val="de-DE"/>
        </w:rPr>
        <w:tab/>
      </w:r>
      <w:r w:rsidR="00F675C8" w:rsidRPr="00AF0D45">
        <w:rPr>
          <w:rStyle w:val="Hyperlink"/>
          <w:lang w:val="de-DE"/>
        </w:rPr>
        <w:t>50</w:t>
      </w:r>
      <w:r w:rsidR="009C033A" w:rsidRPr="00AF0D45">
        <w:rPr>
          <w:rStyle w:val="Hyperlink"/>
          <w:lang w:val="de-DE"/>
        </w:rPr>
        <w:tab/>
        <w:t>12</w:t>
      </w:r>
    </w:p>
    <w:p w14:paraId="181F7231" w14:textId="75A47E30"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Pr="00AF0D45">
        <w:rPr>
          <w:rStyle w:val="Hyperlink"/>
          <w:lang w:val="de-DE"/>
        </w:rPr>
        <w:tab/>
        <w:t>7.</w:t>
      </w:r>
      <w:r w:rsidRPr="00AF0D45">
        <w:rPr>
          <w:rStyle w:val="Hyperlink"/>
          <w:lang w:val="de-DE"/>
        </w:rPr>
        <w:tab/>
      </w:r>
      <w:r w:rsidR="008622A0" w:rsidRPr="00AF0D45">
        <w:rPr>
          <w:rStyle w:val="Hyperlink"/>
          <w:lang w:val="de-DE"/>
        </w:rPr>
        <w:t>Verwendung einer Gasrückfuhrleitung während des Löschens (1.4.3.7.1)</w:t>
      </w:r>
      <w:r w:rsidRPr="00AF0D45">
        <w:rPr>
          <w:rStyle w:val="Hyperlink"/>
          <w:lang w:val="de-DE"/>
        </w:rPr>
        <w:tab/>
      </w:r>
      <w:r w:rsidRPr="00AF0D45">
        <w:rPr>
          <w:rStyle w:val="Hyperlink"/>
          <w:lang w:val="de-DE"/>
        </w:rPr>
        <w:tab/>
      </w:r>
      <w:r w:rsidR="00F675C8" w:rsidRPr="00AF0D45">
        <w:rPr>
          <w:rStyle w:val="Hyperlink"/>
          <w:lang w:val="de-DE"/>
        </w:rPr>
        <w:t>51</w:t>
      </w:r>
      <w:r w:rsidR="009C033A" w:rsidRPr="00AF0D45">
        <w:rPr>
          <w:rStyle w:val="Hyperlink"/>
          <w:lang w:val="de-DE"/>
        </w:rPr>
        <w:tab/>
        <w:t>12</w:t>
      </w:r>
    </w:p>
    <w:p w14:paraId="096C829E" w14:textId="44423BBE"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8.</w:t>
      </w:r>
      <w:r w:rsidRPr="00AF0D45">
        <w:rPr>
          <w:rStyle w:val="Hyperlink"/>
          <w:lang w:val="de-DE"/>
        </w:rPr>
        <w:tab/>
      </w:r>
      <w:r w:rsidR="008622A0" w:rsidRPr="00AF0D45">
        <w:rPr>
          <w:rStyle w:val="Hyperlink"/>
          <w:lang w:val="de-DE"/>
        </w:rPr>
        <w:t>Kopfzeile der Tabelle C</w:t>
      </w:r>
      <w:r w:rsidRPr="00AF0D45">
        <w:rPr>
          <w:rStyle w:val="Hyperlink"/>
          <w:lang w:val="de-DE"/>
        </w:rPr>
        <w:tab/>
      </w:r>
      <w:r w:rsidRPr="00AF0D45">
        <w:rPr>
          <w:rStyle w:val="Hyperlink"/>
          <w:lang w:val="de-DE"/>
        </w:rPr>
        <w:tab/>
      </w:r>
      <w:r w:rsidR="00F675C8" w:rsidRPr="00AF0D45">
        <w:rPr>
          <w:rStyle w:val="Hyperlink"/>
          <w:lang w:val="de-DE"/>
        </w:rPr>
        <w:t>52</w:t>
      </w:r>
      <w:r w:rsidR="009C033A" w:rsidRPr="00AF0D45">
        <w:rPr>
          <w:rStyle w:val="Hyperlink"/>
          <w:lang w:val="de-DE"/>
        </w:rPr>
        <w:tab/>
        <w:t>12</w:t>
      </w:r>
    </w:p>
    <w:p w14:paraId="22DB9F72" w14:textId="295236E4"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9.</w:t>
      </w:r>
      <w:r w:rsidRPr="00AF0D45">
        <w:rPr>
          <w:rStyle w:val="Hyperlink"/>
          <w:lang w:val="de-DE"/>
        </w:rPr>
        <w:tab/>
      </w:r>
      <w:r w:rsidR="008622A0" w:rsidRPr="00AF0D45">
        <w:rPr>
          <w:rStyle w:val="Hyperlink"/>
          <w:lang w:val="de-DE"/>
        </w:rPr>
        <w:t>Unstimmigkeit in den schriftlichen Weisungen</w:t>
      </w:r>
      <w:r w:rsidRPr="00AF0D45">
        <w:rPr>
          <w:rStyle w:val="Hyperlink"/>
          <w:lang w:val="de-DE"/>
        </w:rPr>
        <w:tab/>
      </w:r>
      <w:r w:rsidRPr="00AF0D45">
        <w:rPr>
          <w:rStyle w:val="Hyperlink"/>
          <w:lang w:val="de-DE"/>
        </w:rPr>
        <w:tab/>
      </w:r>
      <w:r w:rsidR="00F675C8" w:rsidRPr="00AF0D45">
        <w:rPr>
          <w:rStyle w:val="Hyperlink"/>
          <w:lang w:val="de-DE"/>
        </w:rPr>
        <w:t>53</w:t>
      </w:r>
      <w:r w:rsidR="009C033A" w:rsidRPr="00AF0D45">
        <w:rPr>
          <w:rStyle w:val="Hyperlink"/>
          <w:lang w:val="de-DE"/>
        </w:rPr>
        <w:tab/>
        <w:t>12</w:t>
      </w:r>
    </w:p>
    <w:p w14:paraId="5E80AD28" w14:textId="2B8F6A34"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10.</w:t>
      </w:r>
      <w:r w:rsidRPr="00AF0D45">
        <w:rPr>
          <w:rStyle w:val="Hyperlink"/>
          <w:lang w:val="de-DE"/>
        </w:rPr>
        <w:tab/>
      </w:r>
      <w:r w:rsidR="008622A0" w:rsidRPr="00AF0D45">
        <w:rPr>
          <w:rStyle w:val="Hyperlink"/>
          <w:spacing w:val="-2"/>
          <w:lang w:val="de-DE"/>
        </w:rPr>
        <w:t xml:space="preserve">Vorschläge zur Änderung der Tabellen A, B und C der dem ADN beigefügten </w:t>
      </w:r>
      <w:r w:rsidR="0000138D" w:rsidRPr="00AF0D45">
        <w:rPr>
          <w:rStyle w:val="Hyperlink"/>
          <w:spacing w:val="-2"/>
          <w:lang w:val="de-DE"/>
        </w:rPr>
        <w:br/>
      </w:r>
      <w:r w:rsidR="008622A0" w:rsidRPr="00AF0D45">
        <w:rPr>
          <w:rStyle w:val="Hyperlink"/>
          <w:spacing w:val="-2"/>
          <w:lang w:val="de-DE"/>
        </w:rPr>
        <w:t>Verordnung</w:t>
      </w:r>
      <w:r w:rsidRPr="00AF0D45">
        <w:rPr>
          <w:rStyle w:val="Hyperlink"/>
          <w:lang w:val="de-DE"/>
        </w:rPr>
        <w:tab/>
      </w:r>
      <w:r w:rsidRPr="00AF0D45">
        <w:rPr>
          <w:rStyle w:val="Hyperlink"/>
          <w:lang w:val="de-DE"/>
        </w:rPr>
        <w:tab/>
      </w:r>
      <w:r w:rsidR="00F675C8" w:rsidRPr="00AF0D45">
        <w:rPr>
          <w:rStyle w:val="Hyperlink"/>
          <w:lang w:val="de-DE"/>
        </w:rPr>
        <w:t>54-56</w:t>
      </w:r>
      <w:r w:rsidR="009C033A" w:rsidRPr="00AF0D45">
        <w:rPr>
          <w:rStyle w:val="Hyperlink"/>
          <w:lang w:val="de-DE"/>
        </w:rPr>
        <w:tab/>
        <w:t>12</w:t>
      </w:r>
    </w:p>
    <w:p w14:paraId="097FC215" w14:textId="404FFBD2"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11.</w:t>
      </w:r>
      <w:r w:rsidRPr="00AF0D45">
        <w:rPr>
          <w:rStyle w:val="Hyperlink"/>
          <w:lang w:val="de-DE"/>
        </w:rPr>
        <w:tab/>
      </w:r>
      <w:r w:rsidR="008622A0" w:rsidRPr="00AF0D45">
        <w:rPr>
          <w:rStyle w:val="Hyperlink"/>
          <w:lang w:val="de-DE"/>
        </w:rPr>
        <w:t>Änderungsvorschläge zu Teil 2 der dem ADN beigefügten Verordnung</w:t>
      </w:r>
      <w:r w:rsidRPr="00AF0D45">
        <w:rPr>
          <w:rStyle w:val="Hyperlink"/>
          <w:lang w:val="de-DE"/>
        </w:rPr>
        <w:tab/>
      </w:r>
      <w:r w:rsidRPr="00AF0D45">
        <w:rPr>
          <w:rStyle w:val="Hyperlink"/>
          <w:lang w:val="de-DE"/>
        </w:rPr>
        <w:tab/>
      </w:r>
      <w:r w:rsidR="00F675C8" w:rsidRPr="00AF0D45">
        <w:rPr>
          <w:rStyle w:val="Hyperlink"/>
          <w:lang w:val="de-DE"/>
        </w:rPr>
        <w:t>57</w:t>
      </w:r>
      <w:r w:rsidRPr="00AF0D45">
        <w:rPr>
          <w:rStyle w:val="Hyperlink"/>
          <w:lang w:val="de-DE"/>
        </w:rPr>
        <w:tab/>
      </w:r>
      <w:r w:rsidR="009C029A" w:rsidRPr="00AF0D45">
        <w:rPr>
          <w:rStyle w:val="Hyperlink"/>
          <w:lang w:val="de-DE"/>
        </w:rPr>
        <w:t>13</w:t>
      </w:r>
    </w:p>
    <w:p w14:paraId="05455E59" w14:textId="2191F0D6"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12.</w:t>
      </w:r>
      <w:r w:rsidRPr="00AF0D45">
        <w:rPr>
          <w:rStyle w:val="Hyperlink"/>
          <w:lang w:val="de-DE"/>
        </w:rPr>
        <w:tab/>
      </w:r>
      <w:r w:rsidR="008622A0" w:rsidRPr="00AF0D45">
        <w:rPr>
          <w:rStyle w:val="Hyperlink"/>
          <w:lang w:val="de-DE"/>
        </w:rPr>
        <w:t>Änderung von 7.1.4.1 Begrenzung der beförderten Mengen</w:t>
      </w:r>
      <w:r w:rsidRPr="00AF0D45">
        <w:rPr>
          <w:rStyle w:val="Hyperlink"/>
          <w:lang w:val="de-DE"/>
        </w:rPr>
        <w:tab/>
      </w:r>
      <w:r w:rsidRPr="00AF0D45">
        <w:rPr>
          <w:rStyle w:val="Hyperlink"/>
          <w:lang w:val="de-DE"/>
        </w:rPr>
        <w:tab/>
      </w:r>
      <w:r w:rsidR="00F675C8" w:rsidRPr="00AF0D45">
        <w:rPr>
          <w:rStyle w:val="Hyperlink"/>
          <w:lang w:val="de-DE"/>
        </w:rPr>
        <w:t>58</w:t>
      </w:r>
      <w:r w:rsidRPr="00AF0D45">
        <w:rPr>
          <w:rStyle w:val="Hyperlink"/>
          <w:lang w:val="de-DE"/>
        </w:rPr>
        <w:tab/>
      </w:r>
      <w:r w:rsidR="009C029A" w:rsidRPr="00AF0D45">
        <w:rPr>
          <w:rStyle w:val="Hyperlink"/>
          <w:lang w:val="de-DE"/>
        </w:rPr>
        <w:t>13</w:t>
      </w:r>
    </w:p>
    <w:p w14:paraId="51413115" w14:textId="4C569B45"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13.</w:t>
      </w:r>
      <w:r w:rsidRPr="00AF0D45">
        <w:rPr>
          <w:rStyle w:val="Hyperlink"/>
          <w:lang w:val="de-DE"/>
        </w:rPr>
        <w:tab/>
      </w:r>
      <w:r w:rsidR="008622A0" w:rsidRPr="00AF0D45">
        <w:rPr>
          <w:rStyle w:val="Hyperlink"/>
          <w:lang w:val="de-DE"/>
        </w:rPr>
        <w:t>Verwendung des Ausdrucks „Akkumulator“ in Kapitel</w:t>
      </w:r>
      <w:r w:rsidR="00D32CAA" w:rsidRPr="00AF0D45">
        <w:rPr>
          <w:rStyle w:val="Hyperlink"/>
          <w:lang w:val="de-DE"/>
        </w:rPr>
        <w:t xml:space="preserve"> 9</w:t>
      </w:r>
      <w:r w:rsidR="002F6D80" w:rsidRPr="00AF0D45">
        <w:rPr>
          <w:rStyle w:val="Hyperlink"/>
          <w:lang w:val="de-DE"/>
        </w:rPr>
        <w:tab/>
      </w:r>
      <w:r w:rsidR="00F675C8" w:rsidRPr="00AF0D45">
        <w:rPr>
          <w:rStyle w:val="Hyperlink"/>
          <w:lang w:val="de-DE"/>
        </w:rPr>
        <w:tab/>
        <w:t>59</w:t>
      </w:r>
      <w:r w:rsidR="009C029A" w:rsidRPr="00AF0D45">
        <w:rPr>
          <w:rStyle w:val="Hyperlink"/>
          <w:lang w:val="de-DE"/>
        </w:rPr>
        <w:tab/>
        <w:t>13</w:t>
      </w:r>
    </w:p>
    <w:p w14:paraId="4D04C7AC" w14:textId="0CCA81C9" w:rsidR="004B1928" w:rsidRPr="00AF0D45" w:rsidRDefault="004B1928" w:rsidP="008622A0">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14.</w:t>
      </w:r>
      <w:r w:rsidRPr="00AF0D45">
        <w:rPr>
          <w:rStyle w:val="Hyperlink"/>
          <w:lang w:val="de-DE"/>
        </w:rPr>
        <w:tab/>
      </w:r>
      <w:r w:rsidR="008622A0" w:rsidRPr="00AF0D45">
        <w:rPr>
          <w:rStyle w:val="Hyperlink"/>
          <w:lang w:val="de-DE"/>
        </w:rPr>
        <w:t>Klarstellung der Absätze 1.1.3.6.1 und 1.1.3.6.2</w:t>
      </w:r>
      <w:r w:rsidR="002F6D80" w:rsidRPr="00AF0D45">
        <w:rPr>
          <w:rStyle w:val="Hyperlink"/>
          <w:lang w:val="de-DE"/>
        </w:rPr>
        <w:tab/>
      </w:r>
      <w:r w:rsidR="00F675C8" w:rsidRPr="00AF0D45">
        <w:rPr>
          <w:rStyle w:val="Hyperlink"/>
          <w:lang w:val="de-DE"/>
        </w:rPr>
        <w:tab/>
        <w:t>60</w:t>
      </w:r>
      <w:r w:rsidR="009C029A" w:rsidRPr="00AF0D45">
        <w:rPr>
          <w:rStyle w:val="Hyperlink"/>
          <w:lang w:val="de-DE"/>
        </w:rPr>
        <w:tab/>
        <w:t>13</w:t>
      </w:r>
    </w:p>
    <w:p w14:paraId="4B6CF18B" w14:textId="5BDC1A88"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15.</w:t>
      </w:r>
      <w:r w:rsidRPr="00AF0D45">
        <w:rPr>
          <w:rStyle w:val="Hyperlink"/>
          <w:lang w:val="de-DE"/>
        </w:rPr>
        <w:tab/>
      </w:r>
      <w:r w:rsidR="008622A0" w:rsidRPr="00AF0D45">
        <w:rPr>
          <w:rStyle w:val="Hyperlink"/>
          <w:lang w:val="de-DE"/>
        </w:rPr>
        <w:t>Änderung</w:t>
      </w:r>
      <w:r w:rsidR="0020587C" w:rsidRPr="00AF0D45">
        <w:rPr>
          <w:rStyle w:val="Hyperlink"/>
          <w:lang w:val="de-DE"/>
        </w:rPr>
        <w:t xml:space="preserve"> des Absatzes</w:t>
      </w:r>
      <w:r w:rsidR="008622A0" w:rsidRPr="00AF0D45">
        <w:rPr>
          <w:rStyle w:val="Hyperlink"/>
          <w:lang w:val="de-DE"/>
        </w:rPr>
        <w:t xml:space="preserve"> 7.1.0.5.0.2 und </w:t>
      </w:r>
      <w:r w:rsidR="0020587C" w:rsidRPr="00AF0D45">
        <w:rPr>
          <w:rStyle w:val="Hyperlink"/>
          <w:lang w:val="de-DE"/>
        </w:rPr>
        <w:t xml:space="preserve">des Unterabschnitts </w:t>
      </w:r>
      <w:r w:rsidR="008622A0" w:rsidRPr="00AF0D45">
        <w:rPr>
          <w:rStyle w:val="Hyperlink"/>
          <w:lang w:val="de-DE"/>
        </w:rPr>
        <w:t>7.1.6.12</w:t>
      </w:r>
      <w:r w:rsidRPr="00AF0D45">
        <w:rPr>
          <w:rStyle w:val="Hyperlink"/>
          <w:lang w:val="de-DE"/>
        </w:rPr>
        <w:t xml:space="preserve"> </w:t>
      </w:r>
      <w:r w:rsidR="002F6D80" w:rsidRPr="00AF0D45">
        <w:rPr>
          <w:rStyle w:val="Hyperlink"/>
          <w:lang w:val="de-DE"/>
        </w:rPr>
        <w:tab/>
      </w:r>
      <w:r w:rsidR="00F675C8" w:rsidRPr="00AF0D45">
        <w:rPr>
          <w:rStyle w:val="Hyperlink"/>
          <w:lang w:val="de-DE"/>
        </w:rPr>
        <w:tab/>
        <w:t>61-62</w:t>
      </w:r>
      <w:r w:rsidR="00C313C3" w:rsidRPr="00AF0D45">
        <w:rPr>
          <w:rStyle w:val="Hyperlink"/>
          <w:lang w:val="de-DE"/>
        </w:rPr>
        <w:tab/>
        <w:t>13</w:t>
      </w:r>
    </w:p>
    <w:p w14:paraId="2D7B3617" w14:textId="37EA0F94"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16.</w:t>
      </w:r>
      <w:r w:rsidRPr="00AF0D45">
        <w:rPr>
          <w:rStyle w:val="Hyperlink"/>
          <w:lang w:val="de-DE"/>
        </w:rPr>
        <w:tab/>
      </w:r>
      <w:r w:rsidR="0020587C" w:rsidRPr="00AF0D45">
        <w:rPr>
          <w:rStyle w:val="Hyperlink"/>
          <w:lang w:val="de-DE"/>
        </w:rPr>
        <w:t xml:space="preserve">Freistellungen in Zusammenhang mit an Bord von Schiffen beförderten </w:t>
      </w:r>
      <w:r w:rsidR="0000138D" w:rsidRPr="00AF0D45">
        <w:rPr>
          <w:rStyle w:val="Hyperlink"/>
          <w:lang w:val="de-DE"/>
        </w:rPr>
        <w:br/>
      </w:r>
      <w:r w:rsidR="0020587C" w:rsidRPr="00AF0D45">
        <w:rPr>
          <w:rStyle w:val="Hyperlink"/>
          <w:lang w:val="de-DE"/>
        </w:rPr>
        <w:t>Mengen in Unterabschnitt 1.1.3.6</w:t>
      </w:r>
      <w:r w:rsidR="002F6D80" w:rsidRPr="00AF0D45">
        <w:rPr>
          <w:rStyle w:val="Hyperlink"/>
          <w:lang w:val="de-DE"/>
        </w:rPr>
        <w:tab/>
      </w:r>
      <w:r w:rsidR="00F675C8" w:rsidRPr="00AF0D45">
        <w:rPr>
          <w:rStyle w:val="Hyperlink"/>
          <w:lang w:val="de-DE"/>
        </w:rPr>
        <w:tab/>
        <w:t>63</w:t>
      </w:r>
      <w:r w:rsidR="00C313C3" w:rsidRPr="00AF0D45">
        <w:rPr>
          <w:rStyle w:val="Hyperlink"/>
          <w:lang w:val="de-DE"/>
        </w:rPr>
        <w:tab/>
        <w:t>14</w:t>
      </w:r>
    </w:p>
    <w:p w14:paraId="6AD6ECF7" w14:textId="6B09C6D1"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17.</w:t>
      </w:r>
      <w:r w:rsidRPr="00AF0D45">
        <w:rPr>
          <w:rStyle w:val="Hyperlink"/>
          <w:lang w:val="de-DE"/>
        </w:rPr>
        <w:tab/>
      </w:r>
      <w:r w:rsidR="0020587C" w:rsidRPr="00AF0D45">
        <w:rPr>
          <w:rStyle w:val="Hyperlink"/>
          <w:lang w:val="de-DE"/>
        </w:rPr>
        <w:t>Berichtigung des Absatzes 9.3.x.52.6</w:t>
      </w:r>
      <w:r w:rsidR="002F6D80" w:rsidRPr="00AF0D45">
        <w:rPr>
          <w:rStyle w:val="Hyperlink"/>
          <w:lang w:val="de-DE"/>
        </w:rPr>
        <w:tab/>
      </w:r>
      <w:r w:rsidR="00F675C8" w:rsidRPr="00AF0D45">
        <w:rPr>
          <w:rStyle w:val="Hyperlink"/>
          <w:lang w:val="de-DE"/>
        </w:rPr>
        <w:tab/>
        <w:t>64</w:t>
      </w:r>
      <w:r w:rsidR="00C313C3" w:rsidRPr="00AF0D45">
        <w:rPr>
          <w:rStyle w:val="Hyperlink"/>
          <w:lang w:val="de-DE"/>
        </w:rPr>
        <w:tab/>
        <w:t>14</w:t>
      </w:r>
    </w:p>
    <w:p w14:paraId="524DAD0D" w14:textId="1EDE8F95"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18.</w:t>
      </w:r>
      <w:r w:rsidRPr="00AF0D45">
        <w:rPr>
          <w:rStyle w:val="Hyperlink"/>
          <w:lang w:val="de-DE"/>
        </w:rPr>
        <w:tab/>
      </w:r>
      <w:r w:rsidR="0020587C" w:rsidRPr="00AF0D45">
        <w:rPr>
          <w:rStyle w:val="Hyperlink"/>
          <w:lang w:val="de-DE"/>
        </w:rPr>
        <w:t>Neueinstufung der Explosionsgruppen für weitere UN-Nummern</w:t>
      </w:r>
      <w:r w:rsidR="002F6D80" w:rsidRPr="00AF0D45">
        <w:rPr>
          <w:rStyle w:val="Hyperlink"/>
          <w:lang w:val="de-DE"/>
        </w:rPr>
        <w:tab/>
      </w:r>
      <w:r w:rsidR="00F675C8" w:rsidRPr="00AF0D45">
        <w:rPr>
          <w:rStyle w:val="Hyperlink"/>
          <w:lang w:val="de-DE"/>
        </w:rPr>
        <w:tab/>
        <w:t>65</w:t>
      </w:r>
      <w:r w:rsidR="00C313C3" w:rsidRPr="00AF0D45">
        <w:rPr>
          <w:rStyle w:val="Hyperlink"/>
          <w:lang w:val="de-DE"/>
        </w:rPr>
        <w:tab/>
        <w:t>14</w:t>
      </w:r>
    </w:p>
    <w:p w14:paraId="08F4A62A" w14:textId="7972B508"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19.</w:t>
      </w:r>
      <w:r w:rsidRPr="00AF0D45">
        <w:rPr>
          <w:rStyle w:val="Hyperlink"/>
          <w:lang w:val="de-DE"/>
        </w:rPr>
        <w:tab/>
      </w:r>
      <w:r w:rsidR="0020587C" w:rsidRPr="00AF0D45">
        <w:rPr>
          <w:rStyle w:val="Hyperlink"/>
          <w:lang w:val="de-DE"/>
        </w:rPr>
        <w:t>Prüfergebnisse zu Normspaltweiten und multilaterale Vereinbarung M 018</w:t>
      </w:r>
      <w:r w:rsidR="003045A4" w:rsidRPr="00AF0D45">
        <w:rPr>
          <w:rStyle w:val="Hyperlink"/>
          <w:lang w:val="de-DE"/>
        </w:rPr>
        <w:tab/>
      </w:r>
      <w:r w:rsidR="003045A4" w:rsidRPr="00AF0D45">
        <w:rPr>
          <w:rStyle w:val="Hyperlink"/>
          <w:lang w:val="de-DE"/>
        </w:rPr>
        <w:tab/>
      </w:r>
      <w:r w:rsidR="00F675C8" w:rsidRPr="00AF0D45">
        <w:rPr>
          <w:rStyle w:val="Hyperlink"/>
          <w:lang w:val="de-DE"/>
        </w:rPr>
        <w:t>66</w:t>
      </w:r>
      <w:r w:rsidR="00F675C8" w:rsidRPr="00AF0D45">
        <w:rPr>
          <w:rStyle w:val="Hyperlink"/>
          <w:lang w:val="de-DE"/>
        </w:rPr>
        <w:tab/>
      </w:r>
      <w:r w:rsidR="00C313C3" w:rsidRPr="00AF0D45">
        <w:rPr>
          <w:rStyle w:val="Hyperlink"/>
          <w:lang w:val="de-DE"/>
        </w:rPr>
        <w:t>14</w:t>
      </w:r>
    </w:p>
    <w:p w14:paraId="2C9755F4" w14:textId="2FEAE0F4"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980" w:hanging="1980"/>
        <w:rPr>
          <w:rStyle w:val="Hyperlink"/>
          <w:lang w:val="de-DE"/>
        </w:rPr>
      </w:pPr>
      <w:r w:rsidRPr="00AF0D45">
        <w:rPr>
          <w:rStyle w:val="Hyperlink"/>
          <w:lang w:val="de-DE"/>
        </w:rPr>
        <w:tab/>
      </w:r>
      <w:r w:rsidRPr="00AF0D45">
        <w:rPr>
          <w:rStyle w:val="Hyperlink"/>
          <w:lang w:val="de-DE"/>
        </w:rPr>
        <w:tab/>
      </w:r>
      <w:r w:rsidRPr="00AF0D45">
        <w:rPr>
          <w:rStyle w:val="Hyperlink"/>
          <w:lang w:val="de-DE"/>
        </w:rPr>
        <w:tab/>
        <w:t>20.</w:t>
      </w:r>
      <w:r w:rsidRPr="00AF0D45">
        <w:rPr>
          <w:rStyle w:val="Hyperlink"/>
          <w:lang w:val="de-DE"/>
        </w:rPr>
        <w:tab/>
      </w:r>
      <w:r w:rsidR="0020587C" w:rsidRPr="00AF0D45">
        <w:rPr>
          <w:rStyle w:val="Hyperlink"/>
          <w:lang w:val="de-DE"/>
        </w:rPr>
        <w:t>Unstimmigkeiten in den Schemata A und B in Unterabschnitt 3.2.3.3 ADN</w:t>
      </w:r>
      <w:r w:rsidR="003045A4" w:rsidRPr="00AF0D45">
        <w:rPr>
          <w:rStyle w:val="Hyperlink"/>
          <w:lang w:val="de-DE"/>
        </w:rPr>
        <w:tab/>
      </w:r>
      <w:r w:rsidR="003045A4" w:rsidRPr="00AF0D45">
        <w:rPr>
          <w:rStyle w:val="Hyperlink"/>
          <w:lang w:val="de-DE"/>
        </w:rPr>
        <w:tab/>
      </w:r>
      <w:r w:rsidR="00F675C8" w:rsidRPr="00AF0D45">
        <w:rPr>
          <w:rStyle w:val="Hyperlink"/>
          <w:lang w:val="de-DE"/>
        </w:rPr>
        <w:t>67</w:t>
      </w:r>
      <w:r w:rsidR="00C313C3" w:rsidRPr="00AF0D45">
        <w:rPr>
          <w:rStyle w:val="Hyperlink"/>
          <w:lang w:val="de-DE"/>
        </w:rPr>
        <w:tab/>
        <w:t>14</w:t>
      </w:r>
    </w:p>
    <w:p w14:paraId="44C92A10" w14:textId="3C60FB52"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r w:rsidRPr="00AF0D45">
        <w:rPr>
          <w:rStyle w:val="Hyperlink"/>
          <w:lang w:val="de-DE"/>
        </w:rPr>
        <w:tab/>
      </w:r>
      <w:r w:rsidR="0020587C" w:rsidRPr="00AF0D45">
        <w:rPr>
          <w:rStyle w:val="Hyperlink"/>
          <w:lang w:val="de-DE"/>
        </w:rPr>
        <w:t>VI.</w:t>
      </w:r>
      <w:r w:rsidRPr="00AF0D45">
        <w:rPr>
          <w:rStyle w:val="Hyperlink"/>
          <w:lang w:val="de-DE"/>
        </w:rPr>
        <w:tab/>
      </w:r>
      <w:r w:rsidR="0020587C" w:rsidRPr="00AF0D45">
        <w:rPr>
          <w:rStyle w:val="Hyperlink"/>
          <w:lang w:val="de-DE"/>
        </w:rPr>
        <w:t>Berichte informeller Arbeitsgruppen (TOP 5)</w:t>
      </w:r>
      <w:r w:rsidR="003045A4" w:rsidRPr="00AF0D45">
        <w:rPr>
          <w:rStyle w:val="Hyperlink"/>
          <w:lang w:val="de-DE"/>
        </w:rPr>
        <w:tab/>
      </w:r>
      <w:r w:rsidR="00F675C8" w:rsidRPr="00AF0D45">
        <w:rPr>
          <w:rStyle w:val="Hyperlink"/>
          <w:lang w:val="de-DE"/>
        </w:rPr>
        <w:tab/>
        <w:t>68-77</w:t>
      </w:r>
      <w:r w:rsidR="00C313C3" w:rsidRPr="00AF0D45">
        <w:rPr>
          <w:rStyle w:val="Hyperlink"/>
          <w:lang w:val="de-DE"/>
        </w:rPr>
        <w:tab/>
        <w:t>15</w:t>
      </w:r>
    </w:p>
    <w:p w14:paraId="745F7908" w14:textId="7919C329"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20587C" w:rsidRPr="00AF0D45">
        <w:rPr>
          <w:rStyle w:val="Hyperlink"/>
          <w:lang w:val="de-DE"/>
        </w:rPr>
        <w:t>A.</w:t>
      </w:r>
      <w:r w:rsidRPr="00AF0D45">
        <w:rPr>
          <w:rStyle w:val="Hyperlink"/>
          <w:lang w:val="de-DE"/>
        </w:rPr>
        <w:tab/>
      </w:r>
      <w:r w:rsidR="0020587C" w:rsidRPr="00AF0D45">
        <w:rPr>
          <w:rStyle w:val="Hyperlink"/>
          <w:lang w:val="de-DE"/>
        </w:rPr>
        <w:t>Bericht der informellen Arbeitsgruppe „Membrantanks“</w:t>
      </w:r>
      <w:r w:rsidRPr="00AF0D45">
        <w:rPr>
          <w:rStyle w:val="Hyperlink"/>
          <w:lang w:val="de-DE"/>
        </w:rPr>
        <w:tab/>
      </w:r>
      <w:r w:rsidRPr="00AF0D45">
        <w:rPr>
          <w:rStyle w:val="Hyperlink"/>
          <w:lang w:val="de-DE"/>
        </w:rPr>
        <w:tab/>
      </w:r>
      <w:r w:rsidR="00F675C8" w:rsidRPr="00AF0D45">
        <w:rPr>
          <w:rStyle w:val="Hyperlink"/>
          <w:lang w:val="de-DE"/>
        </w:rPr>
        <w:t>68-69</w:t>
      </w:r>
      <w:r w:rsidRPr="00AF0D45">
        <w:rPr>
          <w:rStyle w:val="Hyperlink"/>
          <w:lang w:val="de-DE"/>
        </w:rPr>
        <w:tab/>
      </w:r>
      <w:r w:rsidR="00C313C3" w:rsidRPr="00AF0D45">
        <w:rPr>
          <w:rStyle w:val="Hyperlink"/>
          <w:lang w:val="de-DE"/>
        </w:rPr>
        <w:t>15</w:t>
      </w:r>
    </w:p>
    <w:p w14:paraId="0DB32437" w14:textId="1DF6E25A"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20587C" w:rsidRPr="00AF0D45">
        <w:rPr>
          <w:rStyle w:val="Hyperlink"/>
          <w:lang w:val="de-DE"/>
        </w:rPr>
        <w:t>B.</w:t>
      </w:r>
      <w:r w:rsidRPr="00AF0D45">
        <w:rPr>
          <w:rStyle w:val="Hyperlink"/>
          <w:lang w:val="de-DE"/>
        </w:rPr>
        <w:tab/>
      </w:r>
      <w:r w:rsidR="0020587C" w:rsidRPr="00AF0D45">
        <w:rPr>
          <w:rStyle w:val="Hyperlink"/>
          <w:lang w:val="de-DE"/>
        </w:rPr>
        <w:t>Zweite Sitzung der informellen Arbeitsgruppe „Load-on-Top“</w:t>
      </w:r>
      <w:r w:rsidRPr="00AF0D45">
        <w:rPr>
          <w:rStyle w:val="Hyperlink"/>
          <w:lang w:val="de-DE"/>
        </w:rPr>
        <w:tab/>
      </w:r>
      <w:r w:rsidRPr="00AF0D45">
        <w:rPr>
          <w:rStyle w:val="Hyperlink"/>
          <w:lang w:val="de-DE"/>
        </w:rPr>
        <w:tab/>
      </w:r>
      <w:r w:rsidR="00F675C8" w:rsidRPr="00AF0D45">
        <w:rPr>
          <w:rStyle w:val="Hyperlink"/>
          <w:lang w:val="de-DE"/>
        </w:rPr>
        <w:t>71-73</w:t>
      </w:r>
      <w:r w:rsidR="00C313C3" w:rsidRPr="00AF0D45">
        <w:rPr>
          <w:rStyle w:val="Hyperlink"/>
          <w:lang w:val="de-DE"/>
        </w:rPr>
        <w:tab/>
        <w:t>15</w:t>
      </w:r>
    </w:p>
    <w:p w14:paraId="2C8112A5" w14:textId="560D005C"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20587C" w:rsidRPr="00AF0D45">
        <w:rPr>
          <w:rStyle w:val="Hyperlink"/>
          <w:lang w:val="de-DE"/>
        </w:rPr>
        <w:t>C.</w:t>
      </w:r>
      <w:r w:rsidRPr="00AF0D45">
        <w:rPr>
          <w:rStyle w:val="Hyperlink"/>
          <w:lang w:val="de-DE"/>
        </w:rPr>
        <w:tab/>
      </w:r>
      <w:r w:rsidR="0020587C" w:rsidRPr="00AF0D45">
        <w:rPr>
          <w:rStyle w:val="Hyperlink"/>
          <w:lang w:val="de-DE"/>
        </w:rPr>
        <w:t>Informelle Arbeitsgruppe „Stoffe“</w:t>
      </w:r>
      <w:r w:rsidRPr="00AF0D45">
        <w:rPr>
          <w:rStyle w:val="Hyperlink"/>
          <w:lang w:val="de-DE"/>
        </w:rPr>
        <w:tab/>
      </w:r>
      <w:r w:rsidRPr="00AF0D45">
        <w:rPr>
          <w:rStyle w:val="Hyperlink"/>
          <w:lang w:val="de-DE"/>
        </w:rPr>
        <w:tab/>
      </w:r>
      <w:r w:rsidR="00F675C8" w:rsidRPr="00AF0D45">
        <w:rPr>
          <w:rStyle w:val="Hyperlink"/>
          <w:lang w:val="de-DE"/>
        </w:rPr>
        <w:t>74-77</w:t>
      </w:r>
      <w:r w:rsidR="00C313C3" w:rsidRPr="00AF0D45">
        <w:rPr>
          <w:rStyle w:val="Hyperlink"/>
          <w:lang w:val="de-DE"/>
        </w:rPr>
        <w:tab/>
        <w:t>16</w:t>
      </w:r>
    </w:p>
    <w:p w14:paraId="6EB51469" w14:textId="202E4D56"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r w:rsidRPr="00AF0D45">
        <w:rPr>
          <w:rStyle w:val="Hyperlink"/>
          <w:lang w:val="de-DE"/>
        </w:rPr>
        <w:tab/>
      </w:r>
      <w:r w:rsidR="0020587C" w:rsidRPr="00AF0D45">
        <w:rPr>
          <w:rStyle w:val="Hyperlink"/>
          <w:lang w:val="de-DE"/>
        </w:rPr>
        <w:t>VII.</w:t>
      </w:r>
      <w:r w:rsidRPr="00AF0D45">
        <w:rPr>
          <w:rStyle w:val="Hyperlink"/>
          <w:lang w:val="de-DE"/>
        </w:rPr>
        <w:tab/>
      </w:r>
      <w:r w:rsidR="0020587C" w:rsidRPr="00AF0D45">
        <w:rPr>
          <w:rStyle w:val="Hyperlink"/>
          <w:lang w:val="de-DE"/>
        </w:rPr>
        <w:t>Arbeitsprogramm und Sitzungsplan (TOP 6)</w:t>
      </w:r>
      <w:r w:rsidR="003045A4" w:rsidRPr="00AF0D45">
        <w:rPr>
          <w:rStyle w:val="Hyperlink"/>
          <w:lang w:val="de-DE"/>
        </w:rPr>
        <w:tab/>
      </w:r>
      <w:r w:rsidR="00F675C8" w:rsidRPr="00AF0D45">
        <w:rPr>
          <w:rStyle w:val="Hyperlink"/>
          <w:lang w:val="de-DE"/>
        </w:rPr>
        <w:tab/>
        <w:t>78-79</w:t>
      </w:r>
      <w:r w:rsidR="00C313C3" w:rsidRPr="00AF0D45">
        <w:rPr>
          <w:rStyle w:val="Hyperlink"/>
          <w:lang w:val="de-DE"/>
        </w:rPr>
        <w:tab/>
        <w:t>16</w:t>
      </w:r>
    </w:p>
    <w:p w14:paraId="33DD037F" w14:textId="6B0F10CA" w:rsidR="004B1928" w:rsidRPr="00AF0D45" w:rsidRDefault="004B1928" w:rsidP="0020587C">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r w:rsidRPr="00AF0D45">
        <w:rPr>
          <w:rStyle w:val="Hyperlink"/>
          <w:lang w:val="de-DE"/>
        </w:rPr>
        <w:tab/>
      </w:r>
      <w:r w:rsidR="0020587C" w:rsidRPr="00AF0D45">
        <w:rPr>
          <w:rStyle w:val="Hyperlink"/>
          <w:lang w:val="de-DE"/>
        </w:rPr>
        <w:t>VIII.</w:t>
      </w:r>
      <w:r w:rsidRPr="00AF0D45">
        <w:rPr>
          <w:rStyle w:val="Hyperlink"/>
          <w:lang w:val="de-DE"/>
        </w:rPr>
        <w:t xml:space="preserve"> </w:t>
      </w:r>
      <w:r w:rsidRPr="00AF0D45">
        <w:rPr>
          <w:rStyle w:val="Hyperlink"/>
          <w:lang w:val="de-DE"/>
        </w:rPr>
        <w:tab/>
      </w:r>
      <w:r w:rsidR="0020587C" w:rsidRPr="00AF0D45">
        <w:rPr>
          <w:rStyle w:val="Hyperlink"/>
          <w:lang w:val="de-DE"/>
        </w:rPr>
        <w:t>Verschiedenes (TOP 7)</w:t>
      </w:r>
      <w:r w:rsidR="003045A4" w:rsidRPr="00AF0D45">
        <w:rPr>
          <w:rStyle w:val="Hyperlink"/>
          <w:lang w:val="de-DE"/>
        </w:rPr>
        <w:tab/>
      </w:r>
      <w:r w:rsidR="00F675C8" w:rsidRPr="00AF0D45">
        <w:rPr>
          <w:rStyle w:val="Hyperlink"/>
          <w:lang w:val="de-DE"/>
        </w:rPr>
        <w:tab/>
        <w:t>80-82</w:t>
      </w:r>
      <w:r w:rsidR="00C313C3" w:rsidRPr="00AF0D45">
        <w:rPr>
          <w:rStyle w:val="Hyperlink"/>
          <w:lang w:val="de-DE"/>
        </w:rPr>
        <w:tab/>
        <w:t>17</w:t>
      </w:r>
    </w:p>
    <w:p w14:paraId="40DBE2A6" w14:textId="5D902A5E" w:rsidR="004B1928" w:rsidRPr="00AF0D45" w:rsidRDefault="004B1928" w:rsidP="00C6155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20587C" w:rsidRPr="00AF0D45">
        <w:rPr>
          <w:rStyle w:val="Hyperlink"/>
          <w:lang w:val="de-DE"/>
        </w:rPr>
        <w:t>A.</w:t>
      </w:r>
      <w:r w:rsidRPr="00AF0D45">
        <w:rPr>
          <w:rStyle w:val="Hyperlink"/>
          <w:lang w:val="de-DE"/>
        </w:rPr>
        <w:tab/>
      </w:r>
      <w:r w:rsidR="001846CF" w:rsidRPr="00AF0D45">
        <w:rPr>
          <w:rStyle w:val="Hyperlink"/>
          <w:lang w:val="de-DE"/>
        </w:rPr>
        <w:t>Best</w:t>
      </w:r>
      <w:r w:rsidR="00C61557" w:rsidRPr="00AF0D45">
        <w:rPr>
          <w:rStyle w:val="Hyperlink"/>
          <w:lang w:val="de-DE"/>
        </w:rPr>
        <w:t xml:space="preserve"> Practices</w:t>
      </w:r>
      <w:r w:rsidR="001846CF" w:rsidRPr="00AF0D45">
        <w:rPr>
          <w:rStyle w:val="Hyperlink"/>
          <w:lang w:val="de-DE"/>
        </w:rPr>
        <w:t xml:space="preserve"> für </w:t>
      </w:r>
      <w:r w:rsidR="00C4340D" w:rsidRPr="00AF0D45">
        <w:rPr>
          <w:rStyle w:val="Hyperlink"/>
          <w:lang w:val="de-DE"/>
        </w:rPr>
        <w:t xml:space="preserve">die </w:t>
      </w:r>
      <w:r w:rsidR="0020587C" w:rsidRPr="00AF0D45">
        <w:rPr>
          <w:rStyle w:val="Hyperlink"/>
          <w:lang w:val="de-DE"/>
        </w:rPr>
        <w:t>Probe</w:t>
      </w:r>
      <w:r w:rsidR="001846CF" w:rsidRPr="00AF0D45">
        <w:rPr>
          <w:rStyle w:val="Hyperlink"/>
          <w:lang w:val="de-DE"/>
        </w:rPr>
        <w:t>ent</w:t>
      </w:r>
      <w:r w:rsidR="0020587C" w:rsidRPr="00AF0D45">
        <w:rPr>
          <w:rStyle w:val="Hyperlink"/>
          <w:lang w:val="de-DE"/>
        </w:rPr>
        <w:t>nahme auf Binnenschiffen</w:t>
      </w:r>
      <w:r w:rsidRPr="00AF0D45">
        <w:rPr>
          <w:rStyle w:val="Hyperlink"/>
          <w:lang w:val="de-DE"/>
        </w:rPr>
        <w:tab/>
      </w:r>
      <w:r w:rsidRPr="00AF0D45">
        <w:rPr>
          <w:rStyle w:val="Hyperlink"/>
          <w:lang w:val="de-DE"/>
        </w:rPr>
        <w:tab/>
      </w:r>
      <w:r w:rsidR="00F675C8" w:rsidRPr="00AF0D45">
        <w:rPr>
          <w:rStyle w:val="Hyperlink"/>
          <w:lang w:val="de-DE"/>
        </w:rPr>
        <w:t>80</w:t>
      </w:r>
      <w:r w:rsidR="00C313C3" w:rsidRPr="00AF0D45">
        <w:rPr>
          <w:rStyle w:val="Hyperlink"/>
          <w:lang w:val="de-DE"/>
        </w:rPr>
        <w:tab/>
        <w:t>17</w:t>
      </w:r>
    </w:p>
    <w:p w14:paraId="4E92C708" w14:textId="6A6DB795" w:rsidR="004B1928" w:rsidRPr="00AF0D45" w:rsidRDefault="004B1928" w:rsidP="00C61557">
      <w:pPr>
        <w:tabs>
          <w:tab w:val="right" w:pos="851"/>
          <w:tab w:val="left" w:pos="1134"/>
          <w:tab w:val="left" w:pos="1559"/>
          <w:tab w:val="left" w:pos="1984"/>
          <w:tab w:val="left" w:leader="dot" w:pos="8080"/>
          <w:tab w:val="right" w:pos="8929"/>
          <w:tab w:val="right" w:pos="9638"/>
        </w:tabs>
        <w:spacing w:after="120" w:line="220" w:lineRule="atLeast"/>
        <w:ind w:left="1559" w:hanging="1559"/>
        <w:rPr>
          <w:rStyle w:val="Hyperlink"/>
          <w:lang w:val="de-DE"/>
        </w:rPr>
      </w:pPr>
      <w:r w:rsidRPr="00AF0D45">
        <w:rPr>
          <w:rStyle w:val="Hyperlink"/>
          <w:lang w:val="de-DE"/>
        </w:rPr>
        <w:tab/>
      </w:r>
      <w:r w:rsidRPr="00AF0D45">
        <w:rPr>
          <w:rStyle w:val="Hyperlink"/>
          <w:lang w:val="de-DE"/>
        </w:rPr>
        <w:tab/>
      </w:r>
      <w:r w:rsidR="00C61557" w:rsidRPr="00AF0D45">
        <w:rPr>
          <w:rStyle w:val="Hyperlink"/>
          <w:lang w:val="de-DE"/>
        </w:rPr>
        <w:t>B.</w:t>
      </w:r>
      <w:r w:rsidRPr="00AF0D45">
        <w:rPr>
          <w:rStyle w:val="Hyperlink"/>
          <w:lang w:val="de-DE"/>
        </w:rPr>
        <w:tab/>
      </w:r>
      <w:r w:rsidR="00C61557" w:rsidRPr="00AF0D45">
        <w:rPr>
          <w:rStyle w:val="Hyperlink"/>
          <w:lang w:val="de-DE"/>
        </w:rPr>
        <w:t>Danksagun</w:t>
      </w:r>
      <w:r w:rsidR="00DA057F" w:rsidRPr="00AF0D45">
        <w:rPr>
          <w:rStyle w:val="Hyperlink"/>
          <w:lang w:val="de-DE"/>
        </w:rPr>
        <w:t>gen</w:t>
      </w:r>
      <w:r w:rsidRPr="00AF0D45">
        <w:rPr>
          <w:rStyle w:val="Hyperlink"/>
          <w:lang w:val="de-DE"/>
        </w:rPr>
        <w:tab/>
      </w:r>
      <w:r w:rsidRPr="00AF0D45">
        <w:rPr>
          <w:rStyle w:val="Hyperlink"/>
          <w:lang w:val="de-DE"/>
        </w:rPr>
        <w:tab/>
      </w:r>
      <w:r w:rsidR="00F675C8" w:rsidRPr="00AF0D45">
        <w:rPr>
          <w:rStyle w:val="Hyperlink"/>
          <w:lang w:val="de-DE"/>
        </w:rPr>
        <w:t>81-82</w:t>
      </w:r>
      <w:r w:rsidR="00C313C3" w:rsidRPr="00AF0D45">
        <w:rPr>
          <w:rStyle w:val="Hyperlink"/>
          <w:lang w:val="de-DE"/>
        </w:rPr>
        <w:tab/>
        <w:t>17</w:t>
      </w:r>
    </w:p>
    <w:p w14:paraId="6FEA57BE" w14:textId="5E43E499" w:rsidR="004B1928" w:rsidRPr="00AF0D45" w:rsidRDefault="004B1928" w:rsidP="00C61557">
      <w:pPr>
        <w:tabs>
          <w:tab w:val="right" w:pos="851"/>
          <w:tab w:val="left" w:pos="1134"/>
          <w:tab w:val="left" w:pos="1559"/>
          <w:tab w:val="left" w:pos="1984"/>
          <w:tab w:val="left" w:leader="dot" w:pos="8080"/>
          <w:tab w:val="right" w:pos="8929"/>
          <w:tab w:val="right" w:pos="9638"/>
        </w:tabs>
        <w:spacing w:after="120" w:line="220" w:lineRule="atLeast"/>
        <w:ind w:left="1134" w:hanging="992"/>
        <w:rPr>
          <w:rStyle w:val="Hyperlink"/>
          <w:lang w:val="de-DE"/>
        </w:rPr>
      </w:pPr>
      <w:r w:rsidRPr="00AF0D45">
        <w:rPr>
          <w:rStyle w:val="Hyperlink"/>
          <w:lang w:val="de-DE"/>
        </w:rPr>
        <w:tab/>
      </w:r>
      <w:r w:rsidR="00C61557" w:rsidRPr="00AF0D45">
        <w:rPr>
          <w:rStyle w:val="Hyperlink"/>
          <w:lang w:val="de-DE"/>
        </w:rPr>
        <w:t>IX.</w:t>
      </w:r>
      <w:r w:rsidRPr="00AF0D45">
        <w:rPr>
          <w:rStyle w:val="Hyperlink"/>
          <w:lang w:val="de-DE"/>
        </w:rPr>
        <w:tab/>
      </w:r>
      <w:r w:rsidR="00C61557" w:rsidRPr="00AF0D45">
        <w:rPr>
          <w:rStyle w:val="Hyperlink"/>
          <w:lang w:val="de-DE"/>
        </w:rPr>
        <w:t>Genehmigung des Sitzungsprotokolls (TOP 8)</w:t>
      </w:r>
      <w:r w:rsidRPr="00AF0D45">
        <w:rPr>
          <w:rStyle w:val="Hyperlink"/>
          <w:lang w:val="de-DE"/>
        </w:rPr>
        <w:tab/>
      </w:r>
      <w:r w:rsidRPr="00AF0D45">
        <w:rPr>
          <w:rStyle w:val="Hyperlink"/>
          <w:lang w:val="de-DE"/>
        </w:rPr>
        <w:tab/>
      </w:r>
      <w:r w:rsidR="00F675C8" w:rsidRPr="00AF0D45">
        <w:rPr>
          <w:rStyle w:val="Hyperlink"/>
          <w:lang w:val="de-DE"/>
        </w:rPr>
        <w:t>83</w:t>
      </w:r>
      <w:r w:rsidR="00C313C3" w:rsidRPr="00AF0D45">
        <w:rPr>
          <w:rStyle w:val="Hyperlink"/>
          <w:lang w:val="de-DE"/>
        </w:rPr>
        <w:tab/>
        <w:t>17</w:t>
      </w:r>
    </w:p>
    <w:p w14:paraId="573E15CE" w14:textId="7681473F" w:rsidR="009753E1" w:rsidRPr="00AF0D45" w:rsidRDefault="00C61557" w:rsidP="00C61557">
      <w:pPr>
        <w:keepNext/>
        <w:keepLines/>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AF0D45">
        <w:rPr>
          <w:lang w:val="de-DE"/>
        </w:rPr>
        <w:t>Anlagen</w:t>
      </w:r>
    </w:p>
    <w:p w14:paraId="7B482239" w14:textId="29646D92" w:rsidR="003045A4" w:rsidRPr="00AF0D45" w:rsidRDefault="003045A4" w:rsidP="00C61557">
      <w:pPr>
        <w:keepNext/>
        <w:keepLines/>
        <w:tabs>
          <w:tab w:val="right" w:pos="850"/>
          <w:tab w:val="left" w:pos="1134"/>
          <w:tab w:val="left" w:pos="1559"/>
          <w:tab w:val="left" w:pos="1984"/>
          <w:tab w:val="left" w:leader="dot" w:pos="8900"/>
          <w:tab w:val="right" w:pos="9638"/>
        </w:tabs>
        <w:spacing w:after="120"/>
        <w:ind w:left="1134" w:hanging="1134"/>
        <w:rPr>
          <w:lang w:val="de-DE"/>
        </w:rPr>
      </w:pPr>
      <w:r w:rsidRPr="00AF0D45">
        <w:rPr>
          <w:lang w:val="de-DE"/>
        </w:rPr>
        <w:tab/>
      </w:r>
      <w:r w:rsidR="00C61557" w:rsidRPr="00AF0D45">
        <w:rPr>
          <w:lang w:val="de-DE"/>
        </w:rPr>
        <w:t>I.</w:t>
      </w:r>
      <w:r w:rsidRPr="00AF0D45">
        <w:rPr>
          <w:lang w:val="de-DE"/>
        </w:rPr>
        <w:tab/>
      </w:r>
      <w:r w:rsidR="00C61557" w:rsidRPr="00AF0D45">
        <w:rPr>
          <w:lang w:val="de-DE"/>
        </w:rPr>
        <w:t xml:space="preserve">Änderungsentwürfe zu der dem ADN beigefügten Verordnung, die am 1. Januar 2021 </w:t>
      </w:r>
      <w:r w:rsidR="0000138D" w:rsidRPr="00AF0D45">
        <w:rPr>
          <w:lang w:val="de-DE"/>
        </w:rPr>
        <w:br/>
      </w:r>
      <w:r w:rsidR="00C61557" w:rsidRPr="00AF0D45">
        <w:rPr>
          <w:lang w:val="de-DE"/>
        </w:rPr>
        <w:t>in Kraft treten sollen</w:t>
      </w:r>
      <w:r w:rsidRPr="00AF0D45">
        <w:rPr>
          <w:lang w:val="de-DE"/>
        </w:rPr>
        <w:tab/>
      </w:r>
      <w:r w:rsidRPr="00AF0D45">
        <w:rPr>
          <w:lang w:val="de-DE"/>
        </w:rPr>
        <w:tab/>
      </w:r>
      <w:r w:rsidR="00C313C3" w:rsidRPr="00AF0D45">
        <w:rPr>
          <w:lang w:val="de-DE"/>
        </w:rPr>
        <w:t>18</w:t>
      </w:r>
    </w:p>
    <w:p w14:paraId="03D7696A" w14:textId="0CCC347D" w:rsidR="009753E1" w:rsidRPr="00AF0D45" w:rsidRDefault="009753E1" w:rsidP="00C61557">
      <w:pPr>
        <w:keepNext/>
        <w:keepLines/>
        <w:tabs>
          <w:tab w:val="right" w:pos="850"/>
          <w:tab w:val="left" w:pos="1134"/>
          <w:tab w:val="left" w:pos="1559"/>
          <w:tab w:val="left" w:pos="1984"/>
          <w:tab w:val="left" w:leader="dot" w:pos="8900"/>
          <w:tab w:val="right" w:pos="9638"/>
        </w:tabs>
        <w:spacing w:after="120"/>
        <w:ind w:left="1134" w:hanging="1134"/>
        <w:rPr>
          <w:lang w:val="de-DE"/>
        </w:rPr>
      </w:pPr>
      <w:r w:rsidRPr="00AF0D45">
        <w:rPr>
          <w:lang w:val="de-DE"/>
        </w:rPr>
        <w:tab/>
      </w:r>
      <w:r w:rsidR="00C61557" w:rsidRPr="00AF0D45">
        <w:rPr>
          <w:lang w:val="de-DE"/>
        </w:rPr>
        <w:t>II.</w:t>
      </w:r>
      <w:r w:rsidRPr="00AF0D45">
        <w:rPr>
          <w:lang w:val="de-DE"/>
        </w:rPr>
        <w:tab/>
      </w:r>
      <w:r w:rsidR="00C61557" w:rsidRPr="00AF0D45">
        <w:rPr>
          <w:lang w:val="de-DE"/>
        </w:rPr>
        <w:t xml:space="preserve">Änderungsentwürfe zu der dem ADN beigefügten Verordnung, die am 1. Januar 2019 </w:t>
      </w:r>
      <w:r w:rsidR="0000138D" w:rsidRPr="00AF0D45">
        <w:rPr>
          <w:lang w:val="de-DE"/>
        </w:rPr>
        <w:br/>
      </w:r>
      <w:r w:rsidR="00C61557" w:rsidRPr="00AF0D45">
        <w:rPr>
          <w:lang w:val="de-DE"/>
        </w:rPr>
        <w:t>in Kraft treten sollen</w:t>
      </w:r>
      <w:r w:rsidRPr="00AF0D45">
        <w:rPr>
          <w:lang w:val="de-DE"/>
        </w:rPr>
        <w:tab/>
      </w:r>
      <w:r w:rsidRPr="00AF0D45">
        <w:rPr>
          <w:lang w:val="de-DE"/>
        </w:rPr>
        <w:tab/>
      </w:r>
      <w:r w:rsidR="00C313C3" w:rsidRPr="00AF0D45">
        <w:rPr>
          <w:lang w:val="de-DE"/>
        </w:rPr>
        <w:t>23</w:t>
      </w:r>
    </w:p>
    <w:p w14:paraId="79F3B85C" w14:textId="003E620A" w:rsidR="009753E1" w:rsidRPr="00AF0D45" w:rsidRDefault="009753E1" w:rsidP="00C61557">
      <w:pPr>
        <w:keepNext/>
        <w:keepLines/>
        <w:tabs>
          <w:tab w:val="right" w:pos="850"/>
          <w:tab w:val="left" w:pos="1134"/>
          <w:tab w:val="left" w:pos="1559"/>
          <w:tab w:val="left" w:pos="1984"/>
          <w:tab w:val="left" w:leader="dot" w:pos="8900"/>
          <w:tab w:val="right" w:pos="9638"/>
        </w:tabs>
        <w:spacing w:after="120"/>
        <w:ind w:left="1134" w:hanging="1134"/>
        <w:rPr>
          <w:lang w:val="de-DE"/>
        </w:rPr>
      </w:pPr>
      <w:r w:rsidRPr="00AF0D45">
        <w:rPr>
          <w:lang w:val="de-DE"/>
        </w:rPr>
        <w:tab/>
      </w:r>
      <w:r w:rsidR="00C61557" w:rsidRPr="00AF0D45">
        <w:rPr>
          <w:lang w:val="de-DE"/>
        </w:rPr>
        <w:t>III.</w:t>
      </w:r>
      <w:r w:rsidRPr="00AF0D45">
        <w:rPr>
          <w:lang w:val="de-DE"/>
        </w:rPr>
        <w:tab/>
      </w:r>
      <w:r w:rsidR="00C61557" w:rsidRPr="00AF0D45">
        <w:rPr>
          <w:lang w:val="de-DE"/>
        </w:rPr>
        <w:t xml:space="preserve">Vorschläge zur Berichtigung der dem ADN beigefügten Verordnung, die am 1. Januar 2019 </w:t>
      </w:r>
      <w:r w:rsidR="0000138D" w:rsidRPr="00AF0D45">
        <w:rPr>
          <w:lang w:val="de-DE"/>
        </w:rPr>
        <w:br/>
      </w:r>
      <w:r w:rsidR="00C61557" w:rsidRPr="00AF0D45">
        <w:rPr>
          <w:lang w:val="de-DE"/>
        </w:rPr>
        <w:t>in Kraft treten sollen</w:t>
      </w:r>
      <w:r w:rsidR="0000138D" w:rsidRPr="00AF0D45">
        <w:rPr>
          <w:lang w:val="de-DE"/>
        </w:rPr>
        <w:t xml:space="preserve"> </w:t>
      </w:r>
      <w:r w:rsidR="00C61557" w:rsidRPr="00AF0D45">
        <w:rPr>
          <w:lang w:val="de-DE"/>
        </w:rPr>
        <w:t>(vorbehaltlich der Zustimmung durch die Vertragsparteien)</w:t>
      </w:r>
      <w:r w:rsidRPr="00AF0D45">
        <w:rPr>
          <w:lang w:val="de-DE"/>
        </w:rPr>
        <w:tab/>
      </w:r>
      <w:r w:rsidRPr="00AF0D45">
        <w:rPr>
          <w:lang w:val="de-DE"/>
        </w:rPr>
        <w:tab/>
      </w:r>
      <w:r w:rsidR="00C313C3" w:rsidRPr="00AF0D45">
        <w:rPr>
          <w:lang w:val="de-DE"/>
        </w:rPr>
        <w:t>24</w:t>
      </w:r>
    </w:p>
    <w:p w14:paraId="58457FEA" w14:textId="5FA78DBE" w:rsidR="003045A4" w:rsidRPr="00AF0D45" w:rsidRDefault="00D74115" w:rsidP="00D804A1">
      <w:pPr>
        <w:keepNext/>
        <w:keepLines/>
        <w:tabs>
          <w:tab w:val="right" w:pos="851"/>
          <w:tab w:val="left" w:pos="1134"/>
          <w:tab w:val="left" w:pos="1559"/>
          <w:tab w:val="left" w:pos="1984"/>
          <w:tab w:val="left" w:leader="dot" w:pos="8900"/>
          <w:tab w:val="right" w:pos="9638"/>
        </w:tabs>
        <w:spacing w:after="120"/>
        <w:ind w:left="1134" w:hanging="1134"/>
        <w:rPr>
          <w:lang w:val="de-DE"/>
        </w:rPr>
      </w:pPr>
      <w:r w:rsidRPr="00AF0D45">
        <w:rPr>
          <w:lang w:val="de-DE"/>
        </w:rPr>
        <w:tab/>
      </w:r>
      <w:r w:rsidR="00C61557" w:rsidRPr="00AF0D45">
        <w:rPr>
          <w:lang w:val="de-DE"/>
        </w:rPr>
        <w:t>IV.</w:t>
      </w:r>
      <w:r w:rsidR="003045A4" w:rsidRPr="00AF0D45">
        <w:rPr>
          <w:lang w:val="de-DE"/>
        </w:rPr>
        <w:t xml:space="preserve"> </w:t>
      </w:r>
      <w:r w:rsidR="003045A4" w:rsidRPr="00AF0D45">
        <w:rPr>
          <w:lang w:val="de-DE"/>
        </w:rPr>
        <w:tab/>
      </w:r>
      <w:r w:rsidR="00C61557" w:rsidRPr="00AF0D45">
        <w:rPr>
          <w:lang w:val="de-DE"/>
        </w:rPr>
        <w:t>Vorschläge zur Berichtigung der dem ADN beigefügten Verordnung</w:t>
      </w:r>
      <w:r w:rsidR="00C61557" w:rsidRPr="00AF0D45">
        <w:rPr>
          <w:lang w:val="de-DE"/>
        </w:rPr>
        <w:br/>
        <w:t>(vorbehaltlich der Zustimmung durch die Vertragsparteien)</w:t>
      </w:r>
      <w:r w:rsidR="003045A4" w:rsidRPr="00AF0D45">
        <w:rPr>
          <w:lang w:val="de-DE"/>
        </w:rPr>
        <w:tab/>
      </w:r>
      <w:r w:rsidR="003045A4" w:rsidRPr="00AF0D45">
        <w:rPr>
          <w:lang w:val="de-DE"/>
        </w:rPr>
        <w:tab/>
      </w:r>
      <w:r w:rsidR="00C313C3" w:rsidRPr="00AF0D45">
        <w:rPr>
          <w:lang w:val="de-DE"/>
        </w:rPr>
        <w:t>25</w:t>
      </w:r>
    </w:p>
    <w:p w14:paraId="7B1A3C29" w14:textId="638D90B6" w:rsidR="003045A4" w:rsidRPr="00AF0D45" w:rsidRDefault="003045A4" w:rsidP="00516F17">
      <w:pPr>
        <w:keepNext/>
        <w:keepLines/>
        <w:tabs>
          <w:tab w:val="right" w:pos="851"/>
          <w:tab w:val="left" w:pos="1134"/>
          <w:tab w:val="left" w:pos="1559"/>
          <w:tab w:val="left" w:pos="1984"/>
          <w:tab w:val="left" w:leader="dot" w:pos="8900"/>
          <w:tab w:val="right" w:pos="9638"/>
        </w:tabs>
        <w:spacing w:after="120"/>
        <w:ind w:left="1134" w:hanging="1134"/>
        <w:rPr>
          <w:lang w:val="de-DE"/>
        </w:rPr>
      </w:pPr>
      <w:r w:rsidRPr="00AF0D45">
        <w:rPr>
          <w:lang w:val="de-DE"/>
        </w:rPr>
        <w:tab/>
      </w:r>
      <w:r w:rsidR="00D804A1" w:rsidRPr="00AF0D45">
        <w:rPr>
          <w:lang w:val="de-DE"/>
        </w:rPr>
        <w:t>V.</w:t>
      </w:r>
      <w:r w:rsidRPr="00AF0D45">
        <w:rPr>
          <w:lang w:val="de-DE"/>
        </w:rPr>
        <w:tab/>
      </w:r>
      <w:r w:rsidR="00516F17" w:rsidRPr="00AF0D45">
        <w:rPr>
          <w:lang w:val="de-DE"/>
        </w:rPr>
        <w:t>Korrekturen</w:t>
      </w:r>
      <w:r w:rsidR="00D804A1" w:rsidRPr="00AF0D45">
        <w:rPr>
          <w:lang w:val="de-DE"/>
        </w:rPr>
        <w:t xml:space="preserve"> </w:t>
      </w:r>
      <w:r w:rsidR="00516F17" w:rsidRPr="00AF0D45">
        <w:rPr>
          <w:lang w:val="de-DE"/>
        </w:rPr>
        <w:t>am</w:t>
      </w:r>
      <w:r w:rsidR="00D804A1" w:rsidRPr="00AF0D45">
        <w:rPr>
          <w:lang w:val="de-DE"/>
        </w:rPr>
        <w:t xml:space="preserve"> Dokument ECE/TRANS/258 (ADN-Publikation 2017)</w:t>
      </w:r>
      <w:r w:rsidR="00D804A1" w:rsidRPr="00AF0D45">
        <w:rPr>
          <w:lang w:val="de-DE"/>
        </w:rPr>
        <w:br/>
        <w:t>(benötigen nicht die Zustimmung der Vertragsparteien)</w:t>
      </w:r>
      <w:r w:rsidRPr="00AF0D45">
        <w:rPr>
          <w:lang w:val="de-DE"/>
        </w:rPr>
        <w:tab/>
      </w:r>
      <w:r w:rsidRPr="00AF0D45">
        <w:rPr>
          <w:lang w:val="de-DE"/>
        </w:rPr>
        <w:tab/>
      </w:r>
      <w:r w:rsidR="00C313C3" w:rsidRPr="00AF0D45">
        <w:rPr>
          <w:lang w:val="de-DE"/>
        </w:rPr>
        <w:t>26</w:t>
      </w:r>
    </w:p>
    <w:p w14:paraId="15F48BBF" w14:textId="1D93FE5D" w:rsidR="009753E1" w:rsidRPr="00AF0D45" w:rsidRDefault="009753E1" w:rsidP="00516F17">
      <w:pPr>
        <w:pStyle w:val="HChG"/>
        <w:rPr>
          <w:lang w:val="de-DE"/>
        </w:rPr>
      </w:pPr>
      <w:r w:rsidRPr="00AF0D45">
        <w:rPr>
          <w:lang w:val="de-DE"/>
        </w:rPr>
        <w:br w:type="page"/>
      </w:r>
      <w:r w:rsidRPr="00AF0D45">
        <w:rPr>
          <w:lang w:val="de-DE"/>
        </w:rPr>
        <w:lastRenderedPageBreak/>
        <w:tab/>
      </w:r>
      <w:bookmarkStart w:id="9" w:name="_Toc505688400"/>
      <w:r w:rsidR="00516F17" w:rsidRPr="00AF0D45">
        <w:rPr>
          <w:lang w:val="de-DE"/>
        </w:rPr>
        <w:t>I.</w:t>
      </w:r>
      <w:r w:rsidRPr="00AF0D45">
        <w:rPr>
          <w:lang w:val="de-DE"/>
        </w:rPr>
        <w:tab/>
      </w:r>
      <w:bookmarkEnd w:id="9"/>
      <w:r w:rsidR="00516F17" w:rsidRPr="00AF0D45">
        <w:rPr>
          <w:lang w:val="de-DE"/>
        </w:rPr>
        <w:t>Teilnehmer</w:t>
      </w:r>
    </w:p>
    <w:p w14:paraId="61A1EEA2" w14:textId="5330FF9A" w:rsidR="009753E1" w:rsidRPr="00AF0D45" w:rsidRDefault="009753E1" w:rsidP="00206A79">
      <w:pPr>
        <w:pStyle w:val="SingleTxtG"/>
        <w:rPr>
          <w:lang w:val="de-DE"/>
        </w:rPr>
      </w:pPr>
      <w:r w:rsidRPr="00AF0D45">
        <w:rPr>
          <w:lang w:val="de-DE"/>
        </w:rPr>
        <w:t>1.</w:t>
      </w:r>
      <w:r w:rsidRPr="00AF0D45">
        <w:rPr>
          <w:lang w:val="de-DE"/>
        </w:rPr>
        <w:tab/>
      </w:r>
      <w:r w:rsidR="00263C17" w:rsidRPr="00AF0D45">
        <w:rPr>
          <w:lang w:val="de-DE"/>
        </w:rPr>
        <w:t>Die Gemeinsame Expertentagung für die dem Europäischen Übereinkommen über die internationale Beförderung von gefährlichen Gütern auf Binnenwasserstraßen (ADN) beigefügte Verordnung (ADN-Sicherheitsausschuss) hielt vom 27. bis 31. August 2018 in Genf ihre dreiunddreißigste Sitzung ab.</w:t>
      </w:r>
      <w:r w:rsidRPr="00AF0D45">
        <w:rPr>
          <w:lang w:val="de-DE"/>
        </w:rPr>
        <w:t xml:space="preserve"> </w:t>
      </w:r>
    </w:p>
    <w:p w14:paraId="1C4CAB4C" w14:textId="3897BAE2" w:rsidR="009753E1" w:rsidRPr="00AF0D45" w:rsidRDefault="009753E1" w:rsidP="00206A79">
      <w:pPr>
        <w:pStyle w:val="SingleTxtG"/>
        <w:rPr>
          <w:lang w:val="de-DE"/>
        </w:rPr>
      </w:pPr>
      <w:r w:rsidRPr="00AF0D45">
        <w:rPr>
          <w:lang w:val="de-DE"/>
        </w:rPr>
        <w:t>2.</w:t>
      </w:r>
      <w:r w:rsidRPr="00AF0D45">
        <w:rPr>
          <w:lang w:val="de-DE"/>
        </w:rPr>
        <w:tab/>
      </w:r>
      <w:r w:rsidR="00263C17" w:rsidRPr="00AF0D45">
        <w:rPr>
          <w:lang w:val="de-DE"/>
        </w:rPr>
        <w:t>An den Arbeiten dieser Sitzung beteiligten sich Vertreter der folgenden Länder:</w:t>
      </w:r>
      <w:r w:rsidRPr="00AF0D45">
        <w:rPr>
          <w:lang w:val="de-DE"/>
        </w:rPr>
        <w:t xml:space="preserve"> </w:t>
      </w:r>
      <w:r w:rsidR="00263C17" w:rsidRPr="00AF0D45">
        <w:rPr>
          <w:lang w:val="de-DE"/>
        </w:rPr>
        <w:t>Belgien, Deutschland, Frankreich, Kroatien, Luxemburg, Niederlande, Österreich, Rumänien, Russische Föderation, Schweiz, Serbien, Slowakei und Tschechische Republik.</w:t>
      </w:r>
      <w:r w:rsidRPr="00AF0D45">
        <w:rPr>
          <w:lang w:val="de-DE"/>
        </w:rPr>
        <w:t xml:space="preserve"> </w:t>
      </w:r>
    </w:p>
    <w:p w14:paraId="44545268" w14:textId="14DE0191" w:rsidR="009753E1" w:rsidRPr="00AF0D45" w:rsidRDefault="009753E1" w:rsidP="00206A79">
      <w:pPr>
        <w:pStyle w:val="SingleTxtG"/>
        <w:rPr>
          <w:lang w:val="de-DE"/>
        </w:rPr>
      </w:pPr>
      <w:r w:rsidRPr="00AF0D45">
        <w:rPr>
          <w:lang w:val="de-DE"/>
        </w:rPr>
        <w:t>3.</w:t>
      </w:r>
      <w:r w:rsidRPr="00AF0D45">
        <w:rPr>
          <w:lang w:val="de-DE"/>
        </w:rPr>
        <w:tab/>
      </w:r>
      <w:r w:rsidR="00517158" w:rsidRPr="00AF0D45">
        <w:rPr>
          <w:lang w:val="de-DE"/>
        </w:rPr>
        <w:t>Folgende zwischenstaatliche Organisationen waren vertreten: Zentralkommission für die Rheinschifffahrt (ZKR), Donaukommission und Europäische Union.</w:t>
      </w:r>
      <w:r w:rsidRPr="00AF0D45">
        <w:rPr>
          <w:lang w:val="de-DE"/>
        </w:rPr>
        <w:t xml:space="preserve"> </w:t>
      </w:r>
    </w:p>
    <w:p w14:paraId="71EA4AC7" w14:textId="0B34F440" w:rsidR="009753E1" w:rsidRPr="00AF0D45" w:rsidRDefault="009753E1" w:rsidP="00206A79">
      <w:pPr>
        <w:pStyle w:val="SingleTxtG"/>
        <w:rPr>
          <w:lang w:val="de-DE"/>
        </w:rPr>
      </w:pPr>
      <w:r w:rsidRPr="00AF0D45">
        <w:rPr>
          <w:lang w:val="de-DE"/>
        </w:rPr>
        <w:t>4.</w:t>
      </w:r>
      <w:r w:rsidRPr="00AF0D45">
        <w:rPr>
          <w:lang w:val="de-DE"/>
        </w:rPr>
        <w:tab/>
      </w:r>
      <w:r w:rsidR="00517158" w:rsidRPr="00AF0D45">
        <w:rPr>
          <w:lang w:val="de-DE"/>
        </w:rPr>
        <w:t>Ebenfalls vertreten waren folgende nichtstaatliche Organisationen:</w:t>
      </w:r>
      <w:r w:rsidRPr="00AF0D45">
        <w:rPr>
          <w:lang w:val="de-DE"/>
        </w:rPr>
        <w:t xml:space="preserve"> </w:t>
      </w:r>
      <w:r w:rsidR="00517158" w:rsidRPr="00AF0D45">
        <w:rPr>
          <w:lang w:val="de-DE"/>
        </w:rPr>
        <w:t xml:space="preserve">Europäische Binnenschifffahrts-Union (EBU), European </w:t>
      </w:r>
      <w:proofErr w:type="spellStart"/>
      <w:r w:rsidR="00517158" w:rsidRPr="00AF0D45">
        <w:rPr>
          <w:lang w:val="de-DE"/>
        </w:rPr>
        <w:t>Bulk</w:t>
      </w:r>
      <w:proofErr w:type="spellEnd"/>
      <w:r w:rsidR="00517158" w:rsidRPr="00AF0D45">
        <w:rPr>
          <w:lang w:val="de-DE"/>
        </w:rPr>
        <w:t xml:space="preserve"> Oil Traders’ </w:t>
      </w:r>
      <w:proofErr w:type="spellStart"/>
      <w:r w:rsidR="00517158" w:rsidRPr="00AF0D45">
        <w:rPr>
          <w:lang w:val="de-DE"/>
        </w:rPr>
        <w:t>Association</w:t>
      </w:r>
      <w:proofErr w:type="spellEnd"/>
      <w:r w:rsidR="00517158" w:rsidRPr="00AF0D45">
        <w:rPr>
          <w:lang w:val="de-DE"/>
        </w:rPr>
        <w:t xml:space="preserve"> (EBOTA), Europäischer Rat der Chemischen Industrieverbände (CEFIC), Europäische Schifferorganisation (ESO), Verband europäischer Tanklager (FETSA), </w:t>
      </w:r>
      <w:proofErr w:type="spellStart"/>
      <w:r w:rsidR="00517158" w:rsidRPr="00AF0D45">
        <w:rPr>
          <w:lang w:val="de-DE"/>
        </w:rPr>
        <w:t>Fue</w:t>
      </w:r>
      <w:r w:rsidR="00206A79" w:rsidRPr="00AF0D45">
        <w:rPr>
          <w:lang w:val="de-DE"/>
        </w:rPr>
        <w:t>ls</w:t>
      </w:r>
      <w:r w:rsidR="00517158" w:rsidRPr="00AF0D45">
        <w:rPr>
          <w:lang w:val="de-DE"/>
        </w:rPr>
        <w:t>Europe</w:t>
      </w:r>
      <w:proofErr w:type="spellEnd"/>
      <w:r w:rsidR="00517158" w:rsidRPr="00AF0D45">
        <w:rPr>
          <w:lang w:val="de-DE"/>
        </w:rPr>
        <w:t>, Internationaler Ausschuss für die Verhütung von Arbeitsunfällen in der Binnenschifffahrt (CIPA) und Empfohlene ADN-Klassifikationsgesellschaften.</w:t>
      </w:r>
    </w:p>
    <w:p w14:paraId="44439CD1" w14:textId="75E57DA4" w:rsidR="009753E1" w:rsidRPr="00AF0D45" w:rsidRDefault="009753E1" w:rsidP="00206A79">
      <w:pPr>
        <w:pStyle w:val="HChG"/>
        <w:rPr>
          <w:lang w:val="de-DE"/>
        </w:rPr>
      </w:pPr>
      <w:r w:rsidRPr="00AF0D45">
        <w:rPr>
          <w:lang w:val="de-DE"/>
        </w:rPr>
        <w:tab/>
      </w:r>
      <w:r w:rsidR="00517158" w:rsidRPr="00AF0D45">
        <w:rPr>
          <w:lang w:val="de-DE"/>
        </w:rPr>
        <w:t>II.</w:t>
      </w:r>
      <w:r w:rsidRPr="00AF0D45">
        <w:rPr>
          <w:lang w:val="de-DE"/>
        </w:rPr>
        <w:tab/>
      </w:r>
      <w:r w:rsidR="00517158" w:rsidRPr="00AF0D45">
        <w:rPr>
          <w:lang w:val="de-DE"/>
        </w:rPr>
        <w:t>Genehmigung der Tagesordnung (TOP 1)</w:t>
      </w:r>
    </w:p>
    <w:p w14:paraId="70E3E6BF" w14:textId="4A4ED397" w:rsidR="009753E1" w:rsidRPr="00AF0D45" w:rsidRDefault="00517158" w:rsidP="00AF0D45">
      <w:pPr>
        <w:pStyle w:val="SingleTxtG"/>
        <w:tabs>
          <w:tab w:val="left" w:pos="3969"/>
        </w:tabs>
        <w:jc w:val="left"/>
        <w:rPr>
          <w:lang w:val="de-DE"/>
        </w:rPr>
      </w:pPr>
      <w:r w:rsidRPr="00AF0D45">
        <w:rPr>
          <w:i/>
          <w:iCs/>
          <w:lang w:val="de-DE"/>
        </w:rPr>
        <w:t>Dokumente:</w:t>
      </w:r>
      <w:r w:rsidR="009753E1" w:rsidRPr="00AF0D45">
        <w:rPr>
          <w:lang w:val="de-DE"/>
        </w:rPr>
        <w:tab/>
      </w:r>
      <w:r w:rsidR="009753E1" w:rsidRPr="00AF0D45">
        <w:rPr>
          <w:lang w:val="de-DE"/>
        </w:rPr>
        <w:tab/>
        <w:t>ECE/</w:t>
      </w:r>
      <w:r w:rsidRPr="00AF0D45">
        <w:rPr>
          <w:lang w:val="de-DE"/>
        </w:rPr>
        <w:t>TRANS/WP.15/AC.2/67 u</w:t>
      </w:r>
      <w:r w:rsidR="009753E1" w:rsidRPr="00AF0D45">
        <w:rPr>
          <w:lang w:val="de-DE"/>
        </w:rPr>
        <w:t>nd Add.1</w:t>
      </w:r>
    </w:p>
    <w:p w14:paraId="72183202" w14:textId="6B30B00E" w:rsidR="009753E1" w:rsidRPr="00AF0D45" w:rsidRDefault="00CE4164" w:rsidP="00AF0D45">
      <w:pPr>
        <w:pStyle w:val="SingleTxtG"/>
        <w:tabs>
          <w:tab w:val="left" w:pos="3969"/>
        </w:tabs>
        <w:spacing w:after="240"/>
        <w:jc w:val="left"/>
        <w:rPr>
          <w:lang w:val="de-DE"/>
        </w:rPr>
      </w:pPr>
      <w:r w:rsidRPr="00AF0D45">
        <w:rPr>
          <w:i/>
          <w:iCs/>
          <w:lang w:val="de-DE"/>
        </w:rPr>
        <w:t>Informelle Dokumente:</w:t>
      </w:r>
      <w:r w:rsidR="009753E1" w:rsidRPr="00AF0D45">
        <w:rPr>
          <w:lang w:val="de-DE"/>
        </w:rPr>
        <w:tab/>
      </w:r>
      <w:r w:rsidRPr="00AF0D45">
        <w:rPr>
          <w:lang w:val="de-DE"/>
        </w:rPr>
        <w:t>INF.1 und INF.10 (Sekretariat)</w:t>
      </w:r>
    </w:p>
    <w:p w14:paraId="2543640D" w14:textId="65ABA6AF" w:rsidR="009753E1" w:rsidRPr="00AF0D45" w:rsidRDefault="009753E1" w:rsidP="00206A79">
      <w:pPr>
        <w:pStyle w:val="SingleTxtG"/>
        <w:spacing w:after="240"/>
        <w:rPr>
          <w:lang w:val="de-DE"/>
        </w:rPr>
      </w:pPr>
      <w:r w:rsidRPr="00AF0D45">
        <w:rPr>
          <w:lang w:val="de-DE"/>
        </w:rPr>
        <w:t>5.</w:t>
      </w:r>
      <w:r w:rsidRPr="00AF0D45">
        <w:rPr>
          <w:lang w:val="de-DE"/>
        </w:rPr>
        <w:tab/>
      </w:r>
      <w:r w:rsidR="00CE4164" w:rsidRPr="00AF0D45">
        <w:rPr>
          <w:lang w:val="de-DE"/>
        </w:rPr>
        <w:t>Der Sicherheitsausschuss genehmigte die vom Sekretariat vorbereitete Tagesordnung in der durch das informelle Dokument INF.1 zur Berücksichtigung der informellen Dokumente INF.1 bis INF.26 geänderten Fassung.</w:t>
      </w:r>
    </w:p>
    <w:p w14:paraId="2561FACD" w14:textId="630D7C05" w:rsidR="009753E1" w:rsidRPr="00AF0D45" w:rsidRDefault="009753E1" w:rsidP="00206A79">
      <w:pPr>
        <w:keepNext/>
        <w:keepLines/>
        <w:tabs>
          <w:tab w:val="right" w:pos="851"/>
        </w:tabs>
        <w:spacing w:before="360" w:after="240" w:line="300" w:lineRule="exact"/>
        <w:ind w:left="1134" w:right="1134" w:hanging="1134"/>
        <w:rPr>
          <w:b/>
          <w:sz w:val="28"/>
          <w:lang w:val="de-DE"/>
        </w:rPr>
      </w:pPr>
      <w:r w:rsidRPr="00AF0D45">
        <w:rPr>
          <w:b/>
          <w:sz w:val="28"/>
          <w:lang w:val="de-DE"/>
        </w:rPr>
        <w:tab/>
      </w:r>
      <w:r w:rsidR="00CE4164" w:rsidRPr="00AF0D45">
        <w:rPr>
          <w:b/>
          <w:sz w:val="28"/>
          <w:lang w:val="de-DE"/>
        </w:rPr>
        <w:t>III.</w:t>
      </w:r>
      <w:r w:rsidRPr="00AF0D45">
        <w:rPr>
          <w:b/>
          <w:sz w:val="28"/>
          <w:lang w:val="de-DE"/>
        </w:rPr>
        <w:tab/>
      </w:r>
      <w:r w:rsidR="00CE4164" w:rsidRPr="00AF0D45">
        <w:rPr>
          <w:b/>
          <w:sz w:val="28"/>
          <w:lang w:val="de-DE"/>
        </w:rPr>
        <w:t xml:space="preserve">Fragen im Zusammenhang mit den Arbeiten der Organe der Vereinten Nationen und anderer Organisationen (TOP 2) </w:t>
      </w:r>
    </w:p>
    <w:p w14:paraId="3ADF472A" w14:textId="207082E8" w:rsidR="009753E1" w:rsidRPr="00AF0D45" w:rsidRDefault="009753E1" w:rsidP="00CE4164">
      <w:pPr>
        <w:keepNext/>
        <w:keepLines/>
        <w:tabs>
          <w:tab w:val="right" w:pos="851"/>
        </w:tabs>
        <w:spacing w:before="360" w:after="240" w:line="270" w:lineRule="exact"/>
        <w:ind w:left="1134" w:right="1134" w:hanging="1134"/>
        <w:rPr>
          <w:b/>
          <w:sz w:val="24"/>
          <w:lang w:val="de-DE"/>
        </w:rPr>
      </w:pPr>
      <w:r w:rsidRPr="00AF0D45">
        <w:rPr>
          <w:b/>
          <w:sz w:val="24"/>
          <w:lang w:val="de-DE"/>
        </w:rPr>
        <w:tab/>
      </w:r>
      <w:r w:rsidR="00CE4164" w:rsidRPr="00AF0D45">
        <w:rPr>
          <w:b/>
          <w:sz w:val="24"/>
          <w:lang w:val="de-DE"/>
        </w:rPr>
        <w:t>A.</w:t>
      </w:r>
      <w:r w:rsidRPr="00AF0D45">
        <w:rPr>
          <w:b/>
          <w:sz w:val="24"/>
          <w:lang w:val="de-DE"/>
        </w:rPr>
        <w:tab/>
      </w:r>
      <w:r w:rsidR="00CE4164" w:rsidRPr="00AF0D45">
        <w:rPr>
          <w:b/>
          <w:sz w:val="24"/>
          <w:lang w:val="de-DE"/>
        </w:rPr>
        <w:t>Strategie der Europäischen Union für den Donauraum (EUSDR): Arbeit</w:t>
      </w:r>
      <w:r w:rsidR="00274205" w:rsidRPr="00AF0D45">
        <w:rPr>
          <w:b/>
          <w:sz w:val="24"/>
          <w:lang w:val="de-DE"/>
        </w:rPr>
        <w:t>en</w:t>
      </w:r>
      <w:r w:rsidR="00CE4164" w:rsidRPr="00AF0D45">
        <w:rPr>
          <w:b/>
          <w:sz w:val="24"/>
          <w:lang w:val="de-DE"/>
        </w:rPr>
        <w:t xml:space="preserve"> in den Prioritätsbereichen 1A und 11</w:t>
      </w:r>
      <w:r w:rsidRPr="00AF0D45">
        <w:rPr>
          <w:b/>
          <w:sz w:val="24"/>
          <w:lang w:val="de-DE"/>
        </w:rPr>
        <w:t xml:space="preserve"> </w:t>
      </w:r>
    </w:p>
    <w:p w14:paraId="22B9F50B" w14:textId="37B1FCB9" w:rsidR="009753E1" w:rsidRPr="00AF0D45" w:rsidRDefault="00CE4164" w:rsidP="00AF0D45">
      <w:pPr>
        <w:tabs>
          <w:tab w:val="left" w:pos="3969"/>
        </w:tabs>
        <w:spacing w:after="120"/>
        <w:ind w:left="1134" w:right="1134"/>
        <w:jc w:val="both"/>
        <w:rPr>
          <w:rFonts w:eastAsia="SimSun"/>
          <w:lang w:val="de-DE" w:eastAsia="zh-CN"/>
        </w:rPr>
      </w:pPr>
      <w:r w:rsidRPr="00AF0D45">
        <w:rPr>
          <w:rFonts w:eastAsia="SimSun"/>
          <w:i/>
          <w:iCs/>
          <w:lang w:val="de-DE" w:eastAsia="zh-CN"/>
        </w:rPr>
        <w:t>Informelles Dokument:</w:t>
      </w:r>
      <w:r w:rsidR="009753E1" w:rsidRPr="00AF0D45">
        <w:rPr>
          <w:rFonts w:eastAsia="SimSun"/>
          <w:i/>
          <w:iCs/>
          <w:lang w:val="de-DE" w:eastAsia="zh-CN"/>
        </w:rPr>
        <w:tab/>
      </w:r>
      <w:r w:rsidRPr="00AF0D45">
        <w:rPr>
          <w:rFonts w:eastAsia="SimSun"/>
          <w:lang w:val="de-DE" w:eastAsia="zh-CN"/>
        </w:rPr>
        <w:t>INF.14 (Donaukommission)</w:t>
      </w:r>
    </w:p>
    <w:p w14:paraId="52FA7838" w14:textId="492CA097" w:rsidR="009753E1" w:rsidRPr="00AF0D45" w:rsidRDefault="009753E1" w:rsidP="00206A79">
      <w:pPr>
        <w:spacing w:after="120"/>
        <w:ind w:left="1134" w:right="1134"/>
        <w:jc w:val="both"/>
        <w:rPr>
          <w:rFonts w:eastAsia="SimSun"/>
          <w:lang w:val="de-DE" w:eastAsia="zh-CN"/>
        </w:rPr>
      </w:pPr>
      <w:r w:rsidRPr="00AF0D45">
        <w:rPr>
          <w:rFonts w:eastAsia="SimSun"/>
          <w:lang w:val="de-DE" w:eastAsia="zh-CN"/>
        </w:rPr>
        <w:t>6.</w:t>
      </w:r>
      <w:r w:rsidRPr="00AF0D45">
        <w:rPr>
          <w:rFonts w:eastAsia="SimSun"/>
          <w:lang w:val="de-DE" w:eastAsia="zh-CN"/>
        </w:rPr>
        <w:tab/>
      </w:r>
      <w:r w:rsidR="00CE4164" w:rsidRPr="00AF0D45">
        <w:rPr>
          <w:rFonts w:eastAsia="SimSun"/>
          <w:lang w:val="de-DE" w:eastAsia="zh-CN"/>
        </w:rPr>
        <w:t>Der Sicherheitsausschuss gratulierte der Donaukommission anlässlich der Feierlichkeiten zum siebzigsten Jahrestag ihrer Gründung.</w:t>
      </w:r>
      <w:r w:rsidRPr="00AF0D45">
        <w:rPr>
          <w:rFonts w:eastAsia="SimSun"/>
          <w:lang w:val="de-DE" w:eastAsia="zh-CN"/>
        </w:rPr>
        <w:t xml:space="preserve"> </w:t>
      </w:r>
    </w:p>
    <w:p w14:paraId="6DE2D249" w14:textId="047E9760" w:rsidR="009753E1" w:rsidRPr="00AF0D45" w:rsidRDefault="009753E1" w:rsidP="00206A79">
      <w:pPr>
        <w:spacing w:after="120"/>
        <w:ind w:left="1134" w:right="1134"/>
        <w:jc w:val="both"/>
        <w:rPr>
          <w:rFonts w:eastAsia="SimSun"/>
          <w:lang w:val="de-DE" w:eastAsia="zh-CN"/>
        </w:rPr>
      </w:pPr>
      <w:r w:rsidRPr="00AF0D45">
        <w:rPr>
          <w:rFonts w:eastAsia="SimSun"/>
          <w:lang w:val="de-DE" w:eastAsia="zh-CN"/>
        </w:rPr>
        <w:t>7.</w:t>
      </w:r>
      <w:r w:rsidRPr="00AF0D45">
        <w:rPr>
          <w:rFonts w:eastAsia="SimSun"/>
          <w:lang w:val="de-DE" w:eastAsia="zh-CN"/>
        </w:rPr>
        <w:tab/>
      </w:r>
      <w:r w:rsidR="00CE4164" w:rsidRPr="00AF0D45">
        <w:rPr>
          <w:rFonts w:eastAsia="SimSun"/>
          <w:lang w:val="de-DE" w:eastAsia="zh-CN"/>
        </w:rPr>
        <w:t xml:space="preserve">Er nahm Kenntnis von den Informationen über die derzeitigen und künftigen Tätigkeiten der gemeinsamen Arbeitsgruppe in den Prioritätsbereichen 1a (Wassermobilität) und 11 (Sicherheit) im Rahmen der Strategie der Europäischen Union für den Donauraum (z. B. elektronischer Datenaustausch, </w:t>
      </w:r>
      <w:r w:rsidR="009A09AD" w:rsidRPr="00AF0D45">
        <w:rPr>
          <w:rFonts w:eastAsia="SimSun"/>
          <w:lang w:val="de-DE" w:eastAsia="zh-CN"/>
        </w:rPr>
        <w:t>Einführung</w:t>
      </w:r>
      <w:r w:rsidR="00CE4164" w:rsidRPr="00AF0D45">
        <w:rPr>
          <w:rFonts w:eastAsia="SimSun"/>
          <w:lang w:val="de-DE" w:eastAsia="zh-CN"/>
        </w:rPr>
        <w:t xml:space="preserve"> </w:t>
      </w:r>
      <w:r w:rsidR="005260CE" w:rsidRPr="00AF0D45">
        <w:rPr>
          <w:rFonts w:eastAsia="SimSun"/>
          <w:lang w:val="de-DE" w:eastAsia="zh-CN"/>
        </w:rPr>
        <w:t>donauweit einheitliche</w:t>
      </w:r>
      <w:r w:rsidR="009A09AD" w:rsidRPr="00AF0D45">
        <w:rPr>
          <w:rFonts w:eastAsia="SimSun"/>
          <w:lang w:val="de-DE" w:eastAsia="zh-CN"/>
        </w:rPr>
        <w:t>r</w:t>
      </w:r>
      <w:r w:rsidR="005260CE" w:rsidRPr="00AF0D45">
        <w:rPr>
          <w:rFonts w:eastAsia="SimSun"/>
          <w:lang w:val="de-DE" w:eastAsia="zh-CN"/>
        </w:rPr>
        <w:t xml:space="preserve"> Standard-Kontrollformulare (</w:t>
      </w:r>
      <w:proofErr w:type="spellStart"/>
      <w:r w:rsidR="005260CE" w:rsidRPr="00AF0D45">
        <w:rPr>
          <w:rFonts w:eastAsia="SimSun"/>
          <w:lang w:val="de-DE" w:eastAsia="zh-CN"/>
        </w:rPr>
        <w:t>Danube</w:t>
      </w:r>
      <w:proofErr w:type="spellEnd"/>
      <w:r w:rsidR="005260CE" w:rsidRPr="00AF0D45">
        <w:rPr>
          <w:rFonts w:eastAsia="SimSun"/>
          <w:lang w:val="de-DE" w:eastAsia="zh-CN"/>
        </w:rPr>
        <w:t xml:space="preserve"> Navigation Standard Forms) </w:t>
      </w:r>
      <w:r w:rsidR="00CE4164" w:rsidRPr="00AF0D45">
        <w:rPr>
          <w:rFonts w:eastAsia="SimSun"/>
          <w:lang w:val="de-DE" w:eastAsia="zh-CN"/>
        </w:rPr>
        <w:t>usw.).</w:t>
      </w:r>
      <w:r w:rsidRPr="00AF0D45">
        <w:rPr>
          <w:rFonts w:eastAsia="SimSun"/>
          <w:lang w:val="de-DE" w:eastAsia="zh-CN"/>
        </w:rPr>
        <w:t xml:space="preserve"> </w:t>
      </w:r>
      <w:r w:rsidR="00C003F9" w:rsidRPr="00AF0D45">
        <w:rPr>
          <w:rFonts w:eastAsia="SimSun"/>
          <w:lang w:val="de-DE" w:eastAsia="zh-CN"/>
        </w:rPr>
        <w:t xml:space="preserve">Ferner </w:t>
      </w:r>
      <w:r w:rsidR="00206A79" w:rsidRPr="00AF0D45">
        <w:rPr>
          <w:rFonts w:eastAsia="SimSun"/>
          <w:lang w:val="de-DE" w:eastAsia="zh-CN"/>
        </w:rPr>
        <w:t>nahm er</w:t>
      </w:r>
      <w:r w:rsidR="00C003F9" w:rsidRPr="00AF0D45">
        <w:rPr>
          <w:rFonts w:eastAsia="SimSun"/>
          <w:lang w:val="de-DE" w:eastAsia="zh-CN"/>
        </w:rPr>
        <w:t xml:space="preserve"> zur Kenntnis, dass die gemeinsame Arbeitsgruppe auf die Vereinfachung, Harmonisierung und Digitalisierung der Verfahren zur Verbesserung der Grenzkontrollen entlang der Donau abzielt und zum Abbau überflüssiger Kontrollen beiträgt.</w:t>
      </w:r>
    </w:p>
    <w:p w14:paraId="31AA2179" w14:textId="0781E2AB" w:rsidR="009753E1" w:rsidRPr="00AF0D45" w:rsidRDefault="009753E1" w:rsidP="00206A79">
      <w:pPr>
        <w:spacing w:after="120"/>
        <w:ind w:left="1134" w:right="1134"/>
        <w:jc w:val="both"/>
        <w:rPr>
          <w:rFonts w:eastAsia="SimSun"/>
          <w:lang w:val="de-DE" w:eastAsia="zh-CN"/>
        </w:rPr>
      </w:pPr>
      <w:r w:rsidRPr="00AF0D45">
        <w:rPr>
          <w:rFonts w:eastAsia="SimSun"/>
          <w:lang w:val="de-DE" w:eastAsia="zh-CN"/>
        </w:rPr>
        <w:t>8.</w:t>
      </w:r>
      <w:r w:rsidRPr="00AF0D45">
        <w:rPr>
          <w:rFonts w:eastAsia="SimSun"/>
          <w:lang w:val="de-DE" w:eastAsia="zh-CN"/>
        </w:rPr>
        <w:tab/>
      </w:r>
      <w:r w:rsidR="00C003F9" w:rsidRPr="00AF0D45">
        <w:rPr>
          <w:rFonts w:eastAsia="SimSun"/>
          <w:lang w:val="de-DE" w:eastAsia="zh-CN"/>
        </w:rPr>
        <w:t>Der Vertreter der Donaukommission informierte den Sicherheitsausschuss auch über die Organisation eines transnationalen Workshops im Frühjahr 2019, an dem voraussichtlich Sachverständige und zuständige Behörden aus Ländern des Donauraums teilnehmen werden.</w:t>
      </w:r>
    </w:p>
    <w:p w14:paraId="5AAA6A87" w14:textId="77777777" w:rsidR="00817513" w:rsidRPr="00AF0D45" w:rsidRDefault="00817513">
      <w:pPr>
        <w:suppressAutoHyphens w:val="0"/>
        <w:spacing w:line="240" w:lineRule="auto"/>
        <w:rPr>
          <w:rFonts w:eastAsia="SimSun"/>
          <w:lang w:val="de-DE" w:eastAsia="zh-CN"/>
        </w:rPr>
      </w:pPr>
      <w:r w:rsidRPr="00AF0D45">
        <w:rPr>
          <w:rFonts w:eastAsia="SimSun"/>
          <w:lang w:val="de-DE" w:eastAsia="zh-CN"/>
        </w:rPr>
        <w:br w:type="page"/>
      </w:r>
    </w:p>
    <w:p w14:paraId="66D2E89C" w14:textId="69CC38C2" w:rsidR="009753E1" w:rsidRPr="00AF0D45" w:rsidRDefault="009753E1" w:rsidP="005D49F8">
      <w:pPr>
        <w:spacing w:after="120"/>
        <w:ind w:left="1134" w:right="1134"/>
        <w:jc w:val="both"/>
        <w:rPr>
          <w:rFonts w:eastAsia="SimSun"/>
          <w:lang w:val="de-DE" w:eastAsia="zh-CN"/>
        </w:rPr>
      </w:pPr>
      <w:r w:rsidRPr="00AF0D45">
        <w:rPr>
          <w:rFonts w:eastAsia="SimSun"/>
          <w:lang w:val="de-DE" w:eastAsia="zh-CN"/>
        </w:rPr>
        <w:lastRenderedPageBreak/>
        <w:t>9.</w:t>
      </w:r>
      <w:r w:rsidRPr="00AF0D45">
        <w:rPr>
          <w:rFonts w:eastAsia="SimSun"/>
          <w:lang w:val="de-DE" w:eastAsia="zh-CN"/>
        </w:rPr>
        <w:tab/>
      </w:r>
      <w:r w:rsidR="00206A79" w:rsidRPr="00AF0D45">
        <w:rPr>
          <w:rFonts w:eastAsia="SimSun"/>
          <w:lang w:val="de-DE" w:eastAsia="zh-CN"/>
        </w:rPr>
        <w:t>Nachdem d</w:t>
      </w:r>
      <w:r w:rsidR="00AE01C4" w:rsidRPr="00AF0D45">
        <w:rPr>
          <w:rFonts w:eastAsia="SimSun"/>
          <w:lang w:val="de-DE" w:eastAsia="zh-CN"/>
        </w:rPr>
        <w:t>er Sicherheitsausschuss zur Kenntnis</w:t>
      </w:r>
      <w:r w:rsidR="00206A79" w:rsidRPr="00AF0D45">
        <w:rPr>
          <w:rFonts w:eastAsia="SimSun"/>
          <w:lang w:val="de-DE" w:eastAsia="zh-CN"/>
        </w:rPr>
        <w:t xml:space="preserve"> genommen hatte</w:t>
      </w:r>
      <w:r w:rsidR="00AE01C4" w:rsidRPr="00AF0D45">
        <w:rPr>
          <w:rFonts w:eastAsia="SimSun"/>
          <w:lang w:val="de-DE" w:eastAsia="zh-CN"/>
        </w:rPr>
        <w:t xml:space="preserve">, dass diese Aktivitäten die Ausbildung und den Wissensaustausch </w:t>
      </w:r>
      <w:r w:rsidR="00206A79" w:rsidRPr="00AF0D45">
        <w:rPr>
          <w:rFonts w:eastAsia="SimSun"/>
          <w:lang w:val="de-DE" w:eastAsia="zh-CN"/>
        </w:rPr>
        <w:t>für</w:t>
      </w:r>
      <w:r w:rsidR="00AE01C4" w:rsidRPr="00AF0D45">
        <w:rPr>
          <w:rFonts w:eastAsia="SimSun"/>
          <w:lang w:val="de-DE" w:eastAsia="zh-CN"/>
        </w:rPr>
        <w:t xml:space="preserve"> Kontrollstellen auf transnationaler Ebene erleichtern und das gegenseitige Verständnis zwischen den Kontrollbehörden in Fragen der Binnenschifffahrt (einschließlich </w:t>
      </w:r>
      <w:r w:rsidR="00DD13F8" w:rsidRPr="00AF0D45">
        <w:rPr>
          <w:rFonts w:eastAsia="SimSun"/>
          <w:lang w:val="de-DE" w:eastAsia="zh-CN"/>
        </w:rPr>
        <w:t>Fragen</w:t>
      </w:r>
      <w:r w:rsidR="00AE01C4" w:rsidRPr="00AF0D45">
        <w:rPr>
          <w:rFonts w:eastAsia="SimSun"/>
          <w:lang w:val="de-DE" w:eastAsia="zh-CN"/>
        </w:rPr>
        <w:t xml:space="preserve"> de</w:t>
      </w:r>
      <w:r w:rsidR="00DD13F8" w:rsidRPr="00AF0D45">
        <w:rPr>
          <w:rFonts w:eastAsia="SimSun"/>
          <w:lang w:val="de-DE" w:eastAsia="zh-CN"/>
        </w:rPr>
        <w:t>r</w:t>
      </w:r>
      <w:r w:rsidR="00AE01C4" w:rsidRPr="00AF0D45">
        <w:rPr>
          <w:rFonts w:eastAsia="SimSun"/>
          <w:lang w:val="de-DE" w:eastAsia="zh-CN"/>
        </w:rPr>
        <w:t xml:space="preserve"> Beförderung gefährlicher Güter) verbessern</w:t>
      </w:r>
      <w:r w:rsidR="00206A79" w:rsidRPr="00AF0D45">
        <w:rPr>
          <w:rFonts w:eastAsia="SimSun"/>
          <w:lang w:val="de-DE" w:eastAsia="zh-CN"/>
        </w:rPr>
        <w:t xml:space="preserve"> sollen</w:t>
      </w:r>
      <w:r w:rsidR="00AE01C4" w:rsidRPr="00AF0D45">
        <w:rPr>
          <w:rFonts w:eastAsia="SimSun"/>
          <w:lang w:val="de-DE" w:eastAsia="zh-CN"/>
        </w:rPr>
        <w:t>, appellierte</w:t>
      </w:r>
      <w:r w:rsidR="00206A79" w:rsidRPr="00AF0D45">
        <w:rPr>
          <w:rFonts w:eastAsia="SimSun"/>
          <w:lang w:val="de-DE" w:eastAsia="zh-CN"/>
        </w:rPr>
        <w:t xml:space="preserve"> er</w:t>
      </w:r>
      <w:r w:rsidR="00AE01C4" w:rsidRPr="00AF0D45">
        <w:rPr>
          <w:rFonts w:eastAsia="SimSun"/>
          <w:lang w:val="de-DE" w:eastAsia="zh-CN"/>
        </w:rPr>
        <w:t xml:space="preserve"> an die Donaukommission, die ADN-</w:t>
      </w:r>
      <w:r w:rsidR="00E72BB4" w:rsidRPr="00AF0D45">
        <w:rPr>
          <w:rFonts w:eastAsia="SimSun"/>
          <w:lang w:val="de-DE" w:eastAsia="zh-CN"/>
        </w:rPr>
        <w:t>Vorschriften</w:t>
      </w:r>
      <w:r w:rsidR="00AE01C4" w:rsidRPr="00AF0D45">
        <w:rPr>
          <w:rFonts w:eastAsia="SimSun"/>
          <w:lang w:val="de-DE" w:eastAsia="zh-CN"/>
        </w:rPr>
        <w:t xml:space="preserve"> (z.</w:t>
      </w:r>
      <w:r w:rsidR="00E72BB4" w:rsidRPr="00AF0D45">
        <w:rPr>
          <w:rFonts w:eastAsia="SimSun"/>
          <w:lang w:val="de-DE" w:eastAsia="zh-CN"/>
        </w:rPr>
        <w:t> </w:t>
      </w:r>
      <w:r w:rsidR="00AE01C4" w:rsidRPr="00AF0D45">
        <w:rPr>
          <w:rFonts w:eastAsia="SimSun"/>
          <w:lang w:val="de-DE" w:eastAsia="zh-CN"/>
        </w:rPr>
        <w:t xml:space="preserve">B. für Kontrollen, erforderliche </w:t>
      </w:r>
      <w:r w:rsidR="00E72BB4" w:rsidRPr="00AF0D45">
        <w:rPr>
          <w:rFonts w:eastAsia="SimSun"/>
          <w:lang w:val="de-DE" w:eastAsia="zh-CN"/>
        </w:rPr>
        <w:t>Nachweise</w:t>
      </w:r>
      <w:r w:rsidR="00AE01C4" w:rsidRPr="00AF0D45">
        <w:rPr>
          <w:rFonts w:eastAsia="SimSun"/>
          <w:lang w:val="de-DE" w:eastAsia="zh-CN"/>
        </w:rPr>
        <w:t xml:space="preserve"> usw.) </w:t>
      </w:r>
      <w:r w:rsidR="005D49F8" w:rsidRPr="00AF0D45">
        <w:rPr>
          <w:rFonts w:eastAsia="SimSun"/>
          <w:lang w:val="de-DE" w:eastAsia="zh-CN"/>
        </w:rPr>
        <w:t>bei</w:t>
      </w:r>
      <w:r w:rsidR="00AE01C4" w:rsidRPr="00AF0D45">
        <w:rPr>
          <w:rFonts w:eastAsia="SimSun"/>
          <w:lang w:val="de-DE" w:eastAsia="zh-CN"/>
        </w:rPr>
        <w:t xml:space="preserve"> allen </w:t>
      </w:r>
      <w:r w:rsidR="005D49F8" w:rsidRPr="00AF0D45">
        <w:rPr>
          <w:rFonts w:eastAsia="SimSun"/>
          <w:lang w:val="de-DE" w:eastAsia="zh-CN"/>
        </w:rPr>
        <w:t>Fragen</w:t>
      </w:r>
      <w:r w:rsidR="00AE01C4" w:rsidRPr="00AF0D45">
        <w:rPr>
          <w:rFonts w:eastAsia="SimSun"/>
          <w:lang w:val="de-DE" w:eastAsia="zh-CN"/>
        </w:rPr>
        <w:t xml:space="preserve"> der Beförderung gefährlicher Güter zu berücksichtigen.</w:t>
      </w:r>
      <w:r w:rsidRPr="00AF0D45">
        <w:rPr>
          <w:rFonts w:eastAsia="SimSun"/>
          <w:lang w:val="de-DE" w:eastAsia="zh-CN"/>
        </w:rPr>
        <w:t xml:space="preserve"> </w:t>
      </w:r>
    </w:p>
    <w:p w14:paraId="443297B7" w14:textId="441994FC" w:rsidR="009753E1" w:rsidRPr="00AF0D45" w:rsidRDefault="009753E1" w:rsidP="005D49F8">
      <w:pPr>
        <w:spacing w:after="120"/>
        <w:ind w:left="1134" w:right="1134"/>
        <w:jc w:val="both"/>
        <w:rPr>
          <w:rFonts w:eastAsia="SimSun"/>
          <w:lang w:val="de-DE" w:eastAsia="zh-CN"/>
        </w:rPr>
      </w:pPr>
      <w:r w:rsidRPr="00AF0D45">
        <w:rPr>
          <w:rFonts w:eastAsia="SimSun"/>
          <w:lang w:val="de-DE" w:eastAsia="zh-CN"/>
        </w:rPr>
        <w:t>10.</w:t>
      </w:r>
      <w:r w:rsidRPr="00AF0D45">
        <w:rPr>
          <w:rFonts w:eastAsia="SimSun"/>
          <w:lang w:val="de-DE" w:eastAsia="zh-CN"/>
        </w:rPr>
        <w:tab/>
      </w:r>
      <w:r w:rsidR="00130BE0" w:rsidRPr="00AF0D45">
        <w:rPr>
          <w:rFonts w:eastAsia="SimSun"/>
          <w:lang w:val="de-DE" w:eastAsia="zh-CN"/>
        </w:rPr>
        <w:t>Der Sicherheitsausschuss ersuchte den Vertreter der Donaukommission, ihn über die Fortschritte in diesen Bereichen auf dem Laufenden zu halten.</w:t>
      </w:r>
    </w:p>
    <w:p w14:paraId="63F328A9" w14:textId="1C55BAE0" w:rsidR="009753E1" w:rsidRPr="00AF0D45" w:rsidRDefault="009753E1" w:rsidP="005D49F8">
      <w:pPr>
        <w:keepNext/>
        <w:keepLines/>
        <w:tabs>
          <w:tab w:val="right" w:pos="851"/>
        </w:tabs>
        <w:spacing w:before="360" w:after="240" w:line="270" w:lineRule="exact"/>
        <w:ind w:left="1134" w:right="1134" w:hanging="1134"/>
        <w:rPr>
          <w:b/>
          <w:sz w:val="24"/>
          <w:lang w:val="de-DE"/>
        </w:rPr>
      </w:pPr>
      <w:r w:rsidRPr="00AF0D45">
        <w:rPr>
          <w:b/>
          <w:sz w:val="24"/>
          <w:lang w:val="de-DE"/>
        </w:rPr>
        <w:tab/>
      </w:r>
      <w:r w:rsidR="00130BE0" w:rsidRPr="00AF0D45">
        <w:rPr>
          <w:b/>
          <w:sz w:val="24"/>
          <w:lang w:val="de-DE"/>
        </w:rPr>
        <w:t>B.</w:t>
      </w:r>
      <w:r w:rsidRPr="00AF0D45">
        <w:rPr>
          <w:b/>
          <w:sz w:val="24"/>
          <w:lang w:val="de-DE"/>
        </w:rPr>
        <w:tab/>
      </w:r>
      <w:r w:rsidR="00130BE0" w:rsidRPr="00AF0D45">
        <w:rPr>
          <w:b/>
          <w:sz w:val="24"/>
          <w:lang w:val="de-DE"/>
        </w:rPr>
        <w:t>Arbeiten des Binnenverkehrsausschusses</w:t>
      </w:r>
      <w:r w:rsidRPr="00AF0D45">
        <w:rPr>
          <w:b/>
          <w:sz w:val="24"/>
          <w:lang w:val="de-DE"/>
        </w:rPr>
        <w:t xml:space="preserve"> </w:t>
      </w:r>
    </w:p>
    <w:p w14:paraId="026BCBCB" w14:textId="3D679D09" w:rsidR="009753E1" w:rsidRPr="00AF0D45" w:rsidRDefault="009753E1" w:rsidP="005D49F8">
      <w:pPr>
        <w:spacing w:after="120"/>
        <w:ind w:left="1134" w:right="1134"/>
        <w:jc w:val="both"/>
        <w:rPr>
          <w:rFonts w:eastAsia="SimSun"/>
          <w:lang w:val="de-DE" w:eastAsia="zh-CN"/>
        </w:rPr>
      </w:pPr>
      <w:r w:rsidRPr="00AF0D45">
        <w:rPr>
          <w:rFonts w:eastAsia="SimSun"/>
          <w:lang w:val="de-DE" w:eastAsia="zh-CN"/>
        </w:rPr>
        <w:t>11.</w:t>
      </w:r>
      <w:r w:rsidRPr="00AF0D45">
        <w:rPr>
          <w:rFonts w:eastAsia="SimSun"/>
          <w:lang w:val="de-DE" w:eastAsia="zh-CN"/>
        </w:rPr>
        <w:tab/>
      </w:r>
      <w:r w:rsidR="00130BE0" w:rsidRPr="00AF0D45">
        <w:rPr>
          <w:rFonts w:eastAsia="SimSun"/>
          <w:lang w:val="de-DE" w:eastAsia="zh-CN"/>
        </w:rPr>
        <w:t xml:space="preserve">Der Sicherheitsausschuss nahm zur Kenntnis, dass die Liste der wichtigsten vom Binnenverkehrsausschuss in seiner achtzigsten Sitzung gefassten Beschlüsse gemäß informellem Dokument INF.13 auf der Website der UN-ECE abgerufen werden kann und </w:t>
      </w:r>
      <w:r w:rsidR="00A10F6F" w:rsidRPr="00AF0D45">
        <w:rPr>
          <w:rFonts w:eastAsia="SimSun"/>
          <w:lang w:val="de-DE" w:eastAsia="zh-CN"/>
        </w:rPr>
        <w:t>das Protokoll</w:t>
      </w:r>
      <w:r w:rsidR="00130BE0" w:rsidRPr="00AF0D45">
        <w:rPr>
          <w:rFonts w:eastAsia="SimSun"/>
          <w:lang w:val="de-DE" w:eastAsia="zh-CN"/>
        </w:rPr>
        <w:t xml:space="preserve"> bisher in Englisch, Französisch und Russisch unter dem Aktenzeichen ECE/TRANS/274 und Add.1 verfügbar ist.</w:t>
      </w:r>
      <w:r w:rsidRPr="00AF0D45">
        <w:rPr>
          <w:rFonts w:eastAsia="SimSun"/>
          <w:lang w:val="de-DE" w:eastAsia="zh-CN"/>
        </w:rPr>
        <w:t xml:space="preserve"> </w:t>
      </w:r>
    </w:p>
    <w:p w14:paraId="7C75C98A" w14:textId="1A8BFE4A" w:rsidR="009753E1" w:rsidRPr="00AF0D45" w:rsidRDefault="009753E1" w:rsidP="00A475D9">
      <w:pPr>
        <w:pStyle w:val="SingleTxtG"/>
        <w:spacing w:after="240"/>
        <w:rPr>
          <w:lang w:val="de-DE"/>
        </w:rPr>
      </w:pPr>
      <w:r w:rsidRPr="00AF0D45">
        <w:rPr>
          <w:lang w:val="de-DE"/>
        </w:rPr>
        <w:t>12.</w:t>
      </w:r>
      <w:r w:rsidRPr="00AF0D45">
        <w:rPr>
          <w:lang w:val="de-DE"/>
        </w:rPr>
        <w:tab/>
      </w:r>
      <w:r w:rsidR="00130BE0" w:rsidRPr="00AF0D45">
        <w:rPr>
          <w:lang w:val="de-DE"/>
        </w:rPr>
        <w:t xml:space="preserve">Der Sicherheitsausschuss wurde insbesondere auf die </w:t>
      </w:r>
      <w:r w:rsidR="00A10F6F" w:rsidRPr="00AF0D45">
        <w:rPr>
          <w:lang w:val="de-DE"/>
        </w:rPr>
        <w:t>Bitte</w:t>
      </w:r>
      <w:r w:rsidR="00130BE0" w:rsidRPr="00AF0D45">
        <w:rPr>
          <w:lang w:val="de-DE"/>
        </w:rPr>
        <w:t xml:space="preserve"> des </w:t>
      </w:r>
      <w:r w:rsidR="00A10F6F" w:rsidRPr="00AF0D45">
        <w:rPr>
          <w:lang w:val="de-DE"/>
        </w:rPr>
        <w:t>Binnenverkehrsausschusses</w:t>
      </w:r>
      <w:r w:rsidR="00130BE0" w:rsidRPr="00AF0D45">
        <w:rPr>
          <w:lang w:val="de-DE"/>
        </w:rPr>
        <w:t xml:space="preserve"> an die Arbeitsgruppen aufmerksa</w:t>
      </w:r>
      <w:r w:rsidR="00A10F6F" w:rsidRPr="00AF0D45">
        <w:rPr>
          <w:lang w:val="de-DE"/>
        </w:rPr>
        <w:t>m gemacht, „</w:t>
      </w:r>
      <w:r w:rsidR="00130BE0" w:rsidRPr="00AF0D45">
        <w:rPr>
          <w:lang w:val="de-DE"/>
        </w:rPr>
        <w:t xml:space="preserve">ihre Beiträge nach ihren jährlichen Sitzungen als Beiträge zur Entwicklung der Strategie und des Fahrplans im Hinblick auf </w:t>
      </w:r>
      <w:r w:rsidR="008C0C8E" w:rsidRPr="00AF0D45">
        <w:rPr>
          <w:lang w:val="de-DE"/>
        </w:rPr>
        <w:t>deren</w:t>
      </w:r>
      <w:r w:rsidR="00130BE0" w:rsidRPr="00AF0D45">
        <w:rPr>
          <w:lang w:val="de-DE"/>
        </w:rPr>
        <w:t xml:space="preserve"> endgültige Annahme </w:t>
      </w:r>
      <w:r w:rsidR="008C0C8E" w:rsidRPr="00AF0D45">
        <w:rPr>
          <w:lang w:val="de-DE"/>
        </w:rPr>
        <w:t>in</w:t>
      </w:r>
      <w:r w:rsidR="00130BE0" w:rsidRPr="00AF0D45">
        <w:rPr>
          <w:lang w:val="de-DE"/>
        </w:rPr>
        <w:t xml:space="preserve"> den </w:t>
      </w:r>
      <w:r w:rsidR="0082034E" w:rsidRPr="00AF0D45">
        <w:rPr>
          <w:lang w:val="de-DE"/>
        </w:rPr>
        <w:t>geschlossenen</w:t>
      </w:r>
      <w:r w:rsidR="00130BE0" w:rsidRPr="00AF0D45">
        <w:rPr>
          <w:lang w:val="de-DE"/>
        </w:rPr>
        <w:t xml:space="preserve"> Sitzungen der einundachtzigsten </w:t>
      </w:r>
      <w:r w:rsidR="005D49F8" w:rsidRPr="00AF0D45">
        <w:rPr>
          <w:lang w:val="de-DE"/>
        </w:rPr>
        <w:t>Jahressitzung</w:t>
      </w:r>
      <w:r w:rsidR="00130BE0" w:rsidRPr="00AF0D45">
        <w:rPr>
          <w:lang w:val="de-DE"/>
        </w:rPr>
        <w:t xml:space="preserve"> des Ausschusses zu übermitteln</w:t>
      </w:r>
      <w:r w:rsidR="00A10F6F" w:rsidRPr="00AF0D45">
        <w:rPr>
          <w:lang w:val="de-DE"/>
        </w:rPr>
        <w:t>“</w:t>
      </w:r>
      <w:r w:rsidR="00130BE0" w:rsidRPr="00AF0D45">
        <w:rPr>
          <w:lang w:val="de-DE"/>
        </w:rPr>
        <w:t>, wie</w:t>
      </w:r>
      <w:r w:rsidR="00A475D9" w:rsidRPr="00AF0D45">
        <w:rPr>
          <w:lang w:val="de-DE"/>
        </w:rPr>
        <w:t xml:space="preserve"> dies</w:t>
      </w:r>
      <w:r w:rsidR="00130BE0" w:rsidRPr="00AF0D45">
        <w:rPr>
          <w:lang w:val="de-DE"/>
        </w:rPr>
        <w:t xml:space="preserve"> in </w:t>
      </w:r>
      <w:r w:rsidR="00A10F6F" w:rsidRPr="00AF0D45">
        <w:rPr>
          <w:lang w:val="de-DE"/>
        </w:rPr>
        <w:t>Absatz</w:t>
      </w:r>
      <w:r w:rsidR="00130BE0" w:rsidRPr="00AF0D45">
        <w:rPr>
          <w:lang w:val="de-DE"/>
        </w:rPr>
        <w:t xml:space="preserve"> 17 des </w:t>
      </w:r>
      <w:r w:rsidR="00A10F6F" w:rsidRPr="00AF0D45">
        <w:rPr>
          <w:lang w:val="de-DE"/>
        </w:rPr>
        <w:t>Protokolls</w:t>
      </w:r>
      <w:r w:rsidR="00130BE0" w:rsidRPr="00AF0D45">
        <w:rPr>
          <w:lang w:val="de-DE"/>
        </w:rPr>
        <w:t xml:space="preserve"> über </w:t>
      </w:r>
      <w:r w:rsidR="00B02552" w:rsidRPr="00AF0D45">
        <w:rPr>
          <w:lang w:val="de-DE"/>
        </w:rPr>
        <w:t>die</w:t>
      </w:r>
      <w:r w:rsidR="00130BE0" w:rsidRPr="00AF0D45">
        <w:rPr>
          <w:lang w:val="de-DE"/>
        </w:rPr>
        <w:t xml:space="preserve"> achtzigste </w:t>
      </w:r>
      <w:r w:rsidR="005D49F8" w:rsidRPr="00AF0D45">
        <w:rPr>
          <w:lang w:val="de-DE"/>
        </w:rPr>
        <w:t>Sitzung</w:t>
      </w:r>
      <w:r w:rsidR="00130BE0" w:rsidRPr="00AF0D45">
        <w:rPr>
          <w:lang w:val="de-DE"/>
        </w:rPr>
        <w:t xml:space="preserve"> </w:t>
      </w:r>
      <w:r w:rsidR="007127F4" w:rsidRPr="00AF0D45">
        <w:rPr>
          <w:lang w:val="de-DE"/>
        </w:rPr>
        <w:t xml:space="preserve">des Binnenverkehrsausschusses </w:t>
      </w:r>
      <w:r w:rsidR="00130BE0" w:rsidRPr="00AF0D45">
        <w:rPr>
          <w:lang w:val="de-DE"/>
        </w:rPr>
        <w:t>(ECE/TRANS/274) dargelegt</w:t>
      </w:r>
      <w:r w:rsidR="00A475D9" w:rsidRPr="00AF0D45">
        <w:rPr>
          <w:lang w:val="de-DE"/>
        </w:rPr>
        <w:t xml:space="preserve"> ist</w:t>
      </w:r>
      <w:r w:rsidR="00130BE0" w:rsidRPr="00AF0D45">
        <w:rPr>
          <w:lang w:val="de-DE"/>
        </w:rPr>
        <w:t>.</w:t>
      </w:r>
      <w:r w:rsidRPr="00AF0D45">
        <w:rPr>
          <w:lang w:val="de-DE"/>
        </w:rPr>
        <w:t xml:space="preserve"> </w:t>
      </w:r>
      <w:r w:rsidR="0082034E" w:rsidRPr="00AF0D45">
        <w:rPr>
          <w:lang w:val="de-DE"/>
        </w:rPr>
        <w:t xml:space="preserve">Der Sicherheitsausschuss nahm zur Kenntnis, dass das Dokument den am Sicherheitsausschuss teilnehmenden Regierungsvertretern per E-Mail zugestellt wird und </w:t>
      </w:r>
      <w:r w:rsidR="00A475D9" w:rsidRPr="00AF0D45">
        <w:rPr>
          <w:lang w:val="de-DE"/>
        </w:rPr>
        <w:t>letzter Termin</w:t>
      </w:r>
      <w:r w:rsidR="0082034E" w:rsidRPr="00AF0D45">
        <w:rPr>
          <w:lang w:val="de-DE"/>
        </w:rPr>
        <w:t xml:space="preserve"> für die Einreichung von Bemerkungen der 30. September ist.</w:t>
      </w:r>
    </w:p>
    <w:p w14:paraId="4DC1A613" w14:textId="1A741390" w:rsidR="009753E1" w:rsidRPr="00AF0D45" w:rsidRDefault="009753E1" w:rsidP="00A475D9">
      <w:pPr>
        <w:pStyle w:val="HChG"/>
        <w:rPr>
          <w:lang w:val="de-DE"/>
        </w:rPr>
      </w:pPr>
      <w:r w:rsidRPr="00AF0D45">
        <w:rPr>
          <w:lang w:val="de-DE"/>
        </w:rPr>
        <w:tab/>
      </w:r>
      <w:r w:rsidR="0082034E" w:rsidRPr="00AF0D45">
        <w:rPr>
          <w:lang w:val="de-DE"/>
        </w:rPr>
        <w:t>IV.</w:t>
      </w:r>
      <w:r w:rsidRPr="00AF0D45">
        <w:rPr>
          <w:lang w:val="de-DE"/>
        </w:rPr>
        <w:tab/>
      </w:r>
      <w:r w:rsidR="0082034E" w:rsidRPr="00AF0D45">
        <w:rPr>
          <w:lang w:val="de-DE"/>
        </w:rPr>
        <w:t>Durchführung des Europäischen Übereinkommens über die internationale Beförderung</w:t>
      </w:r>
      <w:r w:rsidR="00A475D9" w:rsidRPr="00AF0D45">
        <w:rPr>
          <w:lang w:val="de-DE"/>
        </w:rPr>
        <w:t xml:space="preserve"> </w:t>
      </w:r>
      <w:r w:rsidR="0082034E" w:rsidRPr="00AF0D45">
        <w:rPr>
          <w:lang w:val="de-DE"/>
        </w:rPr>
        <w:t>von gefährlichen Gütern auf Binnenwasserstraßen (ADN) (TOP 3)</w:t>
      </w:r>
    </w:p>
    <w:p w14:paraId="190D09E3" w14:textId="338891EC" w:rsidR="009753E1" w:rsidRPr="00AF0D45" w:rsidRDefault="009753E1" w:rsidP="00A475D9">
      <w:pPr>
        <w:pStyle w:val="H1G"/>
        <w:rPr>
          <w:lang w:val="de-DE"/>
        </w:rPr>
      </w:pPr>
      <w:r w:rsidRPr="00AF0D45">
        <w:rPr>
          <w:lang w:val="de-DE"/>
        </w:rPr>
        <w:tab/>
      </w:r>
      <w:r w:rsidR="0082034E" w:rsidRPr="00AF0D45">
        <w:rPr>
          <w:lang w:val="de-DE"/>
        </w:rPr>
        <w:t>A.</w:t>
      </w:r>
      <w:r w:rsidRPr="00AF0D45">
        <w:rPr>
          <w:lang w:val="de-DE"/>
        </w:rPr>
        <w:tab/>
      </w:r>
      <w:r w:rsidR="0082034E" w:rsidRPr="00AF0D45">
        <w:rPr>
          <w:lang w:val="de-DE"/>
        </w:rPr>
        <w:t>Status des ADN</w:t>
      </w:r>
    </w:p>
    <w:p w14:paraId="2440FAEB" w14:textId="2867EBED" w:rsidR="009753E1" w:rsidRPr="00AF0D45" w:rsidRDefault="009753E1" w:rsidP="00A475D9">
      <w:pPr>
        <w:pStyle w:val="SingleTxtG"/>
        <w:rPr>
          <w:lang w:val="de-DE"/>
        </w:rPr>
      </w:pPr>
      <w:r w:rsidRPr="00AF0D45">
        <w:rPr>
          <w:lang w:val="de-DE"/>
        </w:rPr>
        <w:t>13.</w:t>
      </w:r>
      <w:r w:rsidRPr="00AF0D45">
        <w:rPr>
          <w:lang w:val="de-DE"/>
        </w:rPr>
        <w:tab/>
      </w:r>
      <w:r w:rsidR="0082034E" w:rsidRPr="00AF0D45">
        <w:rPr>
          <w:lang w:val="de-DE"/>
        </w:rPr>
        <w:t xml:space="preserve">Der Sicherheitsausschuss stellte fest, dass dem ADN keine neuen Vertragsparteien beigetreten </w:t>
      </w:r>
      <w:r w:rsidR="00C55A50" w:rsidRPr="00AF0D45">
        <w:rPr>
          <w:lang w:val="de-DE"/>
        </w:rPr>
        <w:t>sind</w:t>
      </w:r>
      <w:r w:rsidR="0082034E" w:rsidRPr="00AF0D45">
        <w:rPr>
          <w:lang w:val="de-DE"/>
        </w:rPr>
        <w:t xml:space="preserve"> und deren Anzahl somit weiterhin 18 beträgt.</w:t>
      </w:r>
    </w:p>
    <w:p w14:paraId="6BE6DEB6" w14:textId="3C17258E" w:rsidR="009753E1" w:rsidRPr="00AF0D45" w:rsidRDefault="009753E1" w:rsidP="00A475D9">
      <w:pPr>
        <w:pStyle w:val="SingleTxtG"/>
        <w:rPr>
          <w:lang w:val="de-DE"/>
        </w:rPr>
      </w:pPr>
      <w:r w:rsidRPr="00AF0D45">
        <w:rPr>
          <w:lang w:val="de-DE"/>
        </w:rPr>
        <w:t>14.</w:t>
      </w:r>
      <w:r w:rsidRPr="00AF0D45">
        <w:rPr>
          <w:lang w:val="de-DE"/>
        </w:rPr>
        <w:tab/>
      </w:r>
      <w:r w:rsidR="00C55A50" w:rsidRPr="00AF0D45">
        <w:rPr>
          <w:lang w:val="de-DE"/>
        </w:rPr>
        <w:t>Er nahm ferner zur Kenntnis, dass die vom Verwaltungsausschuss in seiner letzten Sitzung angenommenen Änderungsvorschläge (ECE/ADN</w:t>
      </w:r>
      <w:r w:rsidR="008C73D6" w:rsidRPr="00AF0D45">
        <w:rPr>
          <w:lang w:val="de-DE"/>
        </w:rPr>
        <w:t>/45) den Vertragsparteien am 1. </w:t>
      </w:r>
      <w:r w:rsidR="00C55A50" w:rsidRPr="00AF0D45">
        <w:rPr>
          <w:lang w:val="de-DE"/>
        </w:rPr>
        <w:t>Juli 2018 zwecks Zustimmung mit Verwahrer-Notifizierung C.N.297.2018.TREATIES-XI.D.6 übermittelt wurden. Sofern bis zum 1. Oktober 2018 keine ausreichende Anzahl von Widersprüchen eingeht, gelten sie als angenommen und treten am 1. Januar 2019 in Kraft.</w:t>
      </w:r>
    </w:p>
    <w:p w14:paraId="12FAE80D" w14:textId="529757D4" w:rsidR="009753E1" w:rsidRPr="00AF0D45" w:rsidRDefault="009753E1" w:rsidP="00A475D9">
      <w:pPr>
        <w:pStyle w:val="H1G"/>
        <w:rPr>
          <w:lang w:val="de-DE"/>
        </w:rPr>
      </w:pPr>
      <w:r w:rsidRPr="00AF0D45">
        <w:rPr>
          <w:lang w:val="de-DE"/>
        </w:rPr>
        <w:tab/>
      </w:r>
      <w:r w:rsidR="00C55A50" w:rsidRPr="00AF0D45">
        <w:rPr>
          <w:lang w:val="de-DE"/>
        </w:rPr>
        <w:t>B.</w:t>
      </w:r>
      <w:r w:rsidRPr="00AF0D45">
        <w:rPr>
          <w:lang w:val="de-DE"/>
        </w:rPr>
        <w:tab/>
      </w:r>
      <w:r w:rsidR="00C55A50" w:rsidRPr="00AF0D45">
        <w:rPr>
          <w:lang w:val="de-DE"/>
        </w:rPr>
        <w:t>Ausnahmegenehmigungen, Abweichungen und Gleichwertigkeiten</w:t>
      </w:r>
    </w:p>
    <w:p w14:paraId="3EA4FEFC" w14:textId="1EB79D2C" w:rsidR="009753E1" w:rsidRPr="00AF0D45" w:rsidRDefault="009753E1" w:rsidP="00A475D9">
      <w:pPr>
        <w:pStyle w:val="SingleTxtG"/>
        <w:rPr>
          <w:lang w:val="de-DE"/>
        </w:rPr>
      </w:pPr>
      <w:r w:rsidRPr="00AF0D45">
        <w:rPr>
          <w:lang w:val="de-DE"/>
        </w:rPr>
        <w:t>15.</w:t>
      </w:r>
      <w:r w:rsidRPr="00AF0D45">
        <w:rPr>
          <w:lang w:val="de-DE"/>
        </w:rPr>
        <w:tab/>
      </w:r>
      <w:r w:rsidR="00C55A50" w:rsidRPr="00AF0D45">
        <w:rPr>
          <w:lang w:val="de-DE"/>
        </w:rPr>
        <w:t>Da zu diesem Unterpunkt kein Dokument vorgelegt wurde, fand zu diesem Thema keine Diskussion statt.</w:t>
      </w:r>
    </w:p>
    <w:p w14:paraId="5AD6CF3B" w14:textId="403AC501" w:rsidR="009753E1" w:rsidRPr="00AF0D45" w:rsidRDefault="009753E1" w:rsidP="00A475D9">
      <w:pPr>
        <w:pStyle w:val="H1G"/>
        <w:rPr>
          <w:lang w:val="de-DE"/>
        </w:rPr>
      </w:pPr>
      <w:r w:rsidRPr="00AF0D45">
        <w:rPr>
          <w:lang w:val="de-DE"/>
        </w:rPr>
        <w:lastRenderedPageBreak/>
        <w:tab/>
      </w:r>
      <w:r w:rsidR="00C55A50" w:rsidRPr="00AF0D45">
        <w:rPr>
          <w:lang w:val="de-DE"/>
        </w:rPr>
        <w:t>C.</w:t>
      </w:r>
      <w:r w:rsidRPr="00AF0D45">
        <w:rPr>
          <w:lang w:val="de-DE"/>
        </w:rPr>
        <w:tab/>
      </w:r>
      <w:r w:rsidR="00C55A50" w:rsidRPr="00AF0D45">
        <w:rPr>
          <w:lang w:val="de-DE"/>
        </w:rPr>
        <w:t>Auslegung der dem ADN beigefügten Verordnung</w:t>
      </w:r>
    </w:p>
    <w:p w14:paraId="7DD8E16C" w14:textId="55817D36" w:rsidR="009753E1" w:rsidRPr="00AF0D45" w:rsidRDefault="009753E1" w:rsidP="00A475D9">
      <w:pPr>
        <w:pStyle w:val="H23G"/>
        <w:rPr>
          <w:lang w:val="de-DE"/>
        </w:rPr>
      </w:pPr>
      <w:r w:rsidRPr="00AF0D45">
        <w:rPr>
          <w:lang w:val="de-DE"/>
        </w:rPr>
        <w:tab/>
        <w:t>1.</w:t>
      </w:r>
      <w:r w:rsidRPr="00AF0D45">
        <w:rPr>
          <w:lang w:val="de-DE"/>
        </w:rPr>
        <w:tab/>
      </w:r>
      <w:r w:rsidR="00C55A50" w:rsidRPr="00AF0D45">
        <w:rPr>
          <w:lang w:val="de-DE"/>
        </w:rPr>
        <w:t xml:space="preserve">Feuerlöscheinrichtung an Bord eines Verbandes oder an Bord eines einzelnen </w:t>
      </w:r>
      <w:proofErr w:type="spellStart"/>
      <w:r w:rsidR="00C55A50" w:rsidRPr="00AF0D45">
        <w:rPr>
          <w:lang w:val="de-DE"/>
        </w:rPr>
        <w:t>Leichters</w:t>
      </w:r>
      <w:proofErr w:type="spellEnd"/>
    </w:p>
    <w:p w14:paraId="044CE805" w14:textId="61566AA7" w:rsidR="009753E1" w:rsidRPr="00AF0D45" w:rsidRDefault="00C55A50" w:rsidP="00AF0D45">
      <w:pPr>
        <w:pStyle w:val="SingleTxtG"/>
        <w:keepNext/>
        <w:keepLines/>
        <w:tabs>
          <w:tab w:val="left" w:pos="3969"/>
        </w:tabs>
        <w:rPr>
          <w:lang w:val="de-DE"/>
        </w:rPr>
      </w:pPr>
      <w:r w:rsidRPr="00AF0D45">
        <w:rPr>
          <w:i/>
          <w:iCs/>
          <w:lang w:val="de-DE"/>
        </w:rPr>
        <w:t>Dokument:</w:t>
      </w:r>
      <w:r w:rsidR="009753E1" w:rsidRPr="00AF0D45">
        <w:rPr>
          <w:lang w:val="de-DE"/>
        </w:rPr>
        <w:t xml:space="preserve"> </w:t>
      </w:r>
      <w:r w:rsidR="009753E1" w:rsidRPr="00AF0D45">
        <w:rPr>
          <w:lang w:val="de-DE"/>
        </w:rPr>
        <w:tab/>
      </w:r>
      <w:r w:rsidR="009753E1" w:rsidRPr="00AF0D45">
        <w:rPr>
          <w:lang w:val="de-DE"/>
        </w:rPr>
        <w:tab/>
      </w:r>
      <w:r w:rsidRPr="00AF0D45">
        <w:rPr>
          <w:lang w:val="de-DE"/>
        </w:rPr>
        <w:t>ECE/TRANS/WP.15/AC.2/2018/33 (Frankreich)</w:t>
      </w:r>
    </w:p>
    <w:p w14:paraId="156DBDFE" w14:textId="65BE1E97" w:rsidR="009753E1" w:rsidRPr="00AF0D45" w:rsidRDefault="009753E1" w:rsidP="00817513">
      <w:pPr>
        <w:pStyle w:val="SingleTxtG"/>
        <w:spacing w:line="240" w:lineRule="auto"/>
        <w:rPr>
          <w:lang w:val="de-DE"/>
        </w:rPr>
      </w:pPr>
      <w:r w:rsidRPr="00AF0D45">
        <w:rPr>
          <w:lang w:val="de-DE"/>
        </w:rPr>
        <w:t>16.</w:t>
      </w:r>
      <w:r w:rsidRPr="00AF0D45">
        <w:rPr>
          <w:lang w:val="de-DE"/>
        </w:rPr>
        <w:tab/>
      </w:r>
      <w:r w:rsidR="005C4BD7" w:rsidRPr="00AF0D45">
        <w:rPr>
          <w:lang w:val="de-DE"/>
        </w:rPr>
        <w:t xml:space="preserve">Die Meinungen über die Anwendbarkeit </w:t>
      </w:r>
      <w:r w:rsidR="009F47EB" w:rsidRPr="00AF0D45">
        <w:rPr>
          <w:lang w:val="de-DE"/>
        </w:rPr>
        <w:t>der Anforderungen an Feuerlöscheinrichtungen</w:t>
      </w:r>
      <w:r w:rsidR="005C4BD7" w:rsidRPr="00AF0D45">
        <w:rPr>
          <w:lang w:val="de-DE"/>
        </w:rPr>
        <w:t xml:space="preserve"> in </w:t>
      </w:r>
      <w:r w:rsidR="009F47EB" w:rsidRPr="00AF0D45">
        <w:rPr>
          <w:lang w:val="de-DE"/>
        </w:rPr>
        <w:t xml:space="preserve">Absatz </w:t>
      </w:r>
      <w:r w:rsidR="005C4BD7" w:rsidRPr="00AF0D45">
        <w:rPr>
          <w:lang w:val="de-DE"/>
        </w:rPr>
        <w:t xml:space="preserve">9.3.x.40.1, in Verbindung mit den </w:t>
      </w:r>
      <w:r w:rsidR="009F47EB" w:rsidRPr="00AF0D45">
        <w:rPr>
          <w:lang w:val="de-DE"/>
        </w:rPr>
        <w:t>Absätzen</w:t>
      </w:r>
      <w:r w:rsidR="005C4BD7" w:rsidRPr="00AF0D45">
        <w:rPr>
          <w:lang w:val="de-DE"/>
        </w:rPr>
        <w:t xml:space="preserve"> 7.2.2.19.2 und 7.2.2.19.3, auf nicht motorisierte Tank</w:t>
      </w:r>
      <w:r w:rsidR="00F10FE9" w:rsidRPr="00AF0D45">
        <w:rPr>
          <w:lang w:val="de-DE"/>
        </w:rPr>
        <w:t>leichter</w:t>
      </w:r>
      <w:r w:rsidR="005C4BD7" w:rsidRPr="00AF0D45">
        <w:rPr>
          <w:lang w:val="de-DE"/>
        </w:rPr>
        <w:t xml:space="preserve">, </w:t>
      </w:r>
      <w:r w:rsidR="00F10FE9" w:rsidRPr="00AF0D45">
        <w:rPr>
          <w:lang w:val="de-DE"/>
        </w:rPr>
        <w:t>d</w:t>
      </w:r>
      <w:r w:rsidR="005C4BD7" w:rsidRPr="00AF0D45">
        <w:rPr>
          <w:lang w:val="de-DE"/>
        </w:rPr>
        <w:t>ie Teil eines Schub</w:t>
      </w:r>
      <w:r w:rsidR="00F10FE9" w:rsidRPr="00AF0D45">
        <w:rPr>
          <w:lang w:val="de-DE"/>
        </w:rPr>
        <w:t>verbands</w:t>
      </w:r>
      <w:r w:rsidR="005C4BD7" w:rsidRPr="00AF0D45">
        <w:rPr>
          <w:lang w:val="de-DE"/>
        </w:rPr>
        <w:t xml:space="preserve"> oder einer </w:t>
      </w:r>
      <w:r w:rsidR="00F10FE9" w:rsidRPr="00AF0D45">
        <w:rPr>
          <w:lang w:val="de-DE"/>
        </w:rPr>
        <w:t>gekuppelten Zusammenstellung</w:t>
      </w:r>
      <w:r w:rsidR="005C4BD7" w:rsidRPr="00AF0D45">
        <w:rPr>
          <w:lang w:val="de-DE"/>
        </w:rPr>
        <w:t xml:space="preserve"> sind, waren geteilt.</w:t>
      </w:r>
      <w:r w:rsidRPr="00AF0D45">
        <w:rPr>
          <w:lang w:val="de-DE"/>
        </w:rPr>
        <w:t xml:space="preserve"> </w:t>
      </w:r>
      <w:r w:rsidR="00EE282A" w:rsidRPr="00AF0D45">
        <w:rPr>
          <w:lang w:val="de-DE"/>
        </w:rPr>
        <w:t xml:space="preserve">Der Sicherheitsausschuss </w:t>
      </w:r>
      <w:r w:rsidR="006F1DCE" w:rsidRPr="00AF0D45">
        <w:rPr>
          <w:lang w:val="de-DE"/>
        </w:rPr>
        <w:t>kam überein</w:t>
      </w:r>
      <w:r w:rsidR="00EE282A" w:rsidRPr="00AF0D45">
        <w:rPr>
          <w:lang w:val="de-DE"/>
        </w:rPr>
        <w:t xml:space="preserve">, dass für die aufgeworfenen Fragen </w:t>
      </w:r>
      <w:r w:rsidR="006F1DCE" w:rsidRPr="00AF0D45">
        <w:rPr>
          <w:lang w:val="de-DE"/>
        </w:rPr>
        <w:t xml:space="preserve">baldmöglichst eine Lösung </w:t>
      </w:r>
      <w:r w:rsidR="00EE282A" w:rsidRPr="00AF0D45">
        <w:rPr>
          <w:lang w:val="de-DE"/>
        </w:rPr>
        <w:t xml:space="preserve">gefunden werden muss, da die entsprechende </w:t>
      </w:r>
      <w:r w:rsidR="006F1DCE" w:rsidRPr="00AF0D45">
        <w:rPr>
          <w:lang w:val="de-DE"/>
        </w:rPr>
        <w:t>Übergangsvorschrift</w:t>
      </w:r>
      <w:r w:rsidR="00EE282A" w:rsidRPr="00AF0D45">
        <w:rPr>
          <w:lang w:val="de-DE"/>
        </w:rPr>
        <w:t xml:space="preserve"> zur Erneuerung von Zulassungszeugnissen am 31.</w:t>
      </w:r>
      <w:r w:rsidR="008C73D6" w:rsidRPr="00AF0D45">
        <w:rPr>
          <w:lang w:val="de-DE"/>
        </w:rPr>
        <w:t> </w:t>
      </w:r>
      <w:r w:rsidR="00EE282A" w:rsidRPr="00AF0D45">
        <w:rPr>
          <w:lang w:val="de-DE"/>
        </w:rPr>
        <w:t>Dezember 2018 ausläuft.</w:t>
      </w:r>
      <w:r w:rsidRPr="00AF0D45">
        <w:rPr>
          <w:lang w:val="de-DE"/>
        </w:rPr>
        <w:t xml:space="preserve"> </w:t>
      </w:r>
    </w:p>
    <w:p w14:paraId="2E1E7943" w14:textId="32F71F32" w:rsidR="009753E1" w:rsidRPr="00AF0D45" w:rsidRDefault="009753E1" w:rsidP="00817513">
      <w:pPr>
        <w:pStyle w:val="SingleTxtG"/>
        <w:spacing w:line="240" w:lineRule="auto"/>
        <w:rPr>
          <w:lang w:val="de-DE"/>
        </w:rPr>
      </w:pPr>
      <w:r w:rsidRPr="00AF0D45">
        <w:rPr>
          <w:lang w:val="de-DE"/>
        </w:rPr>
        <w:t>17.</w:t>
      </w:r>
      <w:r w:rsidRPr="00AF0D45">
        <w:rPr>
          <w:lang w:val="de-DE"/>
        </w:rPr>
        <w:tab/>
      </w:r>
      <w:r w:rsidR="006F1DCE" w:rsidRPr="00AF0D45">
        <w:rPr>
          <w:lang w:val="de-DE"/>
        </w:rPr>
        <w:t xml:space="preserve">Nach der Aussprache stellte der Vorsitzende fest, dass der Sicherheitsausschuss detailliertere Informationen benötigt, </w:t>
      </w:r>
      <w:r w:rsidR="00A475D9" w:rsidRPr="00AF0D45">
        <w:rPr>
          <w:lang w:val="de-DE"/>
        </w:rPr>
        <w:t>um zu</w:t>
      </w:r>
      <w:r w:rsidR="006F1DCE" w:rsidRPr="00AF0D45">
        <w:rPr>
          <w:lang w:val="de-DE"/>
        </w:rPr>
        <w:t xml:space="preserve"> eine</w:t>
      </w:r>
      <w:r w:rsidR="00A475D9" w:rsidRPr="00AF0D45">
        <w:rPr>
          <w:lang w:val="de-DE"/>
        </w:rPr>
        <w:t>r</w:t>
      </w:r>
      <w:r w:rsidR="006F1DCE" w:rsidRPr="00AF0D45">
        <w:rPr>
          <w:lang w:val="de-DE"/>
        </w:rPr>
        <w:t xml:space="preserve"> gemeinsame</w:t>
      </w:r>
      <w:r w:rsidR="00A475D9" w:rsidRPr="00AF0D45">
        <w:rPr>
          <w:lang w:val="de-DE"/>
        </w:rPr>
        <w:t>n</w:t>
      </w:r>
      <w:r w:rsidR="006F1DCE" w:rsidRPr="00AF0D45">
        <w:rPr>
          <w:lang w:val="de-DE"/>
        </w:rPr>
        <w:t xml:space="preserve"> Auslegung der Vorschriften </w:t>
      </w:r>
      <w:r w:rsidR="00A475D9" w:rsidRPr="00AF0D45">
        <w:rPr>
          <w:lang w:val="de-DE"/>
        </w:rPr>
        <w:t>gelangen zu</w:t>
      </w:r>
      <w:r w:rsidR="006F1DCE" w:rsidRPr="00AF0D45">
        <w:rPr>
          <w:lang w:val="de-DE"/>
        </w:rPr>
        <w:t xml:space="preserve"> k</w:t>
      </w:r>
      <w:r w:rsidR="00A475D9" w:rsidRPr="00AF0D45">
        <w:rPr>
          <w:lang w:val="de-DE"/>
        </w:rPr>
        <w:t>ö</w:t>
      </w:r>
      <w:r w:rsidR="006F1DCE" w:rsidRPr="00AF0D45">
        <w:rPr>
          <w:lang w:val="de-DE"/>
        </w:rPr>
        <w:t>nn</w:t>
      </w:r>
      <w:r w:rsidR="00A475D9" w:rsidRPr="00AF0D45">
        <w:rPr>
          <w:lang w:val="de-DE"/>
        </w:rPr>
        <w:t>en</w:t>
      </w:r>
      <w:r w:rsidR="006F1DCE" w:rsidRPr="00AF0D45">
        <w:rPr>
          <w:lang w:val="de-DE"/>
        </w:rPr>
        <w:t>.</w:t>
      </w:r>
      <w:r w:rsidRPr="00AF0D45">
        <w:rPr>
          <w:lang w:val="de-DE"/>
        </w:rPr>
        <w:t xml:space="preserve"> </w:t>
      </w:r>
      <w:r w:rsidR="006F1DCE" w:rsidRPr="00AF0D45">
        <w:rPr>
          <w:lang w:val="de-DE"/>
        </w:rPr>
        <w:t xml:space="preserve">Er forderte die Länder und Nichtregierungsorganisationen, insbesondere die Empfohlenen ADN-Klassifikationsgesellschaften, auf, dem Vertreter Frankreichs Feedback zu den bestehenden Praktiken zu geben, damit dieser für die nächste </w:t>
      </w:r>
      <w:r w:rsidR="00A475D9" w:rsidRPr="00AF0D45">
        <w:rPr>
          <w:lang w:val="de-DE"/>
        </w:rPr>
        <w:t>Sitzung</w:t>
      </w:r>
      <w:r w:rsidR="006F1DCE" w:rsidRPr="00AF0D45">
        <w:rPr>
          <w:lang w:val="de-DE"/>
        </w:rPr>
        <w:t xml:space="preserve"> ein detaillierteres Dokument erstellen kann.</w:t>
      </w:r>
      <w:r w:rsidRPr="00AF0D45">
        <w:rPr>
          <w:lang w:val="de-DE"/>
        </w:rPr>
        <w:t xml:space="preserve"> </w:t>
      </w:r>
      <w:r w:rsidR="006F1DCE" w:rsidRPr="00AF0D45">
        <w:rPr>
          <w:lang w:val="de-DE"/>
        </w:rPr>
        <w:t xml:space="preserve">Das Dokument soll nach Möglichkeit einen Vorschlag für ein gemeinsames Verständnis der Vorschriften oder </w:t>
      </w:r>
      <w:r w:rsidR="00A475D9" w:rsidRPr="00AF0D45">
        <w:rPr>
          <w:lang w:val="de-DE"/>
        </w:rPr>
        <w:t>zu</w:t>
      </w:r>
      <w:r w:rsidR="006F1DCE" w:rsidRPr="00AF0D45">
        <w:rPr>
          <w:lang w:val="de-DE"/>
        </w:rPr>
        <w:t xml:space="preserve"> deren Klarstellung enthalten, um unterschiedliche Auslegungen zu vermeiden.</w:t>
      </w:r>
      <w:r w:rsidRPr="00AF0D45">
        <w:rPr>
          <w:lang w:val="de-DE"/>
        </w:rPr>
        <w:t xml:space="preserve"> </w:t>
      </w:r>
      <w:r w:rsidR="006F1DCE" w:rsidRPr="00AF0D45">
        <w:rPr>
          <w:lang w:val="de-DE"/>
        </w:rPr>
        <w:t>Für den Fall, dass keine Lösung gefunden werden kann, wurde vorgeschlagen, ein multilaterales Abkommen in Betracht zu ziehen, um Probleme bei der Umsetzung der neuen Vorschriften zu vermeiden.</w:t>
      </w:r>
      <w:r w:rsidRPr="00AF0D45">
        <w:rPr>
          <w:lang w:val="de-DE"/>
        </w:rPr>
        <w:t xml:space="preserve"> </w:t>
      </w:r>
    </w:p>
    <w:p w14:paraId="621EDDD3" w14:textId="4CB24A8D" w:rsidR="009753E1" w:rsidRPr="00AF0D45" w:rsidRDefault="009753E1" w:rsidP="00817513">
      <w:pPr>
        <w:pStyle w:val="H23G"/>
        <w:spacing w:line="240" w:lineRule="auto"/>
        <w:rPr>
          <w:lang w:val="de-DE"/>
        </w:rPr>
      </w:pPr>
      <w:r w:rsidRPr="00AF0D45">
        <w:rPr>
          <w:lang w:val="de-DE"/>
        </w:rPr>
        <w:tab/>
        <w:t>2.</w:t>
      </w:r>
      <w:r w:rsidRPr="00AF0D45">
        <w:rPr>
          <w:lang w:val="de-DE"/>
        </w:rPr>
        <w:tab/>
      </w:r>
      <w:r w:rsidR="006F1DCE" w:rsidRPr="00AF0D45">
        <w:rPr>
          <w:lang w:val="de-DE"/>
        </w:rPr>
        <w:t xml:space="preserve">CAS- </w:t>
      </w:r>
      <w:r w:rsidR="0077507C" w:rsidRPr="00AF0D45">
        <w:rPr>
          <w:lang w:val="de-DE"/>
        </w:rPr>
        <w:t>(</w:t>
      </w:r>
      <w:r w:rsidR="006F1DCE" w:rsidRPr="00AF0D45">
        <w:rPr>
          <w:lang w:val="de-DE"/>
        </w:rPr>
        <w:t>Chemical Abstracts Service</w:t>
      </w:r>
      <w:r w:rsidR="0077507C" w:rsidRPr="00AF0D45">
        <w:rPr>
          <w:lang w:val="de-DE"/>
        </w:rPr>
        <w:t>)</w:t>
      </w:r>
      <w:r w:rsidR="006F1DCE" w:rsidRPr="00AF0D45">
        <w:rPr>
          <w:lang w:val="de-DE"/>
        </w:rPr>
        <w:t xml:space="preserve"> oder EG-Nummer</w:t>
      </w:r>
      <w:r w:rsidR="0077507C" w:rsidRPr="00AF0D45">
        <w:rPr>
          <w:lang w:val="de-DE"/>
        </w:rPr>
        <w:t>n</w:t>
      </w:r>
      <w:r w:rsidR="006F1DCE" w:rsidRPr="00AF0D45">
        <w:rPr>
          <w:lang w:val="de-DE"/>
        </w:rPr>
        <w:t xml:space="preserve"> für die Meldung gefährlicher Güter</w:t>
      </w:r>
    </w:p>
    <w:p w14:paraId="5530C35D" w14:textId="7516AFF1" w:rsidR="009753E1" w:rsidRPr="00AF0D45" w:rsidRDefault="006F1DCE" w:rsidP="00AF0D45">
      <w:pPr>
        <w:pStyle w:val="SingleTxtG"/>
        <w:tabs>
          <w:tab w:val="left" w:pos="3969"/>
        </w:tabs>
        <w:spacing w:after="0" w:line="240" w:lineRule="auto"/>
        <w:rPr>
          <w:lang w:val="de-DE"/>
        </w:rPr>
      </w:pPr>
      <w:r w:rsidRPr="00AF0D45">
        <w:rPr>
          <w:i/>
          <w:iCs/>
          <w:lang w:val="de-DE"/>
        </w:rPr>
        <w:t>Informelle Dokumente:</w:t>
      </w:r>
      <w:r w:rsidR="009753E1" w:rsidRPr="00AF0D45">
        <w:rPr>
          <w:i/>
          <w:iCs/>
          <w:lang w:val="de-DE"/>
        </w:rPr>
        <w:tab/>
      </w:r>
      <w:r w:rsidRPr="00AF0D45">
        <w:rPr>
          <w:lang w:val="de-DE"/>
        </w:rPr>
        <w:t>INF.5 (Österreich)</w:t>
      </w:r>
    </w:p>
    <w:p w14:paraId="4AC3AD36" w14:textId="5379FDCC" w:rsidR="009753E1" w:rsidRPr="00AF0D45" w:rsidRDefault="009753E1" w:rsidP="00AF0D45">
      <w:pPr>
        <w:pStyle w:val="SingleTxtG"/>
        <w:tabs>
          <w:tab w:val="left" w:pos="3969"/>
        </w:tabs>
        <w:spacing w:line="240" w:lineRule="auto"/>
        <w:rPr>
          <w:lang w:val="de-DE"/>
        </w:rPr>
      </w:pPr>
      <w:r w:rsidRPr="00AF0D45">
        <w:rPr>
          <w:i/>
          <w:iCs/>
          <w:lang w:val="de-DE"/>
        </w:rPr>
        <w:tab/>
      </w:r>
      <w:r w:rsidRPr="00AF0D45">
        <w:rPr>
          <w:i/>
          <w:iCs/>
          <w:lang w:val="de-DE"/>
        </w:rPr>
        <w:tab/>
      </w:r>
      <w:r w:rsidR="006F1DCE" w:rsidRPr="00AF0D45">
        <w:rPr>
          <w:lang w:val="de-DE"/>
        </w:rPr>
        <w:t>INF.22 (CEFIC)</w:t>
      </w:r>
    </w:p>
    <w:p w14:paraId="4FD8D612" w14:textId="3EAF37C8" w:rsidR="009753E1" w:rsidRPr="00AF0D45" w:rsidRDefault="009753E1" w:rsidP="00817513">
      <w:pPr>
        <w:pStyle w:val="SingleTxtG"/>
        <w:spacing w:line="240" w:lineRule="auto"/>
        <w:rPr>
          <w:lang w:val="de-DE"/>
        </w:rPr>
      </w:pPr>
      <w:r w:rsidRPr="00AF0D45">
        <w:rPr>
          <w:lang w:val="de-DE"/>
        </w:rPr>
        <w:t>18.</w:t>
      </w:r>
      <w:r w:rsidRPr="00AF0D45">
        <w:rPr>
          <w:lang w:val="de-DE"/>
        </w:rPr>
        <w:tab/>
      </w:r>
      <w:r w:rsidR="006F1DCE" w:rsidRPr="00AF0D45">
        <w:rPr>
          <w:lang w:val="de-DE"/>
        </w:rPr>
        <w:t xml:space="preserve">Der Vorschlag der Expertengruppe „Electronic Reporting International“ (ERI), die CAS-Nummern (Chemical Abstract </w:t>
      </w:r>
      <w:proofErr w:type="spellStart"/>
      <w:r w:rsidR="006F1DCE" w:rsidRPr="00AF0D45">
        <w:rPr>
          <w:lang w:val="de-DE"/>
        </w:rPr>
        <w:t>Substance</w:t>
      </w:r>
      <w:proofErr w:type="spellEnd"/>
      <w:r w:rsidR="006F1DCE" w:rsidRPr="00AF0D45">
        <w:rPr>
          <w:lang w:val="de-DE"/>
        </w:rPr>
        <w:t>) oder die Nummern der Europäischen Gemeinschaft (EG) im Beförderungspapier anzugeben, fand keine Unterstützung.</w:t>
      </w:r>
      <w:r w:rsidRPr="00AF0D45">
        <w:rPr>
          <w:lang w:val="de-DE"/>
        </w:rPr>
        <w:t xml:space="preserve"> </w:t>
      </w:r>
      <w:r w:rsidR="0077507C" w:rsidRPr="00AF0D45">
        <w:rPr>
          <w:lang w:val="de-DE"/>
        </w:rPr>
        <w:t xml:space="preserve">Der Sicherheitsausschuss stimmte den im informellen Dokument des CEFIC geäußerten Ansichten zu und vertrat die Auffassung, dass die Aufnahme dieser Nummern in das Beförderungspapier keinen Mehrwert für die bereits durch die UN-Nummern, die </w:t>
      </w:r>
      <w:r w:rsidR="000A4233" w:rsidRPr="00AF0D45">
        <w:rPr>
          <w:lang w:val="de-DE"/>
        </w:rPr>
        <w:t xml:space="preserve">offiziellen Benennungen für die Beförderung </w:t>
      </w:r>
      <w:r w:rsidR="0077507C" w:rsidRPr="00AF0D45">
        <w:rPr>
          <w:lang w:val="de-DE"/>
        </w:rPr>
        <w:t xml:space="preserve">und die Klasse und </w:t>
      </w:r>
      <w:r w:rsidR="008361C4" w:rsidRPr="00AF0D45">
        <w:rPr>
          <w:lang w:val="de-DE"/>
        </w:rPr>
        <w:t>Unterklasse</w:t>
      </w:r>
      <w:r w:rsidR="0077507C" w:rsidRPr="00AF0D45">
        <w:rPr>
          <w:lang w:val="de-DE"/>
        </w:rPr>
        <w:t xml:space="preserve"> der beförderten Güter sowie durch die derzeit in den </w:t>
      </w:r>
      <w:r w:rsidR="004348FE" w:rsidRPr="00AF0D45">
        <w:rPr>
          <w:lang w:val="de-DE"/>
        </w:rPr>
        <w:t>Beförderungs</w:t>
      </w:r>
      <w:r w:rsidR="0077507C" w:rsidRPr="00AF0D45">
        <w:rPr>
          <w:lang w:val="de-DE"/>
        </w:rPr>
        <w:t xml:space="preserve">vorschriften vorgeschriebenen </w:t>
      </w:r>
      <w:r w:rsidR="008361C4" w:rsidRPr="00AF0D45">
        <w:rPr>
          <w:lang w:val="de-DE"/>
        </w:rPr>
        <w:t>Gefahrzettel</w:t>
      </w:r>
      <w:r w:rsidR="0077507C" w:rsidRPr="00AF0D45">
        <w:rPr>
          <w:lang w:val="de-DE"/>
        </w:rPr>
        <w:t xml:space="preserve">, </w:t>
      </w:r>
      <w:r w:rsidR="008361C4" w:rsidRPr="00AF0D45">
        <w:rPr>
          <w:lang w:val="de-DE"/>
        </w:rPr>
        <w:t>Großzettel (</w:t>
      </w:r>
      <w:proofErr w:type="spellStart"/>
      <w:r w:rsidR="008361C4" w:rsidRPr="00AF0D45">
        <w:rPr>
          <w:lang w:val="de-DE"/>
        </w:rPr>
        <w:t>Placards</w:t>
      </w:r>
      <w:proofErr w:type="spellEnd"/>
      <w:r w:rsidR="008361C4" w:rsidRPr="00AF0D45">
        <w:rPr>
          <w:lang w:val="de-DE"/>
        </w:rPr>
        <w:t>)</w:t>
      </w:r>
      <w:r w:rsidR="0077507C" w:rsidRPr="00AF0D45">
        <w:rPr>
          <w:lang w:val="de-DE"/>
        </w:rPr>
        <w:t>, Kennzeichnungen usw. gelieferten Informationen bringen würde.</w:t>
      </w:r>
    </w:p>
    <w:p w14:paraId="4C994821" w14:textId="3A91259B" w:rsidR="009753E1" w:rsidRPr="00AF0D45" w:rsidRDefault="009753E1" w:rsidP="00817513">
      <w:pPr>
        <w:pStyle w:val="H23G"/>
        <w:spacing w:line="240" w:lineRule="auto"/>
        <w:rPr>
          <w:lang w:val="de-DE"/>
        </w:rPr>
      </w:pPr>
      <w:r w:rsidRPr="00AF0D45">
        <w:rPr>
          <w:lang w:val="de-DE"/>
        </w:rPr>
        <w:tab/>
        <w:t>3.</w:t>
      </w:r>
      <w:r w:rsidRPr="00AF0D45">
        <w:rPr>
          <w:lang w:val="de-DE"/>
        </w:rPr>
        <w:tab/>
      </w:r>
      <w:r w:rsidR="00B70783" w:rsidRPr="00AF0D45">
        <w:rPr>
          <w:lang w:val="de-DE"/>
        </w:rPr>
        <w:t>Messungen für die Entgasung</w:t>
      </w:r>
    </w:p>
    <w:p w14:paraId="2F7100CB" w14:textId="4222EABC" w:rsidR="009753E1" w:rsidRPr="00AF0D45" w:rsidRDefault="00B70783" w:rsidP="00AF0D45">
      <w:pPr>
        <w:pStyle w:val="SingleTxtG"/>
        <w:tabs>
          <w:tab w:val="left" w:pos="3969"/>
        </w:tabs>
        <w:spacing w:line="240" w:lineRule="auto"/>
        <w:rPr>
          <w:lang w:val="de-DE"/>
        </w:rPr>
      </w:pPr>
      <w:r w:rsidRPr="00AF0D45">
        <w:rPr>
          <w:i/>
          <w:iCs/>
          <w:lang w:val="de-DE"/>
        </w:rPr>
        <w:t>Informelle Dokumente:</w:t>
      </w:r>
      <w:r w:rsidR="009753E1" w:rsidRPr="00AF0D45">
        <w:rPr>
          <w:i/>
          <w:iCs/>
          <w:lang w:val="de-DE"/>
        </w:rPr>
        <w:tab/>
      </w:r>
      <w:r w:rsidRPr="00AF0D45">
        <w:rPr>
          <w:lang w:val="de-DE"/>
        </w:rPr>
        <w:t>INF.6 und INF.26 (Österreich und Niederlande)</w:t>
      </w:r>
    </w:p>
    <w:p w14:paraId="1D382751" w14:textId="387C7AB6" w:rsidR="009753E1" w:rsidRPr="00AF0D45" w:rsidRDefault="009753E1" w:rsidP="00817513">
      <w:pPr>
        <w:pStyle w:val="SingleTxtG"/>
        <w:spacing w:line="240" w:lineRule="auto"/>
        <w:rPr>
          <w:lang w:val="de-DE"/>
        </w:rPr>
      </w:pPr>
      <w:r w:rsidRPr="00AF0D45">
        <w:rPr>
          <w:lang w:val="de-DE"/>
        </w:rPr>
        <w:t>19.</w:t>
      </w:r>
      <w:r w:rsidRPr="00AF0D45">
        <w:rPr>
          <w:lang w:val="de-DE"/>
        </w:rPr>
        <w:tab/>
      </w:r>
      <w:r w:rsidR="00CE5538" w:rsidRPr="00AF0D45">
        <w:rPr>
          <w:lang w:val="de-DE"/>
        </w:rPr>
        <w:t>Der Sicherheitsausschuss billigte die Änderung des zweiten Spiegelstrichs in Absatz 7.2.4.25.5 gemäß dem informellen Dokument INF.26 für die Ausgabe 2021 des ADN (siehe Anlage I).</w:t>
      </w:r>
      <w:r w:rsidRPr="00AF0D45">
        <w:rPr>
          <w:lang w:val="de-DE"/>
        </w:rPr>
        <w:t xml:space="preserve"> </w:t>
      </w:r>
      <w:r w:rsidR="00CE5538" w:rsidRPr="00AF0D45">
        <w:rPr>
          <w:lang w:val="de-DE"/>
        </w:rPr>
        <w:t>Um ein gemeinsames Verständnis des Absatzes 7.2.4.25.5 b) in der Ausgabe 2019 des ADN zu erleichtern, einigte sich der Sicherheitsausschuss in der Zwischenzeit auf Folgendes:</w:t>
      </w:r>
      <w:r w:rsidRPr="00AF0D45">
        <w:rPr>
          <w:lang w:val="de-DE"/>
        </w:rPr>
        <w:t xml:space="preserve"> </w:t>
      </w:r>
    </w:p>
    <w:p w14:paraId="0E49116A" w14:textId="5BDFFAD8" w:rsidR="009753E1" w:rsidRPr="00AF0D45" w:rsidRDefault="00E4777B" w:rsidP="00817513">
      <w:pPr>
        <w:pStyle w:val="SingleTxtG"/>
        <w:spacing w:line="240" w:lineRule="auto"/>
        <w:ind w:left="1701"/>
        <w:rPr>
          <w:lang w:val="de-DE"/>
        </w:rPr>
      </w:pPr>
      <w:r w:rsidRPr="00AF0D45">
        <w:rPr>
          <w:lang w:val="de-DE"/>
        </w:rPr>
        <w:t>„</w:t>
      </w:r>
      <w:r w:rsidR="00FF374B" w:rsidRPr="00AF0D45">
        <w:rPr>
          <w:lang w:val="de-DE"/>
        </w:rPr>
        <w:t>Im Hinblick auf die Auslegung des Satzes ‚Die Messergebnisse müssen schriftlich festgehalten werden.‘ am Ende des zweiten Spiegelstrichs in Absatz 7.2.4.25.5, der für ein Inkrafttreten am 1. Januar 2019 angenommen wurde (siehe ECE/ADN/45), bestätigte der Sicherheitsausschuss, dass die Verpflichtung zur Festhaltung der gemessenen Konzentrationen nur gilt, wenn</w:t>
      </w:r>
    </w:p>
    <w:p w14:paraId="242DD1D2" w14:textId="250F2BE7" w:rsidR="009753E1" w:rsidRPr="00AF0D45" w:rsidRDefault="001D67FE" w:rsidP="00817513">
      <w:pPr>
        <w:pStyle w:val="SingleTxtG"/>
        <w:spacing w:line="240" w:lineRule="auto"/>
        <w:ind w:left="1701"/>
        <w:rPr>
          <w:lang w:val="de-DE"/>
        </w:rPr>
      </w:pPr>
      <w:r w:rsidRPr="00AF0D45">
        <w:rPr>
          <w:lang w:val="de-DE"/>
        </w:rPr>
        <w:t>a)</w:t>
      </w:r>
      <w:r w:rsidR="009753E1" w:rsidRPr="00AF0D45">
        <w:rPr>
          <w:lang w:val="de-DE"/>
        </w:rPr>
        <w:t xml:space="preserve"> </w:t>
      </w:r>
      <w:r w:rsidR="009753E1" w:rsidRPr="00AF0D45">
        <w:rPr>
          <w:lang w:val="de-DE"/>
        </w:rPr>
        <w:tab/>
      </w:r>
      <w:r w:rsidRPr="00AF0D45">
        <w:rPr>
          <w:lang w:val="de-DE"/>
        </w:rPr>
        <w:t>die in diesem Spiegelstrich beschriebenen Bedingungen nicht erfüllt sind</w:t>
      </w:r>
      <w:r w:rsidR="00B82D69" w:rsidRPr="00AF0D45">
        <w:rPr>
          <w:lang w:val="de-DE"/>
        </w:rPr>
        <w:t>; und</w:t>
      </w:r>
      <w:r w:rsidR="009753E1" w:rsidRPr="00AF0D45">
        <w:rPr>
          <w:lang w:val="de-DE"/>
        </w:rPr>
        <w:t xml:space="preserve"> </w:t>
      </w:r>
    </w:p>
    <w:p w14:paraId="0CD7359E" w14:textId="41875109" w:rsidR="009753E1" w:rsidRPr="00AF0D45" w:rsidRDefault="00B82D69" w:rsidP="00DE4B91">
      <w:pPr>
        <w:pStyle w:val="SingleTxtG"/>
        <w:ind w:left="1701"/>
        <w:rPr>
          <w:lang w:val="de-DE"/>
        </w:rPr>
      </w:pPr>
      <w:r w:rsidRPr="00AF0D45">
        <w:rPr>
          <w:lang w:val="de-DE"/>
        </w:rPr>
        <w:t>b)</w:t>
      </w:r>
      <w:r w:rsidR="009753E1" w:rsidRPr="00AF0D45">
        <w:rPr>
          <w:lang w:val="de-DE"/>
        </w:rPr>
        <w:t xml:space="preserve"> </w:t>
      </w:r>
      <w:r w:rsidR="009753E1" w:rsidRPr="00AF0D45">
        <w:rPr>
          <w:lang w:val="de-DE"/>
        </w:rPr>
        <w:tab/>
      </w:r>
      <w:r w:rsidRPr="00AF0D45">
        <w:rPr>
          <w:lang w:val="de-DE"/>
        </w:rPr>
        <w:t>die Gasrückfuhrleitung nicht verwendet wird.“.</w:t>
      </w:r>
    </w:p>
    <w:p w14:paraId="37309716" w14:textId="39097EA3" w:rsidR="009753E1" w:rsidRPr="00AF0D45" w:rsidRDefault="009753E1" w:rsidP="00B82D69">
      <w:pPr>
        <w:pStyle w:val="H1G"/>
        <w:rPr>
          <w:lang w:val="de-DE"/>
        </w:rPr>
      </w:pPr>
      <w:r w:rsidRPr="00AF0D45">
        <w:rPr>
          <w:lang w:val="de-DE"/>
        </w:rPr>
        <w:lastRenderedPageBreak/>
        <w:tab/>
      </w:r>
      <w:r w:rsidR="00B82D69" w:rsidRPr="00AF0D45">
        <w:rPr>
          <w:lang w:val="de-DE"/>
        </w:rPr>
        <w:t>D.</w:t>
      </w:r>
      <w:r w:rsidRPr="00AF0D45">
        <w:rPr>
          <w:lang w:val="de-DE"/>
        </w:rPr>
        <w:tab/>
      </w:r>
      <w:r w:rsidR="00B82D69" w:rsidRPr="00AF0D45">
        <w:rPr>
          <w:lang w:val="de-DE"/>
        </w:rPr>
        <w:t>Ausbildung der Sachkundigen</w:t>
      </w:r>
    </w:p>
    <w:p w14:paraId="5E20F2AB" w14:textId="1FE9D3CC" w:rsidR="009753E1" w:rsidRPr="00AF0D45" w:rsidRDefault="009753E1" w:rsidP="00DE4B91">
      <w:pPr>
        <w:pStyle w:val="H23G"/>
        <w:rPr>
          <w:lang w:val="de-DE"/>
        </w:rPr>
      </w:pPr>
      <w:r w:rsidRPr="00AF0D45">
        <w:rPr>
          <w:lang w:val="de-DE"/>
        </w:rPr>
        <w:tab/>
      </w:r>
      <w:r w:rsidRPr="00AF0D45">
        <w:rPr>
          <w:lang w:val="de-DE"/>
        </w:rPr>
        <w:tab/>
      </w:r>
      <w:r w:rsidR="00B82D69" w:rsidRPr="00AF0D45">
        <w:rPr>
          <w:lang w:val="de-DE"/>
        </w:rPr>
        <w:t>Arbeiten der informellen Arbeitsgruppe „</w:t>
      </w:r>
      <w:proofErr w:type="spellStart"/>
      <w:r w:rsidR="00B82D69" w:rsidRPr="00AF0D45">
        <w:rPr>
          <w:lang w:val="de-DE"/>
        </w:rPr>
        <w:t>Sachkundigenausbildung</w:t>
      </w:r>
      <w:proofErr w:type="spellEnd"/>
      <w:r w:rsidR="00B82D69" w:rsidRPr="00AF0D45">
        <w:rPr>
          <w:lang w:val="de-DE"/>
        </w:rPr>
        <w:t>“</w:t>
      </w:r>
    </w:p>
    <w:p w14:paraId="310A757F" w14:textId="1404AB67" w:rsidR="009753E1" w:rsidRPr="00AF0D45" w:rsidRDefault="00B82D69" w:rsidP="00AF0D45">
      <w:pPr>
        <w:pStyle w:val="SingleTxtG"/>
        <w:tabs>
          <w:tab w:val="left" w:pos="3969"/>
        </w:tabs>
        <w:rPr>
          <w:lang w:val="de-DE"/>
        </w:rPr>
      </w:pPr>
      <w:bookmarkStart w:id="10" w:name="_Hlk522885576"/>
      <w:r w:rsidRPr="00AF0D45">
        <w:rPr>
          <w:i/>
          <w:iCs/>
          <w:lang w:val="de-DE"/>
        </w:rPr>
        <w:t>Dokument:</w:t>
      </w:r>
      <w:r w:rsidR="009753E1" w:rsidRPr="00AF0D45">
        <w:rPr>
          <w:lang w:val="de-DE"/>
        </w:rPr>
        <w:t xml:space="preserve"> </w:t>
      </w:r>
      <w:r w:rsidR="009753E1" w:rsidRPr="00AF0D45">
        <w:rPr>
          <w:lang w:val="de-DE"/>
        </w:rPr>
        <w:tab/>
      </w:r>
      <w:r w:rsidR="009753E1" w:rsidRPr="00AF0D45">
        <w:rPr>
          <w:lang w:val="de-DE"/>
        </w:rPr>
        <w:tab/>
      </w:r>
      <w:bookmarkEnd w:id="10"/>
      <w:r w:rsidRPr="00AF0D45">
        <w:rPr>
          <w:lang w:val="de-DE"/>
        </w:rPr>
        <w:t>ECE/TRANS/WP.15/AC.2/2018/43 (ZKR)</w:t>
      </w:r>
    </w:p>
    <w:p w14:paraId="794A47C6" w14:textId="4617E3CA" w:rsidR="009753E1" w:rsidRPr="00AF0D45" w:rsidRDefault="00B82D69" w:rsidP="00AF0D45">
      <w:pPr>
        <w:pStyle w:val="SingleTxtG"/>
        <w:tabs>
          <w:tab w:val="left" w:pos="3969"/>
        </w:tabs>
        <w:rPr>
          <w:lang w:val="de-DE"/>
        </w:rPr>
      </w:pPr>
      <w:bookmarkStart w:id="11" w:name="_Hlk522885555"/>
      <w:r w:rsidRPr="00AF0D45">
        <w:rPr>
          <w:i/>
          <w:iCs/>
          <w:lang w:val="de-DE"/>
        </w:rPr>
        <w:t>Informelles Dokument:</w:t>
      </w:r>
      <w:r w:rsidR="009753E1" w:rsidRPr="00AF0D45">
        <w:rPr>
          <w:i/>
          <w:iCs/>
          <w:lang w:val="de-DE"/>
        </w:rPr>
        <w:tab/>
      </w:r>
      <w:bookmarkEnd w:id="11"/>
      <w:r w:rsidRPr="00AF0D45">
        <w:rPr>
          <w:lang w:val="de-DE"/>
        </w:rPr>
        <w:t>INF.11 (EBU und ESO)</w:t>
      </w:r>
    </w:p>
    <w:p w14:paraId="31B07170" w14:textId="3DB6CA37" w:rsidR="009753E1" w:rsidRPr="00AF0D45" w:rsidRDefault="009753E1" w:rsidP="00DE4B91">
      <w:pPr>
        <w:pStyle w:val="SingleTxtG"/>
        <w:rPr>
          <w:lang w:val="de-DE"/>
        </w:rPr>
      </w:pPr>
      <w:r w:rsidRPr="00AF0D45">
        <w:rPr>
          <w:lang w:val="de-DE"/>
        </w:rPr>
        <w:t>20.</w:t>
      </w:r>
      <w:r w:rsidRPr="00AF0D45">
        <w:rPr>
          <w:lang w:val="de-DE"/>
        </w:rPr>
        <w:tab/>
      </w:r>
      <w:r w:rsidR="00FD25C9" w:rsidRPr="00AF0D45">
        <w:rPr>
          <w:lang w:val="de-DE"/>
        </w:rPr>
        <w:t xml:space="preserve">Der Sicherheitsausschuss nahm </w:t>
      </w:r>
      <w:r w:rsidR="00B02552" w:rsidRPr="00AF0D45">
        <w:rPr>
          <w:lang w:val="de-DE"/>
        </w:rPr>
        <w:t>den Bericht über</w:t>
      </w:r>
      <w:r w:rsidR="00FD25C9" w:rsidRPr="00AF0D45">
        <w:rPr>
          <w:lang w:val="de-DE"/>
        </w:rPr>
        <w:t xml:space="preserve"> d</w:t>
      </w:r>
      <w:r w:rsidR="00B02552" w:rsidRPr="00AF0D45">
        <w:rPr>
          <w:lang w:val="de-DE"/>
        </w:rPr>
        <w:t>i</w:t>
      </w:r>
      <w:r w:rsidR="00FD25C9" w:rsidRPr="00AF0D45">
        <w:rPr>
          <w:lang w:val="de-DE"/>
        </w:rPr>
        <w:t>e achtzehnte Sitzung der informellen Arbeitsgruppe „</w:t>
      </w:r>
      <w:proofErr w:type="spellStart"/>
      <w:r w:rsidR="00FD25C9" w:rsidRPr="00AF0D45">
        <w:rPr>
          <w:lang w:val="de-DE"/>
        </w:rPr>
        <w:t>Sachkundigenausbildung</w:t>
      </w:r>
      <w:proofErr w:type="spellEnd"/>
      <w:r w:rsidR="00FD25C9" w:rsidRPr="00AF0D45">
        <w:rPr>
          <w:lang w:val="de-DE"/>
        </w:rPr>
        <w:t xml:space="preserve">“ in </w:t>
      </w:r>
      <w:r w:rsidR="00DE4B91" w:rsidRPr="00AF0D45">
        <w:rPr>
          <w:lang w:val="de-DE"/>
        </w:rPr>
        <w:t xml:space="preserve">Dokument </w:t>
      </w:r>
      <w:r w:rsidR="00FD25C9" w:rsidRPr="00AF0D45">
        <w:rPr>
          <w:lang w:val="de-DE"/>
        </w:rPr>
        <w:t>ECE/TRANS/WP.15/AC.2/2018/43 zur Kenntnis.</w:t>
      </w:r>
    </w:p>
    <w:p w14:paraId="58FCAEED" w14:textId="633FBBAA" w:rsidR="009753E1" w:rsidRPr="00AF0D45" w:rsidRDefault="009753E1" w:rsidP="00DE4B91">
      <w:pPr>
        <w:pStyle w:val="SingleTxtG"/>
        <w:rPr>
          <w:lang w:val="de-DE"/>
        </w:rPr>
      </w:pPr>
      <w:r w:rsidRPr="00AF0D45">
        <w:rPr>
          <w:lang w:val="de-DE"/>
        </w:rPr>
        <w:t>21.</w:t>
      </w:r>
      <w:r w:rsidRPr="00AF0D45">
        <w:rPr>
          <w:lang w:val="de-DE"/>
        </w:rPr>
        <w:tab/>
      </w:r>
      <w:r w:rsidR="00E3099D" w:rsidRPr="00AF0D45">
        <w:rPr>
          <w:lang w:val="de-DE"/>
        </w:rPr>
        <w:t xml:space="preserve">Es wurde festgestellt, dass die Überarbeitung des Fragenkatalogs entsprechend den Vorschriften der ADN-Ausgabe 2019 fortgesetzt wird, der überarbeitete Katalog von der informellen Arbeitsgruppe </w:t>
      </w:r>
      <w:r w:rsidR="005B75AD" w:rsidRPr="00AF0D45">
        <w:rPr>
          <w:lang w:val="de-DE"/>
        </w:rPr>
        <w:t xml:space="preserve">voraussichtlich </w:t>
      </w:r>
      <w:r w:rsidR="00E3099D" w:rsidRPr="00AF0D45">
        <w:rPr>
          <w:lang w:val="de-DE"/>
        </w:rPr>
        <w:t>in ihrer nächsten Sitzung (18. bis 20. September 2018) angenommen wird und er dem Sicherheitsausschuss in seiner vierunddreißigsten Sitzung (Januar 2019) vorgelegt wird.</w:t>
      </w:r>
    </w:p>
    <w:p w14:paraId="70CFA0BF" w14:textId="2B60606D" w:rsidR="009753E1" w:rsidRPr="00AF0D45" w:rsidRDefault="009753E1" w:rsidP="00DE4B91">
      <w:pPr>
        <w:pStyle w:val="SingleTxtG"/>
        <w:rPr>
          <w:lang w:val="de-DE"/>
        </w:rPr>
      </w:pPr>
      <w:r w:rsidRPr="00AF0D45">
        <w:rPr>
          <w:lang w:val="de-DE"/>
        </w:rPr>
        <w:t>22.</w:t>
      </w:r>
      <w:r w:rsidRPr="00AF0D45">
        <w:rPr>
          <w:lang w:val="de-DE"/>
        </w:rPr>
        <w:tab/>
      </w:r>
      <w:r w:rsidR="005B75AD" w:rsidRPr="00AF0D45">
        <w:rPr>
          <w:lang w:val="de-DE"/>
        </w:rPr>
        <w:t xml:space="preserve">In Bezug auf die Möglichkeit, die Antworten von A nach D zu verschieben, stimmte der Sicherheitsausschuss mit der informellen Arbeitsgruppe überein, dass eine solche Änderung zulässig sein sollte, und </w:t>
      </w:r>
      <w:r w:rsidR="00DE4B91" w:rsidRPr="00AF0D45">
        <w:rPr>
          <w:lang w:val="de-DE"/>
        </w:rPr>
        <w:t xml:space="preserve">stimmte dem </w:t>
      </w:r>
      <w:r w:rsidR="005B75AD" w:rsidRPr="00AF0D45">
        <w:rPr>
          <w:lang w:val="de-DE"/>
        </w:rPr>
        <w:t>Vorschlag</w:t>
      </w:r>
      <w:r w:rsidR="00DE4B91" w:rsidRPr="00AF0D45">
        <w:rPr>
          <w:lang w:val="de-DE"/>
        </w:rPr>
        <w:t xml:space="preserve"> zu</w:t>
      </w:r>
      <w:r w:rsidR="005B75AD" w:rsidRPr="00AF0D45">
        <w:rPr>
          <w:lang w:val="de-DE"/>
        </w:rPr>
        <w:t>.</w:t>
      </w:r>
      <w:r w:rsidRPr="00AF0D45">
        <w:rPr>
          <w:lang w:val="de-DE"/>
        </w:rPr>
        <w:t xml:space="preserve"> </w:t>
      </w:r>
      <w:r w:rsidR="005B75AD" w:rsidRPr="00AF0D45">
        <w:rPr>
          <w:lang w:val="de-DE"/>
        </w:rPr>
        <w:t xml:space="preserve">Er unterstützte </w:t>
      </w:r>
      <w:r w:rsidR="00DE4B91" w:rsidRPr="00AF0D45">
        <w:rPr>
          <w:lang w:val="de-DE"/>
        </w:rPr>
        <w:t>zudem</w:t>
      </w:r>
      <w:r w:rsidR="005B75AD" w:rsidRPr="00AF0D45">
        <w:rPr>
          <w:lang w:val="de-DE"/>
        </w:rPr>
        <w:t xml:space="preserve"> den Vorschlag, eine Mindestfrist von drei Tagen einzuführen, nach deren Ablauf ein Kandidat die Prüfung nach einem </w:t>
      </w:r>
      <w:r w:rsidR="00FD786A" w:rsidRPr="00AF0D45">
        <w:rPr>
          <w:lang w:val="de-DE"/>
        </w:rPr>
        <w:t xml:space="preserve">Wiederholungskurs </w:t>
      </w:r>
      <w:r w:rsidR="005B75AD" w:rsidRPr="00AF0D45">
        <w:rPr>
          <w:lang w:val="de-DE"/>
        </w:rPr>
        <w:t>wiederholen darf.</w:t>
      </w:r>
    </w:p>
    <w:p w14:paraId="6856B9BE" w14:textId="751E5868" w:rsidR="009753E1" w:rsidRPr="00AF0D45" w:rsidRDefault="009753E1" w:rsidP="00DE4B91">
      <w:pPr>
        <w:pStyle w:val="SingleTxtG"/>
        <w:rPr>
          <w:lang w:val="de-DE"/>
        </w:rPr>
      </w:pPr>
      <w:r w:rsidRPr="00AF0D45">
        <w:rPr>
          <w:lang w:val="de-DE"/>
        </w:rPr>
        <w:t>23.</w:t>
      </w:r>
      <w:r w:rsidRPr="00AF0D45">
        <w:rPr>
          <w:lang w:val="de-DE"/>
        </w:rPr>
        <w:tab/>
      </w:r>
      <w:r w:rsidR="00FD786A" w:rsidRPr="00AF0D45">
        <w:rPr>
          <w:lang w:val="de-DE"/>
        </w:rPr>
        <w:t xml:space="preserve">Der Sicherheitsausschuss </w:t>
      </w:r>
      <w:r w:rsidR="00DE4B91" w:rsidRPr="00AF0D45">
        <w:rPr>
          <w:lang w:val="de-DE"/>
        </w:rPr>
        <w:t>befürwortete</w:t>
      </w:r>
      <w:r w:rsidR="00FD786A" w:rsidRPr="00AF0D45">
        <w:rPr>
          <w:lang w:val="de-DE"/>
        </w:rPr>
        <w:t xml:space="preserve"> ferner den Vorschlag, in die Richtlinie des Verwaltungsausschusses </w:t>
      </w:r>
      <w:r w:rsidR="00906187" w:rsidRPr="00AF0D45">
        <w:rPr>
          <w:lang w:val="de-DE"/>
        </w:rPr>
        <w:t>für</w:t>
      </w:r>
      <w:r w:rsidR="00FD786A" w:rsidRPr="00AF0D45">
        <w:rPr>
          <w:lang w:val="de-DE"/>
        </w:rPr>
        <w:t xml:space="preserve"> die Verwendung des Fragenkatalogs für die </w:t>
      </w:r>
      <w:r w:rsidR="00906187" w:rsidRPr="00AF0D45">
        <w:rPr>
          <w:lang w:val="de-DE"/>
        </w:rPr>
        <w:t xml:space="preserve">Prüfung von </w:t>
      </w:r>
      <w:r w:rsidR="00FD786A" w:rsidRPr="00AF0D45">
        <w:rPr>
          <w:lang w:val="de-DE"/>
        </w:rPr>
        <w:t>ADN-</w:t>
      </w:r>
      <w:r w:rsidR="00906187" w:rsidRPr="00AF0D45">
        <w:rPr>
          <w:lang w:val="de-DE"/>
        </w:rPr>
        <w:t>Sachkundigen</w:t>
      </w:r>
      <w:r w:rsidR="00FD786A" w:rsidRPr="00AF0D45">
        <w:rPr>
          <w:lang w:val="de-DE"/>
        </w:rPr>
        <w:t xml:space="preserve"> Anforderungen an elektronische Prüfungen aufzunehmen, und bat </w:t>
      </w:r>
      <w:r w:rsidR="00736632" w:rsidRPr="00AF0D45">
        <w:rPr>
          <w:lang w:val="de-DE"/>
        </w:rPr>
        <w:t xml:space="preserve">für eine der nächsten Sitzungen </w:t>
      </w:r>
      <w:r w:rsidR="00FD786A" w:rsidRPr="00AF0D45">
        <w:rPr>
          <w:lang w:val="de-DE"/>
        </w:rPr>
        <w:t>um einen entsprechenden Vorschlag.</w:t>
      </w:r>
      <w:r w:rsidRPr="00AF0D45">
        <w:rPr>
          <w:lang w:val="de-DE"/>
        </w:rPr>
        <w:t xml:space="preserve"> </w:t>
      </w:r>
    </w:p>
    <w:p w14:paraId="62209FB0" w14:textId="62878BD1" w:rsidR="009753E1" w:rsidRPr="00AF0D45" w:rsidRDefault="009753E1" w:rsidP="000D566A">
      <w:pPr>
        <w:pStyle w:val="SingleTxtG"/>
        <w:rPr>
          <w:lang w:val="de-DE"/>
        </w:rPr>
      </w:pPr>
      <w:r w:rsidRPr="00AF0D45">
        <w:rPr>
          <w:lang w:val="de-DE"/>
        </w:rPr>
        <w:t>24.</w:t>
      </w:r>
      <w:r w:rsidRPr="00AF0D45">
        <w:rPr>
          <w:lang w:val="de-DE"/>
        </w:rPr>
        <w:tab/>
      </w:r>
      <w:r w:rsidR="009362D8" w:rsidRPr="00AF0D45">
        <w:rPr>
          <w:lang w:val="de-DE"/>
        </w:rPr>
        <w:t>Zu dem Vorschlag einer Verlängerung der Prüfungsfrist im Anschluss an die Basis- und Wiederholungskurse erklärten mehrere Delegationen, dass ihnen kein Problem im Zusammenhang mit der Prüfung</w:t>
      </w:r>
      <w:r w:rsidR="00244F25" w:rsidRPr="00AF0D45">
        <w:rPr>
          <w:lang w:val="de-DE"/>
        </w:rPr>
        <w:t>sdauer</w:t>
      </w:r>
      <w:r w:rsidR="009362D8" w:rsidRPr="00AF0D45">
        <w:rPr>
          <w:lang w:val="de-DE"/>
        </w:rPr>
        <w:t xml:space="preserve"> bekannt sei.</w:t>
      </w:r>
      <w:r w:rsidRPr="00AF0D45">
        <w:rPr>
          <w:lang w:val="de-DE"/>
        </w:rPr>
        <w:t xml:space="preserve"> </w:t>
      </w:r>
      <w:r w:rsidR="00A236A8" w:rsidRPr="00AF0D45">
        <w:rPr>
          <w:lang w:val="de-DE"/>
        </w:rPr>
        <w:t xml:space="preserve">Es wurde darauf hingewiesen, dass bei der Beurteilung der Prüfungszeit für einen durchschnittlich gut vorbereiteten Kandidaten noch andere Faktoren zu berücksichtigen </w:t>
      </w:r>
      <w:r w:rsidR="008B2DFE" w:rsidRPr="00AF0D45">
        <w:rPr>
          <w:lang w:val="de-DE"/>
        </w:rPr>
        <w:t>sind</w:t>
      </w:r>
      <w:r w:rsidR="00A236A8" w:rsidRPr="00AF0D45">
        <w:rPr>
          <w:lang w:val="de-DE"/>
        </w:rPr>
        <w:t>, wie etwa die Formulierung der Fragen (</w:t>
      </w:r>
      <w:r w:rsidR="008B2DFE" w:rsidRPr="00AF0D45">
        <w:rPr>
          <w:lang w:val="de-DE"/>
        </w:rPr>
        <w:t xml:space="preserve">z. B: </w:t>
      </w:r>
      <w:r w:rsidR="00A236A8" w:rsidRPr="00AF0D45">
        <w:rPr>
          <w:lang w:val="de-DE"/>
        </w:rPr>
        <w:t>sind sie zu lang oder zu kompliziert, um schnell verstanden zu werden</w:t>
      </w:r>
      <w:r w:rsidR="008B2DFE" w:rsidRPr="00AF0D45">
        <w:rPr>
          <w:lang w:val="de-DE"/>
        </w:rPr>
        <w:t>?</w:t>
      </w:r>
      <w:r w:rsidR="00A236A8" w:rsidRPr="00AF0D45">
        <w:rPr>
          <w:lang w:val="de-DE"/>
        </w:rPr>
        <w:t>); die Erfahrung der Person, die die Prüfung</w:t>
      </w:r>
      <w:r w:rsidR="000D566A" w:rsidRPr="00AF0D45">
        <w:rPr>
          <w:lang w:val="de-DE"/>
        </w:rPr>
        <w:t xml:space="preserve">sfragen </w:t>
      </w:r>
      <w:r w:rsidR="00A236A8" w:rsidRPr="00AF0D45">
        <w:rPr>
          <w:lang w:val="de-DE"/>
        </w:rPr>
        <w:t xml:space="preserve">auswählt (z. B.: ist die Anzahl </w:t>
      </w:r>
      <w:r w:rsidR="008B2DFE" w:rsidRPr="00AF0D45">
        <w:rPr>
          <w:lang w:val="de-DE"/>
        </w:rPr>
        <w:t>komplizierter und einfacher</w:t>
      </w:r>
      <w:r w:rsidR="00A236A8" w:rsidRPr="00AF0D45">
        <w:rPr>
          <w:lang w:val="de-DE"/>
        </w:rPr>
        <w:t xml:space="preserve"> Fragen ausgewogen</w:t>
      </w:r>
      <w:r w:rsidR="008B2DFE" w:rsidRPr="00AF0D45">
        <w:rPr>
          <w:lang w:val="de-DE"/>
        </w:rPr>
        <w:t>?</w:t>
      </w:r>
      <w:r w:rsidR="00A236A8" w:rsidRPr="00AF0D45">
        <w:rPr>
          <w:lang w:val="de-DE"/>
        </w:rPr>
        <w:t>); die Tatsache, dass die Kandidaten die Prüfung in einer Fremdsprache ablegen können usw.</w:t>
      </w:r>
      <w:r w:rsidRPr="00AF0D45">
        <w:rPr>
          <w:lang w:val="de-DE"/>
        </w:rPr>
        <w:t xml:space="preserve"> </w:t>
      </w:r>
      <w:r w:rsidR="00A236A8" w:rsidRPr="00AF0D45">
        <w:rPr>
          <w:lang w:val="de-DE"/>
        </w:rPr>
        <w:t xml:space="preserve">Aus diesen Gründen vertrat der Sicherheitsausschuss die Auffassung, dass die bisher vorgelegten Informationen und die aktuellen </w:t>
      </w:r>
      <w:r w:rsidR="000D566A" w:rsidRPr="00AF0D45">
        <w:rPr>
          <w:lang w:val="de-DE"/>
        </w:rPr>
        <w:t xml:space="preserve">statistischen </w:t>
      </w:r>
      <w:r w:rsidR="00A236A8" w:rsidRPr="00AF0D45">
        <w:rPr>
          <w:lang w:val="de-DE"/>
        </w:rPr>
        <w:t xml:space="preserve">Daten über die Erfolgsrate bei den Prüfungen eine </w:t>
      </w:r>
      <w:r w:rsidR="000D566A" w:rsidRPr="00AF0D45">
        <w:rPr>
          <w:lang w:val="de-DE"/>
        </w:rPr>
        <w:t>Verlängerung</w:t>
      </w:r>
      <w:r w:rsidR="00A236A8" w:rsidRPr="00AF0D45">
        <w:rPr>
          <w:lang w:val="de-DE"/>
        </w:rPr>
        <w:t xml:space="preserve"> der derzeit für die Prüfungen vorgesehenen 60 Minuten nicht rechtfertigen.</w:t>
      </w:r>
      <w:r w:rsidRPr="00AF0D45">
        <w:rPr>
          <w:lang w:val="de-DE"/>
        </w:rPr>
        <w:t xml:space="preserve"> </w:t>
      </w:r>
      <w:r w:rsidR="00A236A8" w:rsidRPr="00AF0D45">
        <w:rPr>
          <w:lang w:val="de-DE"/>
        </w:rPr>
        <w:t>Sollten die Daten und zusätzliche Untersuchungen in Zukunft eine andere Entwicklung zeigen, könnte der Sicherheitsausschuss diese Frage erneut prüfen.</w:t>
      </w:r>
    </w:p>
    <w:p w14:paraId="189B11D6" w14:textId="203E46EF" w:rsidR="009753E1" w:rsidRPr="00AF0D45" w:rsidRDefault="009753E1" w:rsidP="000D566A">
      <w:pPr>
        <w:pStyle w:val="SingleTxtG"/>
        <w:rPr>
          <w:lang w:val="de-DE"/>
        </w:rPr>
      </w:pPr>
      <w:r w:rsidRPr="00AF0D45">
        <w:rPr>
          <w:lang w:val="de-DE"/>
        </w:rPr>
        <w:t>25.</w:t>
      </w:r>
      <w:r w:rsidRPr="00AF0D45">
        <w:rPr>
          <w:lang w:val="de-DE"/>
        </w:rPr>
        <w:tab/>
      </w:r>
      <w:r w:rsidR="00FE53ED" w:rsidRPr="00AF0D45">
        <w:rPr>
          <w:lang w:val="de-DE"/>
        </w:rPr>
        <w:t xml:space="preserve">Was die Möglichkeit </w:t>
      </w:r>
      <w:r w:rsidR="006E7398" w:rsidRPr="00AF0D45">
        <w:rPr>
          <w:lang w:val="de-DE"/>
        </w:rPr>
        <w:t>des Fernunterrichts</w:t>
      </w:r>
      <w:r w:rsidR="00FE53ED" w:rsidRPr="00AF0D45">
        <w:rPr>
          <w:lang w:val="de-DE"/>
        </w:rPr>
        <w:t xml:space="preserve"> für die </w:t>
      </w:r>
      <w:r w:rsidR="006E7398" w:rsidRPr="00AF0D45">
        <w:rPr>
          <w:lang w:val="de-DE"/>
        </w:rPr>
        <w:t>Basis</w:t>
      </w:r>
      <w:r w:rsidR="00FE53ED" w:rsidRPr="00AF0D45">
        <w:rPr>
          <w:lang w:val="de-DE"/>
        </w:rPr>
        <w:t xml:space="preserve">- und </w:t>
      </w:r>
      <w:r w:rsidR="006E7398" w:rsidRPr="00AF0D45">
        <w:rPr>
          <w:lang w:val="de-DE"/>
        </w:rPr>
        <w:t>Aufbau</w:t>
      </w:r>
      <w:r w:rsidR="00FE53ED" w:rsidRPr="00AF0D45">
        <w:rPr>
          <w:lang w:val="de-DE"/>
        </w:rPr>
        <w:t xml:space="preserve">kurse betrifft, so wurde der Sicherheitsausschuss darüber informiert, dass diese Frage auch von der Gemeinsamen RID/ADR/ADN-Tagung auf </w:t>
      </w:r>
      <w:r w:rsidR="00E84304" w:rsidRPr="00AF0D45">
        <w:rPr>
          <w:lang w:val="de-DE"/>
        </w:rPr>
        <w:t>ihrer</w:t>
      </w:r>
      <w:r w:rsidR="00FE53ED" w:rsidRPr="00AF0D45">
        <w:rPr>
          <w:lang w:val="de-DE"/>
        </w:rPr>
        <w:t xml:space="preserve"> Herbsttagung 2018 behandelt wird und die Internationale Straßen</w:t>
      </w:r>
      <w:r w:rsidR="006E7398" w:rsidRPr="00AF0D45">
        <w:rPr>
          <w:lang w:val="de-DE"/>
        </w:rPr>
        <w:t>transport-U</w:t>
      </w:r>
      <w:r w:rsidR="00FE53ED" w:rsidRPr="00AF0D45">
        <w:rPr>
          <w:lang w:val="de-DE"/>
        </w:rPr>
        <w:t>nion (IRU) einen Vortrag über Online-</w:t>
      </w:r>
      <w:r w:rsidR="006E7398" w:rsidRPr="00AF0D45">
        <w:rPr>
          <w:lang w:val="de-DE"/>
        </w:rPr>
        <w:t>Auffrischung</w:t>
      </w:r>
      <w:r w:rsidR="00FE53ED" w:rsidRPr="00AF0D45">
        <w:rPr>
          <w:lang w:val="de-DE"/>
        </w:rPr>
        <w:t xml:space="preserve">skurse für Fahrer halten wird, um zu erläutern, wie einige der von </w:t>
      </w:r>
      <w:r w:rsidR="00084BC4" w:rsidRPr="00AF0D45">
        <w:rPr>
          <w:lang w:val="de-DE"/>
        </w:rPr>
        <w:t>verschiedenen</w:t>
      </w:r>
      <w:r w:rsidR="00FE53ED" w:rsidRPr="00AF0D45">
        <w:rPr>
          <w:lang w:val="de-DE"/>
        </w:rPr>
        <w:t xml:space="preserve"> Delegationen auf der Frühjahrstagung 2018 geäußerten Bedenken </w:t>
      </w:r>
      <w:r w:rsidR="006E7398" w:rsidRPr="00AF0D45">
        <w:rPr>
          <w:lang w:val="de-DE"/>
        </w:rPr>
        <w:t>ausgeräumt</w:t>
      </w:r>
      <w:r w:rsidR="00FE53ED" w:rsidRPr="00AF0D45">
        <w:rPr>
          <w:lang w:val="de-DE"/>
        </w:rPr>
        <w:t xml:space="preserve"> werden können (siehe ECE/TRANS/WP.15/AC.1/150, </w:t>
      </w:r>
      <w:r w:rsidR="006E7398" w:rsidRPr="00AF0D45">
        <w:rPr>
          <w:lang w:val="de-DE"/>
        </w:rPr>
        <w:t>Nummern</w:t>
      </w:r>
      <w:r w:rsidR="00FE53ED" w:rsidRPr="00AF0D45">
        <w:rPr>
          <w:lang w:val="de-DE"/>
        </w:rPr>
        <w:t xml:space="preserve"> 23 bis 26).</w:t>
      </w:r>
    </w:p>
    <w:p w14:paraId="1007EBA1" w14:textId="5752F325" w:rsidR="009753E1" w:rsidRPr="00AF0D45" w:rsidRDefault="009753E1" w:rsidP="000D566A">
      <w:pPr>
        <w:pStyle w:val="H1G"/>
        <w:rPr>
          <w:lang w:val="de-DE"/>
        </w:rPr>
      </w:pPr>
      <w:r w:rsidRPr="00AF0D45">
        <w:rPr>
          <w:lang w:val="de-DE"/>
        </w:rPr>
        <w:lastRenderedPageBreak/>
        <w:tab/>
      </w:r>
      <w:r w:rsidR="00084BC4" w:rsidRPr="00AF0D45">
        <w:rPr>
          <w:lang w:val="de-DE"/>
        </w:rPr>
        <w:t>E.</w:t>
      </w:r>
      <w:r w:rsidRPr="00AF0D45">
        <w:rPr>
          <w:lang w:val="de-DE"/>
        </w:rPr>
        <w:tab/>
      </w:r>
      <w:r w:rsidR="00084BC4" w:rsidRPr="00AF0D45">
        <w:rPr>
          <w:lang w:val="de-DE"/>
        </w:rPr>
        <w:t>Fragen im Zusammenhang mit den Klassifikationsgesellschaften</w:t>
      </w:r>
    </w:p>
    <w:p w14:paraId="1AE72B66" w14:textId="501920E3" w:rsidR="009753E1" w:rsidRPr="00AF0D45" w:rsidRDefault="009753E1" w:rsidP="00084BC4">
      <w:pPr>
        <w:pStyle w:val="H23G"/>
        <w:rPr>
          <w:lang w:val="de-DE"/>
        </w:rPr>
      </w:pPr>
      <w:r w:rsidRPr="00AF0D45">
        <w:rPr>
          <w:lang w:val="de-DE"/>
        </w:rPr>
        <w:tab/>
        <w:t>1.</w:t>
      </w:r>
      <w:r w:rsidRPr="00AF0D45">
        <w:rPr>
          <w:lang w:val="de-DE"/>
        </w:rPr>
        <w:tab/>
      </w:r>
      <w:r w:rsidR="00084BC4" w:rsidRPr="00AF0D45">
        <w:rPr>
          <w:lang w:val="de-DE"/>
        </w:rPr>
        <w:t>Verweis auf die Einhaltung der ISO/IEC 17020:2012</w:t>
      </w:r>
    </w:p>
    <w:p w14:paraId="3178AC77" w14:textId="4F68D1FD" w:rsidR="009753E1" w:rsidRPr="00AF0D45" w:rsidRDefault="00084BC4" w:rsidP="00AF0D45">
      <w:pPr>
        <w:pStyle w:val="SingleTxtG"/>
        <w:keepNext/>
        <w:keepLines/>
        <w:ind w:left="3969" w:hanging="2835"/>
        <w:jc w:val="left"/>
        <w:rPr>
          <w:lang w:val="de-DE"/>
        </w:rPr>
      </w:pPr>
      <w:bookmarkStart w:id="12" w:name="_Hlk522885631"/>
      <w:r w:rsidRPr="00AF0D45">
        <w:rPr>
          <w:i/>
          <w:iCs/>
          <w:lang w:val="de-DE"/>
        </w:rPr>
        <w:t>Dokument:</w:t>
      </w:r>
      <w:r w:rsidR="009753E1" w:rsidRPr="00AF0D45">
        <w:rPr>
          <w:lang w:val="de-DE"/>
        </w:rPr>
        <w:t xml:space="preserve"> </w:t>
      </w:r>
      <w:r w:rsidR="009753E1" w:rsidRPr="00AF0D45">
        <w:rPr>
          <w:lang w:val="de-DE"/>
        </w:rPr>
        <w:tab/>
      </w:r>
      <w:r w:rsidR="009753E1" w:rsidRPr="00AF0D45">
        <w:rPr>
          <w:lang w:val="de-DE"/>
        </w:rPr>
        <w:tab/>
        <w:t>ECE/TRANS/WP.15/AC.2/2018/27 (</w:t>
      </w:r>
      <w:proofErr w:type="spellStart"/>
      <w:r w:rsidR="009753E1" w:rsidRPr="00AF0D45">
        <w:rPr>
          <w:lang w:val="de-DE"/>
        </w:rPr>
        <w:t>Russian</w:t>
      </w:r>
      <w:proofErr w:type="spellEnd"/>
      <w:r w:rsidR="009753E1" w:rsidRPr="00AF0D45">
        <w:rPr>
          <w:lang w:val="de-DE"/>
        </w:rPr>
        <w:t xml:space="preserve"> Maritime Register </w:t>
      </w:r>
      <w:proofErr w:type="spellStart"/>
      <w:r w:rsidR="009753E1" w:rsidRPr="00AF0D45">
        <w:rPr>
          <w:lang w:val="de-DE"/>
        </w:rPr>
        <w:t>of</w:t>
      </w:r>
      <w:proofErr w:type="spellEnd"/>
      <w:r w:rsidR="009753E1" w:rsidRPr="00AF0D45">
        <w:rPr>
          <w:lang w:val="de-DE"/>
        </w:rPr>
        <w:t xml:space="preserve"> Shipping)</w:t>
      </w:r>
    </w:p>
    <w:p w14:paraId="7D7D24D9" w14:textId="7E829BF6" w:rsidR="009753E1" w:rsidRPr="00AF0D45" w:rsidRDefault="00084BC4" w:rsidP="00AF0D45">
      <w:pPr>
        <w:pStyle w:val="SingleTxtG"/>
        <w:keepNext/>
        <w:keepLines/>
        <w:ind w:left="3969" w:hanging="2835"/>
        <w:rPr>
          <w:lang w:val="de-DE"/>
        </w:rPr>
      </w:pPr>
      <w:r w:rsidRPr="00AF0D45">
        <w:rPr>
          <w:i/>
          <w:iCs/>
          <w:lang w:val="de-DE"/>
        </w:rPr>
        <w:t>Informelles Dokument:</w:t>
      </w:r>
      <w:r w:rsidR="009753E1" w:rsidRPr="00AF0D45">
        <w:rPr>
          <w:i/>
          <w:iCs/>
          <w:lang w:val="de-DE"/>
        </w:rPr>
        <w:tab/>
      </w:r>
      <w:bookmarkEnd w:id="12"/>
      <w:r w:rsidRPr="00AF0D45">
        <w:rPr>
          <w:lang w:val="de-DE"/>
        </w:rPr>
        <w:t>INF.2 (</w:t>
      </w:r>
      <w:proofErr w:type="spellStart"/>
      <w:r w:rsidRPr="00AF0D45">
        <w:rPr>
          <w:lang w:val="de-DE"/>
        </w:rPr>
        <w:t>Russian</w:t>
      </w:r>
      <w:proofErr w:type="spellEnd"/>
      <w:r w:rsidRPr="00AF0D45">
        <w:rPr>
          <w:lang w:val="de-DE"/>
        </w:rPr>
        <w:t xml:space="preserve"> Maritime Register </w:t>
      </w:r>
      <w:proofErr w:type="spellStart"/>
      <w:r w:rsidRPr="00AF0D45">
        <w:rPr>
          <w:lang w:val="de-DE"/>
        </w:rPr>
        <w:t>of</w:t>
      </w:r>
      <w:proofErr w:type="spellEnd"/>
      <w:r w:rsidRPr="00AF0D45">
        <w:rPr>
          <w:lang w:val="de-DE"/>
        </w:rPr>
        <w:t xml:space="preserve"> Shipping)</w:t>
      </w:r>
    </w:p>
    <w:p w14:paraId="44FB8DF2" w14:textId="4389307D" w:rsidR="009753E1" w:rsidRPr="00AF0D45" w:rsidRDefault="009753E1" w:rsidP="00817513">
      <w:pPr>
        <w:pStyle w:val="SingleTxtG"/>
        <w:keepNext/>
        <w:keepLines/>
        <w:spacing w:line="240" w:lineRule="auto"/>
        <w:rPr>
          <w:lang w:val="de-DE"/>
        </w:rPr>
      </w:pPr>
      <w:r w:rsidRPr="00AF0D45">
        <w:rPr>
          <w:lang w:val="de-DE"/>
        </w:rPr>
        <w:t>26.</w:t>
      </w:r>
      <w:r w:rsidRPr="00AF0D45">
        <w:rPr>
          <w:lang w:val="de-DE"/>
        </w:rPr>
        <w:tab/>
      </w:r>
      <w:r w:rsidR="00970382" w:rsidRPr="00AF0D45">
        <w:rPr>
          <w:lang w:val="de-DE"/>
        </w:rPr>
        <w:t>In Anbetracht der Tatsache, dass sich einige der im informellen Dokument INF.2 aufgeführten Akkreditierungsstandards, Akkreditierungsstellen und Geschäftsbereiche auf den Seeverkehr beziehen, stellten einige Delegationen ihre Eignung und Relevanz für ADN-bezogene Belange in Frage.</w:t>
      </w:r>
      <w:r w:rsidRPr="00AF0D45">
        <w:rPr>
          <w:lang w:val="de-DE"/>
        </w:rPr>
        <w:t xml:space="preserve"> </w:t>
      </w:r>
      <w:r w:rsidR="00970382" w:rsidRPr="00AF0D45">
        <w:rPr>
          <w:lang w:val="de-DE"/>
        </w:rPr>
        <w:t xml:space="preserve">Andere stellten fest, dass es verschiedene Ausgaben der ISO 9001 (ISO 9001:2008 und ISO 9001:2015) gibt, auf die in den vom </w:t>
      </w:r>
      <w:proofErr w:type="spellStart"/>
      <w:r w:rsidR="00970382" w:rsidRPr="00AF0D45">
        <w:rPr>
          <w:lang w:val="de-DE"/>
        </w:rPr>
        <w:t>Russian</w:t>
      </w:r>
      <w:proofErr w:type="spellEnd"/>
      <w:r w:rsidR="00970382" w:rsidRPr="00AF0D45">
        <w:rPr>
          <w:lang w:val="de-DE"/>
        </w:rPr>
        <w:t xml:space="preserve"> Maritime Register </w:t>
      </w:r>
      <w:proofErr w:type="spellStart"/>
      <w:r w:rsidR="00970382" w:rsidRPr="00AF0D45">
        <w:rPr>
          <w:lang w:val="de-DE"/>
        </w:rPr>
        <w:t>of</w:t>
      </w:r>
      <w:proofErr w:type="spellEnd"/>
      <w:r w:rsidR="00970382" w:rsidRPr="00AF0D45">
        <w:rPr>
          <w:lang w:val="de-DE"/>
        </w:rPr>
        <w:t xml:space="preserve"> Shipping vorgelegten Dokumenten Bezug genommen wird.</w:t>
      </w:r>
      <w:r w:rsidRPr="00AF0D45">
        <w:rPr>
          <w:lang w:val="de-DE"/>
        </w:rPr>
        <w:t xml:space="preserve"> </w:t>
      </w:r>
      <w:r w:rsidR="00970382" w:rsidRPr="00AF0D45">
        <w:rPr>
          <w:lang w:val="de-DE"/>
        </w:rPr>
        <w:t xml:space="preserve">Der Sicherheitsausschuss wurde darüber informiert, dass die Erneuerung der </w:t>
      </w:r>
      <w:r w:rsidR="004826DC" w:rsidRPr="00AF0D45">
        <w:rPr>
          <w:lang w:val="de-DE"/>
        </w:rPr>
        <w:t>Z</w:t>
      </w:r>
      <w:r w:rsidR="005D3C11" w:rsidRPr="00AF0D45">
        <w:rPr>
          <w:lang w:val="de-DE"/>
        </w:rPr>
        <w:t>ertifikate</w:t>
      </w:r>
      <w:r w:rsidR="00970382" w:rsidRPr="00AF0D45">
        <w:rPr>
          <w:lang w:val="de-DE"/>
        </w:rPr>
        <w:t xml:space="preserve"> noch nicht abgeschlossen </w:t>
      </w:r>
      <w:r w:rsidR="00347E8E" w:rsidRPr="00AF0D45">
        <w:rPr>
          <w:lang w:val="de-DE"/>
        </w:rPr>
        <w:t>sei</w:t>
      </w:r>
      <w:r w:rsidR="00970382" w:rsidRPr="00AF0D45">
        <w:rPr>
          <w:lang w:val="de-DE"/>
        </w:rPr>
        <w:t xml:space="preserve">, und </w:t>
      </w:r>
      <w:r w:rsidR="00347E8E" w:rsidRPr="00AF0D45">
        <w:rPr>
          <w:lang w:val="de-DE"/>
        </w:rPr>
        <w:t xml:space="preserve">bat, </w:t>
      </w:r>
      <w:r w:rsidR="00970382" w:rsidRPr="00AF0D45">
        <w:rPr>
          <w:lang w:val="de-DE"/>
        </w:rPr>
        <w:t>in dieser Angelegenheit</w:t>
      </w:r>
      <w:r w:rsidR="00347E8E" w:rsidRPr="00AF0D45">
        <w:rPr>
          <w:lang w:val="de-DE"/>
        </w:rPr>
        <w:t xml:space="preserve"> auf dem Laufenden gehalten zu werden</w:t>
      </w:r>
      <w:r w:rsidR="00970382" w:rsidRPr="00AF0D45">
        <w:rPr>
          <w:lang w:val="de-DE"/>
        </w:rPr>
        <w:t>.</w:t>
      </w:r>
    </w:p>
    <w:p w14:paraId="01815329" w14:textId="16B590A4" w:rsidR="009753E1" w:rsidRPr="00AF0D45" w:rsidRDefault="009753E1" w:rsidP="00817513">
      <w:pPr>
        <w:pStyle w:val="SingleTxtG"/>
        <w:spacing w:line="240" w:lineRule="auto"/>
        <w:rPr>
          <w:lang w:val="de-DE"/>
        </w:rPr>
      </w:pPr>
      <w:bookmarkStart w:id="13" w:name="_Hlk523329898"/>
      <w:r w:rsidRPr="00AF0D45">
        <w:rPr>
          <w:lang w:val="de-DE"/>
        </w:rPr>
        <w:t>27.</w:t>
      </w:r>
      <w:r w:rsidRPr="00AF0D45">
        <w:rPr>
          <w:lang w:val="de-DE"/>
        </w:rPr>
        <w:tab/>
      </w:r>
      <w:r w:rsidR="004826DC" w:rsidRPr="00AF0D45">
        <w:rPr>
          <w:lang w:val="de-DE"/>
        </w:rPr>
        <w:t xml:space="preserve">Nach der Aussprache </w:t>
      </w:r>
      <w:r w:rsidR="00DD3679" w:rsidRPr="00AF0D45">
        <w:rPr>
          <w:lang w:val="de-DE"/>
        </w:rPr>
        <w:t>kam</w:t>
      </w:r>
      <w:r w:rsidR="004826DC" w:rsidRPr="00AF0D45">
        <w:rPr>
          <w:lang w:val="de-DE"/>
        </w:rPr>
        <w:t xml:space="preserve"> der Sicherheitsausschuss </w:t>
      </w:r>
      <w:r w:rsidR="00DD3679" w:rsidRPr="00AF0D45">
        <w:rPr>
          <w:lang w:val="de-DE"/>
        </w:rPr>
        <w:t>zu dem Schluss</w:t>
      </w:r>
      <w:r w:rsidR="004826DC" w:rsidRPr="00AF0D45">
        <w:rPr>
          <w:lang w:val="de-DE"/>
        </w:rPr>
        <w:t xml:space="preserve">, dass über die Einhaltung der ISO/IEC 17020:2012 zusätzliche Informationen erforderlich sind, insbesondere in Bezug auf die Anerkennung der </w:t>
      </w:r>
      <w:r w:rsidR="00DD3679" w:rsidRPr="00AF0D45">
        <w:rPr>
          <w:lang w:val="de-DE"/>
        </w:rPr>
        <w:t xml:space="preserve">zertifizierenden </w:t>
      </w:r>
      <w:r w:rsidR="004826DC" w:rsidRPr="00AF0D45">
        <w:rPr>
          <w:lang w:val="de-DE"/>
        </w:rPr>
        <w:t>unabhängigen Prüfer durch eine zuständige nationale Behörde.</w:t>
      </w:r>
      <w:r w:rsidRPr="00AF0D45">
        <w:rPr>
          <w:lang w:val="de-DE"/>
        </w:rPr>
        <w:t xml:space="preserve"> </w:t>
      </w:r>
      <w:r w:rsidR="00DD3679" w:rsidRPr="00AF0D45">
        <w:rPr>
          <w:lang w:val="de-DE"/>
        </w:rPr>
        <w:t xml:space="preserve">Gleichwohl wurde festgestellt, dass diese Anforderung unter Berücksichtigung der Erläuterungen in Absatz 4 des Dokuments ECE/TRANS/WP.15/AC.2/2018/27 und des Unterschieds zwischen der </w:t>
      </w:r>
      <w:r w:rsidR="003111F2" w:rsidRPr="00AF0D45">
        <w:rPr>
          <w:lang w:val="de-DE"/>
        </w:rPr>
        <w:t>Zertifizierung</w:t>
      </w:r>
      <w:r w:rsidR="00DD3679" w:rsidRPr="00AF0D45">
        <w:rPr>
          <w:lang w:val="de-DE"/>
        </w:rPr>
        <w:t xml:space="preserve"> technischer Anforderungen und der </w:t>
      </w:r>
      <w:r w:rsidR="000144EE" w:rsidRPr="00AF0D45">
        <w:rPr>
          <w:lang w:val="de-DE"/>
        </w:rPr>
        <w:t>fachlichen</w:t>
      </w:r>
      <w:r w:rsidR="00DD3679" w:rsidRPr="00AF0D45">
        <w:rPr>
          <w:lang w:val="de-DE"/>
        </w:rPr>
        <w:t xml:space="preserve"> Kompetenz des Personals zu </w:t>
      </w:r>
      <w:r w:rsidR="00E47990" w:rsidRPr="00AF0D45">
        <w:rPr>
          <w:lang w:val="de-DE"/>
        </w:rPr>
        <w:t>prüfen</w:t>
      </w:r>
      <w:r w:rsidR="00DD3679" w:rsidRPr="00AF0D45">
        <w:rPr>
          <w:lang w:val="de-DE"/>
        </w:rPr>
        <w:t xml:space="preserve"> sein könnte.</w:t>
      </w:r>
      <w:r w:rsidRPr="00AF0D45">
        <w:rPr>
          <w:lang w:val="de-DE"/>
        </w:rPr>
        <w:t xml:space="preserve"> </w:t>
      </w:r>
      <w:r w:rsidR="000144EE" w:rsidRPr="00AF0D45">
        <w:rPr>
          <w:lang w:val="de-DE"/>
        </w:rPr>
        <w:t>Der Sicherheitsausschuss ersuchte die Russische Föderation, mit anderen Mitgliedern des Ausschusses einen Meinungsaustausch zu führen und sich von ihnen beraten zu lassen.</w:t>
      </w:r>
    </w:p>
    <w:bookmarkEnd w:id="13"/>
    <w:p w14:paraId="596001FE" w14:textId="3C443C71" w:rsidR="009753E1" w:rsidRPr="00AF0D45" w:rsidRDefault="009753E1" w:rsidP="00817513">
      <w:pPr>
        <w:pStyle w:val="H23G"/>
        <w:spacing w:line="240" w:lineRule="auto"/>
        <w:rPr>
          <w:lang w:val="de-DE"/>
        </w:rPr>
      </w:pPr>
      <w:r w:rsidRPr="00AF0D45">
        <w:rPr>
          <w:lang w:val="de-DE"/>
        </w:rPr>
        <w:tab/>
        <w:t>2.</w:t>
      </w:r>
      <w:r w:rsidRPr="00AF0D45">
        <w:rPr>
          <w:lang w:val="de-DE"/>
        </w:rPr>
        <w:tab/>
      </w:r>
      <w:r w:rsidR="000144EE" w:rsidRPr="00AF0D45">
        <w:rPr>
          <w:lang w:val="de-DE"/>
        </w:rPr>
        <w:t xml:space="preserve">Liste der ADN-Verweise in den Klassenvorschriften des </w:t>
      </w:r>
      <w:proofErr w:type="spellStart"/>
      <w:r w:rsidR="000144EE" w:rsidRPr="00AF0D45">
        <w:rPr>
          <w:lang w:val="de-DE"/>
        </w:rPr>
        <w:t>Russian</w:t>
      </w:r>
      <w:proofErr w:type="spellEnd"/>
      <w:r w:rsidR="000144EE" w:rsidRPr="00AF0D45">
        <w:rPr>
          <w:lang w:val="de-DE"/>
        </w:rPr>
        <w:t xml:space="preserve"> Maritime Register </w:t>
      </w:r>
      <w:proofErr w:type="spellStart"/>
      <w:r w:rsidR="000144EE" w:rsidRPr="00AF0D45">
        <w:rPr>
          <w:lang w:val="de-DE"/>
        </w:rPr>
        <w:t>of</w:t>
      </w:r>
      <w:proofErr w:type="spellEnd"/>
      <w:r w:rsidR="000144EE" w:rsidRPr="00AF0D45">
        <w:rPr>
          <w:lang w:val="de-DE"/>
        </w:rPr>
        <w:t xml:space="preserve"> Shipping</w:t>
      </w:r>
    </w:p>
    <w:p w14:paraId="53394CA8" w14:textId="30B206BC" w:rsidR="009753E1" w:rsidRPr="00AF0D45" w:rsidRDefault="000144EE" w:rsidP="00AF0D45">
      <w:pPr>
        <w:pStyle w:val="SingleTxtG"/>
        <w:ind w:left="3969" w:hanging="2835"/>
        <w:rPr>
          <w:lang w:val="de-DE"/>
        </w:rPr>
      </w:pPr>
      <w:r w:rsidRPr="00AF0D45">
        <w:rPr>
          <w:i/>
          <w:iCs/>
          <w:lang w:val="de-DE"/>
        </w:rPr>
        <w:t>Dokument:</w:t>
      </w:r>
      <w:r w:rsidR="009753E1" w:rsidRPr="00AF0D45">
        <w:rPr>
          <w:lang w:val="de-DE"/>
        </w:rPr>
        <w:t xml:space="preserve"> </w:t>
      </w:r>
      <w:r w:rsidR="009753E1" w:rsidRPr="00AF0D45">
        <w:rPr>
          <w:lang w:val="de-DE"/>
        </w:rPr>
        <w:tab/>
      </w:r>
      <w:r w:rsidR="009753E1" w:rsidRPr="00AF0D45">
        <w:rPr>
          <w:lang w:val="de-DE"/>
        </w:rPr>
        <w:tab/>
        <w:t>ECE/TRANS/WP.15/AC.2/2018/36 (</w:t>
      </w:r>
      <w:proofErr w:type="spellStart"/>
      <w:r w:rsidR="009753E1" w:rsidRPr="00AF0D45">
        <w:rPr>
          <w:lang w:val="de-DE"/>
        </w:rPr>
        <w:t>Russian</w:t>
      </w:r>
      <w:proofErr w:type="spellEnd"/>
      <w:r w:rsidR="009753E1" w:rsidRPr="00AF0D45">
        <w:rPr>
          <w:lang w:val="de-DE"/>
        </w:rPr>
        <w:t xml:space="preserve"> Maritime Register </w:t>
      </w:r>
      <w:proofErr w:type="spellStart"/>
      <w:r w:rsidR="009753E1" w:rsidRPr="00AF0D45">
        <w:rPr>
          <w:lang w:val="de-DE"/>
        </w:rPr>
        <w:t>of</w:t>
      </w:r>
      <w:proofErr w:type="spellEnd"/>
      <w:r w:rsidR="009753E1" w:rsidRPr="00AF0D45">
        <w:rPr>
          <w:lang w:val="de-DE"/>
        </w:rPr>
        <w:t xml:space="preserve"> Shipping)</w:t>
      </w:r>
    </w:p>
    <w:p w14:paraId="583EB71A" w14:textId="6B757083" w:rsidR="009753E1" w:rsidRPr="00AF0D45" w:rsidRDefault="000144EE" w:rsidP="000144EE">
      <w:pPr>
        <w:pStyle w:val="SingleTxtG"/>
        <w:rPr>
          <w:lang w:val="de-DE"/>
        </w:rPr>
      </w:pPr>
      <w:r w:rsidRPr="00AF0D45">
        <w:rPr>
          <w:i/>
          <w:iCs/>
          <w:lang w:val="de-DE"/>
        </w:rPr>
        <w:t>Informelles Dokument:</w:t>
      </w:r>
      <w:r w:rsidR="009753E1" w:rsidRPr="00AF0D45">
        <w:rPr>
          <w:i/>
          <w:iCs/>
          <w:lang w:val="de-DE"/>
        </w:rPr>
        <w:tab/>
      </w:r>
      <w:r w:rsidR="009753E1" w:rsidRPr="00AF0D45">
        <w:rPr>
          <w:lang w:val="de-DE"/>
        </w:rPr>
        <w:t>INF.3 (</w:t>
      </w:r>
      <w:proofErr w:type="spellStart"/>
      <w:r w:rsidR="009753E1" w:rsidRPr="00AF0D45">
        <w:rPr>
          <w:lang w:val="de-DE"/>
        </w:rPr>
        <w:t>Russian</w:t>
      </w:r>
      <w:proofErr w:type="spellEnd"/>
      <w:r w:rsidR="009753E1" w:rsidRPr="00AF0D45">
        <w:rPr>
          <w:lang w:val="de-DE"/>
        </w:rPr>
        <w:t xml:space="preserve"> Maritime Register </w:t>
      </w:r>
      <w:proofErr w:type="spellStart"/>
      <w:r w:rsidR="009753E1" w:rsidRPr="00AF0D45">
        <w:rPr>
          <w:lang w:val="de-DE"/>
        </w:rPr>
        <w:t>of</w:t>
      </w:r>
      <w:proofErr w:type="spellEnd"/>
      <w:r w:rsidR="009753E1" w:rsidRPr="00AF0D45">
        <w:rPr>
          <w:lang w:val="de-DE"/>
        </w:rPr>
        <w:t xml:space="preserve"> Shipping)</w:t>
      </w:r>
    </w:p>
    <w:p w14:paraId="790333C3" w14:textId="1C0F50F2" w:rsidR="009753E1" w:rsidRPr="00AF0D45" w:rsidRDefault="009753E1" w:rsidP="003E4D24">
      <w:pPr>
        <w:pStyle w:val="SingleTxtG"/>
        <w:rPr>
          <w:lang w:val="de-DE"/>
        </w:rPr>
      </w:pPr>
      <w:r w:rsidRPr="00AF0D45">
        <w:rPr>
          <w:lang w:val="de-DE"/>
        </w:rPr>
        <w:t>28.</w:t>
      </w:r>
      <w:r w:rsidRPr="00AF0D45">
        <w:rPr>
          <w:lang w:val="de-DE"/>
        </w:rPr>
        <w:tab/>
      </w:r>
      <w:r w:rsidR="000144EE" w:rsidRPr="00AF0D45">
        <w:rPr>
          <w:lang w:val="de-DE"/>
        </w:rPr>
        <w:t xml:space="preserve">Der Sicherheitsausschuss nahm die Informationen </w:t>
      </w:r>
      <w:r w:rsidR="00BA4891" w:rsidRPr="00AF0D45">
        <w:rPr>
          <w:lang w:val="de-DE"/>
        </w:rPr>
        <w:t>bezüglich der Übereinstimmung</w:t>
      </w:r>
      <w:r w:rsidR="000144EE" w:rsidRPr="00AF0D45">
        <w:rPr>
          <w:lang w:val="de-DE"/>
        </w:rPr>
        <w:t xml:space="preserve"> </w:t>
      </w:r>
      <w:r w:rsidR="00BA4891" w:rsidRPr="00AF0D45">
        <w:rPr>
          <w:lang w:val="de-DE"/>
        </w:rPr>
        <w:t>der</w:t>
      </w:r>
      <w:r w:rsidR="000144EE" w:rsidRPr="00AF0D45">
        <w:rPr>
          <w:lang w:val="de-DE"/>
        </w:rPr>
        <w:t xml:space="preserve"> Vorschriften der dem ADN beigefügten Verordnung mit den Klassen</w:t>
      </w:r>
      <w:r w:rsidR="00BB463E" w:rsidRPr="00AF0D45">
        <w:rPr>
          <w:lang w:val="de-DE"/>
        </w:rPr>
        <w:t>vo</w:t>
      </w:r>
      <w:r w:rsidR="000144EE" w:rsidRPr="00AF0D45">
        <w:rPr>
          <w:lang w:val="de-DE"/>
        </w:rPr>
        <w:t>r</w:t>
      </w:r>
      <w:r w:rsidR="00BB463E" w:rsidRPr="00AF0D45">
        <w:rPr>
          <w:lang w:val="de-DE"/>
        </w:rPr>
        <w:t>schrift</w:t>
      </w:r>
      <w:r w:rsidR="000144EE" w:rsidRPr="00AF0D45">
        <w:rPr>
          <w:lang w:val="de-DE"/>
        </w:rPr>
        <w:t xml:space="preserve">en des </w:t>
      </w:r>
      <w:proofErr w:type="spellStart"/>
      <w:r w:rsidR="000144EE" w:rsidRPr="00AF0D45">
        <w:rPr>
          <w:lang w:val="de-DE"/>
        </w:rPr>
        <w:t>Russian</w:t>
      </w:r>
      <w:proofErr w:type="spellEnd"/>
      <w:r w:rsidR="000144EE" w:rsidRPr="00AF0D45">
        <w:rPr>
          <w:lang w:val="de-DE"/>
        </w:rPr>
        <w:t xml:space="preserve"> Maritime Register </w:t>
      </w:r>
      <w:proofErr w:type="spellStart"/>
      <w:r w:rsidR="000144EE" w:rsidRPr="00AF0D45">
        <w:rPr>
          <w:lang w:val="de-DE"/>
        </w:rPr>
        <w:t>of</w:t>
      </w:r>
      <w:proofErr w:type="spellEnd"/>
      <w:r w:rsidR="000144EE" w:rsidRPr="00AF0D45">
        <w:rPr>
          <w:lang w:val="de-DE"/>
        </w:rPr>
        <w:t xml:space="preserve"> Shipping </w:t>
      </w:r>
      <w:r w:rsidR="00BA4891" w:rsidRPr="00AF0D45">
        <w:rPr>
          <w:lang w:val="de-DE"/>
        </w:rPr>
        <w:t>zur Kenntnis</w:t>
      </w:r>
      <w:r w:rsidR="000144EE" w:rsidRPr="00AF0D45">
        <w:rPr>
          <w:lang w:val="de-DE"/>
        </w:rPr>
        <w:t>.</w:t>
      </w:r>
    </w:p>
    <w:p w14:paraId="0AE5BF72" w14:textId="22E2196D" w:rsidR="009753E1" w:rsidRPr="00AF0D45" w:rsidRDefault="009753E1" w:rsidP="003E4D24">
      <w:pPr>
        <w:pStyle w:val="H23G"/>
        <w:rPr>
          <w:lang w:val="de-DE"/>
        </w:rPr>
      </w:pPr>
      <w:r w:rsidRPr="00AF0D45">
        <w:rPr>
          <w:lang w:val="de-DE"/>
        </w:rPr>
        <w:tab/>
        <w:t>3.</w:t>
      </w:r>
      <w:r w:rsidRPr="00AF0D45">
        <w:rPr>
          <w:lang w:val="de-DE"/>
        </w:rPr>
        <w:tab/>
      </w:r>
      <w:r w:rsidR="00B02552" w:rsidRPr="00AF0D45">
        <w:rPr>
          <w:lang w:val="de-DE"/>
        </w:rPr>
        <w:t>Bericht über die fünfzehnte Sitzung der informellen Arbeitsgruppe „Empfohlene ADN-Klassifikationsgesellschaften“</w:t>
      </w:r>
    </w:p>
    <w:p w14:paraId="2AEE38C7" w14:textId="7F15459B" w:rsidR="009753E1" w:rsidRPr="00AF0D45" w:rsidRDefault="00B02552" w:rsidP="00AF0D45">
      <w:pPr>
        <w:pStyle w:val="SingleTxtG"/>
        <w:ind w:left="3969" w:hanging="2835"/>
        <w:rPr>
          <w:lang w:val="de-DE"/>
        </w:rPr>
      </w:pPr>
      <w:r w:rsidRPr="00AF0D45">
        <w:rPr>
          <w:i/>
          <w:iCs/>
          <w:lang w:val="de-DE"/>
        </w:rPr>
        <w:t>Informelles Dokument:</w:t>
      </w:r>
      <w:r w:rsidR="009753E1" w:rsidRPr="00AF0D45">
        <w:rPr>
          <w:i/>
          <w:iCs/>
          <w:lang w:val="de-DE"/>
        </w:rPr>
        <w:tab/>
      </w:r>
      <w:r w:rsidRPr="00AF0D45">
        <w:rPr>
          <w:lang w:val="de-DE"/>
        </w:rPr>
        <w:t>INF.7 (Vorsitzender der informellen Arbeitsgruppe „Empfohlene ADN-Klassifikationsgesellschaften“)</w:t>
      </w:r>
    </w:p>
    <w:p w14:paraId="10050542" w14:textId="56C5A724" w:rsidR="009753E1" w:rsidRPr="00AF0D45" w:rsidRDefault="009753E1" w:rsidP="00F05B62">
      <w:pPr>
        <w:pStyle w:val="SingleTxtG"/>
        <w:rPr>
          <w:lang w:val="de-DE"/>
        </w:rPr>
      </w:pPr>
      <w:r w:rsidRPr="00AF0D45">
        <w:rPr>
          <w:lang w:val="de-DE"/>
        </w:rPr>
        <w:t>29.</w:t>
      </w:r>
      <w:r w:rsidRPr="00AF0D45">
        <w:rPr>
          <w:lang w:val="de-DE"/>
        </w:rPr>
        <w:tab/>
      </w:r>
      <w:r w:rsidR="00856093" w:rsidRPr="00AF0D45">
        <w:rPr>
          <w:lang w:val="de-DE"/>
        </w:rPr>
        <w:t xml:space="preserve">In Bezug auf die Verwendung von </w:t>
      </w:r>
      <w:r w:rsidR="002F0501" w:rsidRPr="00AF0D45">
        <w:rPr>
          <w:lang w:val="de-DE"/>
        </w:rPr>
        <w:t>Flüssige</w:t>
      </w:r>
      <w:r w:rsidR="00856093" w:rsidRPr="00AF0D45">
        <w:rPr>
          <w:lang w:val="de-DE"/>
        </w:rPr>
        <w:t>rdgas (LNG), batteriebetriebenen Schiffen und autonomer Navigation nahm der Sicherheitsausschuss zur Kenntnis, dass die Arbeiten in der informellen Arbeitsgruppe fortgesetzt werden und in der nächsten Sitzung ein Fortschrittsbericht vorgelegt werden soll.</w:t>
      </w:r>
    </w:p>
    <w:p w14:paraId="2BA77C16" w14:textId="696AFBD0" w:rsidR="009753E1" w:rsidRPr="00AF0D45" w:rsidRDefault="009753E1" w:rsidP="00817513">
      <w:pPr>
        <w:pStyle w:val="SingleTxtG"/>
        <w:spacing w:line="240" w:lineRule="auto"/>
        <w:rPr>
          <w:lang w:val="de-DE"/>
        </w:rPr>
      </w:pPr>
      <w:r w:rsidRPr="00AF0D45">
        <w:rPr>
          <w:lang w:val="de-DE"/>
        </w:rPr>
        <w:t>30.</w:t>
      </w:r>
      <w:r w:rsidRPr="00AF0D45">
        <w:rPr>
          <w:lang w:val="de-DE"/>
        </w:rPr>
        <w:tab/>
      </w:r>
      <w:r w:rsidR="00DB1A04" w:rsidRPr="00AF0D45">
        <w:rPr>
          <w:lang w:val="de-DE"/>
        </w:rPr>
        <w:t xml:space="preserve">Der Sicherheitsausschuss stellte fest, dass im informellen Dokument INF.7 in Bezug auf den Aktionspunkt 2 a) kein weiterer Handlungsbedarf </w:t>
      </w:r>
      <w:r w:rsidR="00761EB3" w:rsidRPr="00AF0D45">
        <w:rPr>
          <w:lang w:val="de-DE"/>
        </w:rPr>
        <w:t>gemeldet</w:t>
      </w:r>
      <w:r w:rsidR="00DB1A04" w:rsidRPr="00AF0D45">
        <w:rPr>
          <w:lang w:val="de-DE"/>
        </w:rPr>
        <w:t xml:space="preserve"> wurde, und erinnerte an </w:t>
      </w:r>
      <w:r w:rsidR="00761EB3" w:rsidRPr="00AF0D45">
        <w:rPr>
          <w:lang w:val="de-DE"/>
        </w:rPr>
        <w:t>das</w:t>
      </w:r>
      <w:r w:rsidR="00DB1A04" w:rsidRPr="00AF0D45">
        <w:rPr>
          <w:lang w:val="de-DE"/>
        </w:rPr>
        <w:t xml:space="preserve"> Ergebnis der Beratungen zu diesem Thema in seiner 28. Sitzung im Januar 2016, </w:t>
      </w:r>
      <w:r w:rsidR="00761EB3" w:rsidRPr="00AF0D45">
        <w:rPr>
          <w:lang w:val="de-DE"/>
        </w:rPr>
        <w:t>das</w:t>
      </w:r>
      <w:r w:rsidR="00DB1A04" w:rsidRPr="00AF0D45">
        <w:rPr>
          <w:lang w:val="de-DE"/>
        </w:rPr>
        <w:t xml:space="preserve"> im Protokoll dieser Sitzung </w:t>
      </w:r>
      <w:r w:rsidR="00F05B62" w:rsidRPr="00AF0D45">
        <w:rPr>
          <w:lang w:val="de-DE"/>
        </w:rPr>
        <w:t>f</w:t>
      </w:r>
      <w:r w:rsidR="00DB1A04" w:rsidRPr="00AF0D45">
        <w:rPr>
          <w:lang w:val="de-DE"/>
        </w:rPr>
        <w:t>e</w:t>
      </w:r>
      <w:r w:rsidR="00F05B62" w:rsidRPr="00AF0D45">
        <w:rPr>
          <w:lang w:val="de-DE"/>
        </w:rPr>
        <w:t>stge</w:t>
      </w:r>
      <w:r w:rsidR="00DB1A04" w:rsidRPr="00AF0D45">
        <w:rPr>
          <w:lang w:val="de-DE"/>
        </w:rPr>
        <w:t xml:space="preserve">halten </w:t>
      </w:r>
      <w:r w:rsidR="00761EB3" w:rsidRPr="00AF0D45">
        <w:rPr>
          <w:lang w:val="de-DE"/>
        </w:rPr>
        <w:t>ist</w:t>
      </w:r>
      <w:r w:rsidR="00DB1A04" w:rsidRPr="00AF0D45">
        <w:rPr>
          <w:lang w:val="de-DE"/>
        </w:rPr>
        <w:t xml:space="preserve"> (siehe ECE/TRANS/WP.15/AC.2/58, Absatz 15): „</w:t>
      </w:r>
      <w:r w:rsidR="00761EB3" w:rsidRPr="00AF0D45">
        <w:rPr>
          <w:lang w:val="de-DE"/>
        </w:rPr>
        <w:t>Einige Delegationen befürworteten die Idee, den Wortlaut des Unterabschnitts 1.15.3.8 zu überdenken. Der Sicherheitsausschuss nahm zur Kenntnis, dass die Empfohlenen ADN-Klassifikationsgesellschaften in der nächsten Sitzung einen entsprechenden Vorschlag unterbreiten werden.</w:t>
      </w:r>
      <w:r w:rsidR="00DB1A04" w:rsidRPr="00AF0D45">
        <w:rPr>
          <w:lang w:val="de-DE"/>
        </w:rPr>
        <w:t>“.</w:t>
      </w:r>
      <w:r w:rsidRPr="00AF0D45">
        <w:rPr>
          <w:lang w:val="de-DE"/>
        </w:rPr>
        <w:t xml:space="preserve"> </w:t>
      </w:r>
      <w:r w:rsidR="00761EB3" w:rsidRPr="00AF0D45">
        <w:rPr>
          <w:lang w:val="de-DE"/>
        </w:rPr>
        <w:t xml:space="preserve">Der Sicherheitsausschuss ersuchte die </w:t>
      </w:r>
      <w:r w:rsidR="00171DB7" w:rsidRPr="00AF0D45">
        <w:rPr>
          <w:lang w:val="de-DE"/>
        </w:rPr>
        <w:t>E</w:t>
      </w:r>
      <w:r w:rsidR="00761EB3" w:rsidRPr="00AF0D45">
        <w:rPr>
          <w:lang w:val="de-DE"/>
        </w:rPr>
        <w:t>mpfohlenen ADN-Klassifikationsgesellschaften, einen Vorschlag zur Klarstellung des Wortlauts des Absatzes 1.15.3.8 vorzulegen oder andernfalls zu begründen, warum eine solche Klarstellung nicht mehr erforderlich ist.</w:t>
      </w:r>
    </w:p>
    <w:p w14:paraId="535019EE" w14:textId="35A2B069" w:rsidR="009753E1" w:rsidRPr="00AF0D45" w:rsidRDefault="009753E1" w:rsidP="00F05B62">
      <w:pPr>
        <w:pStyle w:val="SingleTxtG"/>
        <w:rPr>
          <w:lang w:val="de-DE"/>
        </w:rPr>
      </w:pPr>
      <w:r w:rsidRPr="00AF0D45">
        <w:rPr>
          <w:lang w:val="de-DE"/>
        </w:rPr>
        <w:lastRenderedPageBreak/>
        <w:t>31.</w:t>
      </w:r>
      <w:r w:rsidRPr="00AF0D45">
        <w:rPr>
          <w:lang w:val="de-DE"/>
        </w:rPr>
        <w:tab/>
      </w:r>
      <w:r w:rsidR="00171DB7" w:rsidRPr="00AF0D45">
        <w:rPr>
          <w:lang w:val="de-DE"/>
        </w:rPr>
        <w:t xml:space="preserve">Zu </w:t>
      </w:r>
      <w:r w:rsidR="00287015" w:rsidRPr="00AF0D45">
        <w:rPr>
          <w:lang w:val="de-DE"/>
        </w:rPr>
        <w:t xml:space="preserve">Punkt </w:t>
      </w:r>
      <w:r w:rsidR="00171DB7" w:rsidRPr="00AF0D45">
        <w:rPr>
          <w:lang w:val="de-DE"/>
        </w:rPr>
        <w:t>6 b) teilte der Vertreter Deutschlands dem Sicherheitsausschuss mit, dass die Arbeiten zur Klärung der durch das ADN bezeichneten zuständigen Behörde fortgesetzt würden und dem Sicherheitsausschuss im A</w:t>
      </w:r>
      <w:r w:rsidR="00053B95" w:rsidRPr="00AF0D45">
        <w:rPr>
          <w:lang w:val="de-DE"/>
        </w:rPr>
        <w:t>n</w:t>
      </w:r>
      <w:r w:rsidR="00171DB7" w:rsidRPr="00AF0D45">
        <w:rPr>
          <w:lang w:val="de-DE"/>
        </w:rPr>
        <w:t>schluss ein Vorschlag zur Prüfung vorgelegt werde.</w:t>
      </w:r>
      <w:r w:rsidRPr="00AF0D45">
        <w:rPr>
          <w:lang w:val="de-DE"/>
        </w:rPr>
        <w:t xml:space="preserve"> </w:t>
      </w:r>
    </w:p>
    <w:p w14:paraId="42FF934E" w14:textId="01341A58" w:rsidR="009753E1" w:rsidRPr="00AF0D45" w:rsidRDefault="009753E1" w:rsidP="00F05B62">
      <w:pPr>
        <w:pStyle w:val="SingleTxtG"/>
        <w:rPr>
          <w:lang w:val="de-DE"/>
        </w:rPr>
      </w:pPr>
      <w:r w:rsidRPr="00AF0D45">
        <w:rPr>
          <w:lang w:val="de-DE"/>
        </w:rPr>
        <w:t>32.</w:t>
      </w:r>
      <w:r w:rsidRPr="00AF0D45">
        <w:rPr>
          <w:lang w:val="de-DE"/>
        </w:rPr>
        <w:tab/>
      </w:r>
      <w:r w:rsidR="0062192B" w:rsidRPr="00AF0D45">
        <w:rPr>
          <w:lang w:val="de-DE"/>
        </w:rPr>
        <w:t>Schließlich stellte der Sicherheitsausschuss fest, dass keine der Empfohlenen ADN-Klassifikationsgesellschaften aus der Russischen Föderation an den letzten Sitzungen der informellen Arbeitsgruppe teilgenommen hat.</w:t>
      </w:r>
      <w:r w:rsidRPr="00AF0D45">
        <w:rPr>
          <w:lang w:val="de-DE"/>
        </w:rPr>
        <w:t xml:space="preserve"> </w:t>
      </w:r>
      <w:r w:rsidR="0062192B" w:rsidRPr="00AF0D45">
        <w:rPr>
          <w:lang w:val="de-DE"/>
        </w:rPr>
        <w:t>Unter Hinweis auf die Pflichten der empfohlenen Klassifikationsgesellschaften gemäß Abschnitt 1.15.4 und darauf, dass sie gemäß Unterabschnitt 1.15.4.2 „mindestens einmal jährlich in einer gemeinsamen Sitzung einen Erfahrungsaustausch [führen]“ müssen, forderte der Sicherheitsausschuss sie auf, dieser Pflicht nachzukommen.</w:t>
      </w:r>
      <w:r w:rsidRPr="00AF0D45">
        <w:rPr>
          <w:lang w:val="de-DE"/>
        </w:rPr>
        <w:t xml:space="preserve"> </w:t>
      </w:r>
    </w:p>
    <w:p w14:paraId="61C2FAFD" w14:textId="018E7FC2" w:rsidR="009753E1" w:rsidRPr="00AF0D45" w:rsidRDefault="009753E1" w:rsidP="00F05B62">
      <w:pPr>
        <w:pStyle w:val="SingleTxtG"/>
        <w:rPr>
          <w:lang w:val="de-DE"/>
        </w:rPr>
      </w:pPr>
      <w:r w:rsidRPr="00AF0D45">
        <w:rPr>
          <w:lang w:val="de-DE"/>
        </w:rPr>
        <w:t>33.</w:t>
      </w:r>
      <w:r w:rsidRPr="00AF0D45">
        <w:rPr>
          <w:lang w:val="de-DE"/>
        </w:rPr>
        <w:tab/>
      </w:r>
      <w:r w:rsidR="00A15051" w:rsidRPr="00AF0D45">
        <w:rPr>
          <w:lang w:val="de-DE"/>
        </w:rPr>
        <w:t>Der Vertreter Deutschlands wies darauf hin, dass die im informellen Dokument INF.10 (einunddreißigste Sitzung) unter Punkt 6 c) angekündigten Informationen von Bureau Veritas zu Stabilitätsfragen für Typ-N- und Typ-G-Tankschiffe noch nicht vorgelegt worden seien.</w:t>
      </w:r>
      <w:r w:rsidRPr="00AF0D45">
        <w:rPr>
          <w:lang w:val="de-DE"/>
        </w:rPr>
        <w:t xml:space="preserve"> </w:t>
      </w:r>
      <w:r w:rsidR="00A15051" w:rsidRPr="00AF0D45">
        <w:rPr>
          <w:lang w:val="de-DE"/>
        </w:rPr>
        <w:t>Die Empfohlenen ADN-Klassifikationsgesellschaften wurden gebeten, diese Informationen baldmöglichst zur Verfügung zu stellen.</w:t>
      </w:r>
      <w:r w:rsidRPr="00AF0D45">
        <w:rPr>
          <w:lang w:val="de-DE"/>
        </w:rPr>
        <w:t xml:space="preserve"> </w:t>
      </w:r>
    </w:p>
    <w:p w14:paraId="1023AC15" w14:textId="6E5D4930" w:rsidR="009753E1" w:rsidRPr="00AF0D45" w:rsidRDefault="009753E1" w:rsidP="00F05B62">
      <w:pPr>
        <w:pStyle w:val="H23G"/>
        <w:rPr>
          <w:lang w:val="de-DE"/>
        </w:rPr>
      </w:pPr>
      <w:r w:rsidRPr="00AF0D45">
        <w:rPr>
          <w:lang w:val="de-DE"/>
        </w:rPr>
        <w:tab/>
        <w:t>4.</w:t>
      </w:r>
      <w:r w:rsidRPr="00AF0D45">
        <w:rPr>
          <w:lang w:val="de-DE"/>
        </w:rPr>
        <w:tab/>
      </w:r>
      <w:r w:rsidR="00A15051" w:rsidRPr="00AF0D45">
        <w:rPr>
          <w:lang w:val="de-DE"/>
        </w:rPr>
        <w:t>Aktueller Stand der Zulassung von Ladungsrechnern</w:t>
      </w:r>
    </w:p>
    <w:p w14:paraId="438D51E2" w14:textId="3FD800D2" w:rsidR="009753E1" w:rsidRPr="00AF0D45" w:rsidRDefault="00A15051" w:rsidP="00AF0D45">
      <w:pPr>
        <w:pStyle w:val="SingleTxtG"/>
        <w:tabs>
          <w:tab w:val="left" w:pos="3969"/>
        </w:tabs>
        <w:rPr>
          <w:lang w:val="de-DE"/>
        </w:rPr>
      </w:pPr>
      <w:r w:rsidRPr="00AF0D45">
        <w:rPr>
          <w:i/>
          <w:iCs/>
          <w:lang w:val="de-DE"/>
        </w:rPr>
        <w:t>Informelles Dokument:</w:t>
      </w:r>
      <w:r w:rsidR="009753E1" w:rsidRPr="00AF0D45">
        <w:rPr>
          <w:i/>
          <w:iCs/>
          <w:lang w:val="de-DE"/>
        </w:rPr>
        <w:tab/>
      </w:r>
      <w:r w:rsidRPr="00AF0D45">
        <w:rPr>
          <w:lang w:val="de-DE"/>
        </w:rPr>
        <w:t>INF.8 (Empfohlene ADN-Klassifikationsgesellschaften)</w:t>
      </w:r>
    </w:p>
    <w:p w14:paraId="1F8B240B" w14:textId="686F8C26" w:rsidR="009753E1" w:rsidRPr="00AF0D45" w:rsidRDefault="009753E1" w:rsidP="00F05B62">
      <w:pPr>
        <w:pStyle w:val="SingleTxtG"/>
        <w:rPr>
          <w:lang w:val="de-DE"/>
        </w:rPr>
      </w:pPr>
      <w:r w:rsidRPr="00AF0D45">
        <w:rPr>
          <w:lang w:val="de-DE"/>
        </w:rPr>
        <w:t>34.</w:t>
      </w:r>
      <w:r w:rsidRPr="00AF0D45">
        <w:rPr>
          <w:lang w:val="de-DE"/>
        </w:rPr>
        <w:tab/>
      </w:r>
      <w:r w:rsidR="00F4130F" w:rsidRPr="00AF0D45">
        <w:rPr>
          <w:lang w:val="de-DE"/>
        </w:rPr>
        <w:t>Der Sicherheitsausschuss stellte mit Befriedigung fest, dass die Empfohlenen ADN-Klassifikationsgesellschaften davon ausgehen, dass alle Schiffe, für die ein zugelassenes Ladegerät erforderlich ist, bis zum Ende der Übergangsfrist für die Einhaltung der Vorschriften ordnungsgemäß ausgerüstet sein werden.</w:t>
      </w:r>
    </w:p>
    <w:p w14:paraId="37F284C6" w14:textId="7259992C" w:rsidR="009753E1" w:rsidRPr="00AF0D45" w:rsidRDefault="009753E1" w:rsidP="00F05B62">
      <w:pPr>
        <w:pStyle w:val="H23G"/>
        <w:rPr>
          <w:lang w:val="de-DE"/>
        </w:rPr>
      </w:pPr>
      <w:r w:rsidRPr="00AF0D45">
        <w:rPr>
          <w:lang w:val="de-DE"/>
        </w:rPr>
        <w:tab/>
        <w:t>5.</w:t>
      </w:r>
      <w:r w:rsidRPr="00AF0D45">
        <w:rPr>
          <w:lang w:val="de-DE"/>
        </w:rPr>
        <w:tab/>
      </w:r>
      <w:r w:rsidR="00F4130F" w:rsidRPr="00AF0D45">
        <w:rPr>
          <w:lang w:val="de-DE"/>
        </w:rPr>
        <w:t xml:space="preserve">Antrag Kroatiens auf Aufnahme des </w:t>
      </w:r>
      <w:proofErr w:type="spellStart"/>
      <w:r w:rsidR="00F4130F" w:rsidRPr="00AF0D45">
        <w:rPr>
          <w:lang w:val="de-DE"/>
        </w:rPr>
        <w:t>Croatian</w:t>
      </w:r>
      <w:proofErr w:type="spellEnd"/>
      <w:r w:rsidR="00F4130F" w:rsidRPr="00AF0D45">
        <w:rPr>
          <w:lang w:val="de-DE"/>
        </w:rPr>
        <w:t xml:space="preserve"> Register </w:t>
      </w:r>
      <w:proofErr w:type="spellStart"/>
      <w:r w:rsidR="00F4130F" w:rsidRPr="00AF0D45">
        <w:rPr>
          <w:lang w:val="de-DE"/>
        </w:rPr>
        <w:t>of</w:t>
      </w:r>
      <w:proofErr w:type="spellEnd"/>
      <w:r w:rsidR="00F4130F" w:rsidRPr="00AF0D45">
        <w:rPr>
          <w:lang w:val="de-DE"/>
        </w:rPr>
        <w:t xml:space="preserve"> Shipping </w:t>
      </w:r>
      <w:r w:rsidR="00F4130F" w:rsidRPr="00AF0D45">
        <w:rPr>
          <w:lang w:val="de-DE"/>
        </w:rPr>
        <w:br/>
        <w:t xml:space="preserve">in die Liste der </w:t>
      </w:r>
      <w:r w:rsidR="00AE50A1" w:rsidRPr="00AF0D45">
        <w:rPr>
          <w:lang w:val="de-DE"/>
        </w:rPr>
        <w:t>zur</w:t>
      </w:r>
      <w:r w:rsidR="00F4130F" w:rsidRPr="00AF0D45">
        <w:rPr>
          <w:lang w:val="de-DE"/>
        </w:rPr>
        <w:t xml:space="preserve"> Anerkennung empfohlenen Klassifikationsgesellschaften</w:t>
      </w:r>
      <w:r w:rsidRPr="00AF0D45">
        <w:rPr>
          <w:lang w:val="de-DE"/>
        </w:rPr>
        <w:t xml:space="preserve"> </w:t>
      </w:r>
    </w:p>
    <w:p w14:paraId="6DDC8468" w14:textId="3183F5CE" w:rsidR="009753E1" w:rsidRPr="00AF0D45" w:rsidRDefault="00F4130F" w:rsidP="00AF0D45">
      <w:pPr>
        <w:pStyle w:val="SingleTxtG"/>
        <w:tabs>
          <w:tab w:val="left" w:pos="3969"/>
        </w:tabs>
        <w:spacing w:line="240" w:lineRule="auto"/>
        <w:rPr>
          <w:lang w:val="de-DE"/>
        </w:rPr>
      </w:pPr>
      <w:r w:rsidRPr="00AF0D45">
        <w:rPr>
          <w:i/>
          <w:iCs/>
          <w:lang w:val="de-DE"/>
        </w:rPr>
        <w:t>Informelles Dokument:</w:t>
      </w:r>
      <w:r w:rsidR="009753E1" w:rsidRPr="00AF0D45">
        <w:rPr>
          <w:i/>
          <w:iCs/>
          <w:lang w:val="de-DE"/>
        </w:rPr>
        <w:tab/>
      </w:r>
      <w:r w:rsidRPr="00AF0D45">
        <w:rPr>
          <w:lang w:val="de-DE"/>
        </w:rPr>
        <w:t>INF.4 (Kroatien)</w:t>
      </w:r>
    </w:p>
    <w:p w14:paraId="3FD079E0" w14:textId="59BAB9C8" w:rsidR="009753E1" w:rsidRPr="00AF0D45" w:rsidRDefault="009753E1" w:rsidP="00817513">
      <w:pPr>
        <w:pStyle w:val="SingleTxtG"/>
        <w:spacing w:line="240" w:lineRule="auto"/>
        <w:rPr>
          <w:lang w:val="de-DE"/>
        </w:rPr>
      </w:pPr>
      <w:r w:rsidRPr="00AF0D45">
        <w:rPr>
          <w:lang w:val="de-DE"/>
        </w:rPr>
        <w:t>35.</w:t>
      </w:r>
      <w:r w:rsidRPr="00AF0D45">
        <w:rPr>
          <w:lang w:val="de-DE"/>
        </w:rPr>
        <w:tab/>
      </w:r>
      <w:r w:rsidR="00AE50A1" w:rsidRPr="00AF0D45">
        <w:rPr>
          <w:lang w:val="de-DE"/>
        </w:rPr>
        <w:t xml:space="preserve">Der Sicherheitsausschuss nahm zur Kenntnis, dass der Verwaltungsausschuss in seiner einundzwanzigsten Sitzung einen Antrag Kroatiens auf Aufnahme des </w:t>
      </w:r>
      <w:proofErr w:type="spellStart"/>
      <w:r w:rsidR="00AE50A1" w:rsidRPr="00AF0D45">
        <w:rPr>
          <w:lang w:val="de-DE"/>
        </w:rPr>
        <w:t>Croatian</w:t>
      </w:r>
      <w:proofErr w:type="spellEnd"/>
      <w:r w:rsidR="00AE50A1" w:rsidRPr="00AF0D45">
        <w:rPr>
          <w:lang w:val="de-DE"/>
        </w:rPr>
        <w:t xml:space="preserve"> Register </w:t>
      </w:r>
      <w:proofErr w:type="spellStart"/>
      <w:r w:rsidR="00AE50A1" w:rsidRPr="00AF0D45">
        <w:rPr>
          <w:lang w:val="de-DE"/>
        </w:rPr>
        <w:t>of</w:t>
      </w:r>
      <w:proofErr w:type="spellEnd"/>
      <w:r w:rsidR="00AE50A1" w:rsidRPr="00AF0D45">
        <w:rPr>
          <w:lang w:val="de-DE"/>
        </w:rPr>
        <w:t xml:space="preserve"> Shipping in die Liste der zur Anerkennung empfohlenen Klassifikationsgesellschaften prüfen wird.</w:t>
      </w:r>
      <w:r w:rsidRPr="00AF0D45">
        <w:rPr>
          <w:lang w:val="de-DE"/>
        </w:rPr>
        <w:t xml:space="preserve"> </w:t>
      </w:r>
    </w:p>
    <w:p w14:paraId="3BE05606" w14:textId="6FD634ED" w:rsidR="009753E1" w:rsidRPr="00AF0D45" w:rsidRDefault="009753E1" w:rsidP="00817513">
      <w:pPr>
        <w:pStyle w:val="SingleTxtG"/>
        <w:spacing w:line="240" w:lineRule="auto"/>
        <w:rPr>
          <w:lang w:val="de-DE"/>
        </w:rPr>
      </w:pPr>
      <w:r w:rsidRPr="00AF0D45">
        <w:rPr>
          <w:lang w:val="de-DE"/>
        </w:rPr>
        <w:t>36.</w:t>
      </w:r>
      <w:r w:rsidRPr="00AF0D45">
        <w:rPr>
          <w:lang w:val="de-DE"/>
        </w:rPr>
        <w:tab/>
      </w:r>
      <w:r w:rsidR="00AE50A1" w:rsidRPr="00AF0D45">
        <w:rPr>
          <w:lang w:val="de-DE"/>
        </w:rPr>
        <w:t xml:space="preserve">Es wurde daran erinnert, dass der Verwaltungsausschuss nach dem Verfahren des Abschnitts 1.15.2 einen Sachverständigenausschuss </w:t>
      </w:r>
      <w:r w:rsidR="00DD7F2E" w:rsidRPr="00AF0D45">
        <w:rPr>
          <w:lang w:val="de-DE"/>
        </w:rPr>
        <w:t>bezeichnen</w:t>
      </w:r>
      <w:r w:rsidR="00AE50A1" w:rsidRPr="00AF0D45">
        <w:rPr>
          <w:lang w:val="de-DE"/>
        </w:rPr>
        <w:t xml:space="preserve"> kann, der den Vorschlag prüft, </w:t>
      </w:r>
      <w:r w:rsidR="00DD7F2E" w:rsidRPr="00AF0D45">
        <w:rPr>
          <w:lang w:val="de-DE"/>
        </w:rPr>
        <w:t>entscheidet</w:t>
      </w:r>
      <w:r w:rsidR="00AE50A1" w:rsidRPr="00AF0D45">
        <w:rPr>
          <w:lang w:val="de-DE"/>
        </w:rPr>
        <w:t xml:space="preserve">, ob die Klassifikationsgesellschaft die </w:t>
      </w:r>
      <w:r w:rsidR="00DD7F2E" w:rsidRPr="00AF0D45">
        <w:rPr>
          <w:lang w:val="de-DE"/>
        </w:rPr>
        <w:t xml:space="preserve">Kriterien </w:t>
      </w:r>
      <w:r w:rsidR="00AE50A1" w:rsidRPr="00AF0D45">
        <w:rPr>
          <w:lang w:val="de-DE"/>
        </w:rPr>
        <w:t>n</w:t>
      </w:r>
      <w:r w:rsidR="00DD7F2E" w:rsidRPr="00AF0D45">
        <w:rPr>
          <w:lang w:val="de-DE"/>
        </w:rPr>
        <w:t>ach</w:t>
      </w:r>
      <w:r w:rsidR="00AE50A1" w:rsidRPr="00AF0D45">
        <w:rPr>
          <w:lang w:val="de-DE"/>
        </w:rPr>
        <w:t xml:space="preserve"> Abschnitt 1.15.3 erfüllt, und </w:t>
      </w:r>
      <w:r w:rsidR="00DD7F2E" w:rsidRPr="00AF0D45">
        <w:rPr>
          <w:lang w:val="de-DE"/>
        </w:rPr>
        <w:t xml:space="preserve">binnen sechs Monaten </w:t>
      </w:r>
      <w:r w:rsidR="00AE50A1" w:rsidRPr="00AF0D45">
        <w:rPr>
          <w:lang w:val="de-DE"/>
        </w:rPr>
        <w:t xml:space="preserve">eine Empfehlung </w:t>
      </w:r>
      <w:r w:rsidR="00DD7F2E" w:rsidRPr="00AF0D45">
        <w:rPr>
          <w:lang w:val="de-DE"/>
        </w:rPr>
        <w:t>an den Verwaltungsausschuss a</w:t>
      </w:r>
      <w:r w:rsidR="00040381" w:rsidRPr="00AF0D45">
        <w:rPr>
          <w:lang w:val="de-DE"/>
        </w:rPr>
        <w:t>usspricht</w:t>
      </w:r>
      <w:r w:rsidR="00AE50A1" w:rsidRPr="00AF0D45">
        <w:rPr>
          <w:lang w:val="de-DE"/>
        </w:rPr>
        <w:t>.</w:t>
      </w:r>
    </w:p>
    <w:p w14:paraId="2851013E" w14:textId="10B672E5" w:rsidR="009753E1" w:rsidRPr="00AF0D45" w:rsidRDefault="009753E1" w:rsidP="00817513">
      <w:pPr>
        <w:pStyle w:val="HChG"/>
        <w:spacing w:line="240" w:lineRule="auto"/>
        <w:rPr>
          <w:lang w:val="de-DE"/>
        </w:rPr>
      </w:pPr>
      <w:r w:rsidRPr="00AF0D45">
        <w:rPr>
          <w:lang w:val="de-DE"/>
        </w:rPr>
        <w:tab/>
      </w:r>
      <w:r w:rsidR="0038701E" w:rsidRPr="00AF0D45">
        <w:rPr>
          <w:lang w:val="de-DE"/>
        </w:rPr>
        <w:t>V.</w:t>
      </w:r>
      <w:r w:rsidRPr="00AF0D45">
        <w:rPr>
          <w:lang w:val="de-DE"/>
        </w:rPr>
        <w:tab/>
      </w:r>
      <w:r w:rsidR="0038701E" w:rsidRPr="00AF0D45">
        <w:rPr>
          <w:lang w:val="de-DE"/>
        </w:rPr>
        <w:t>Vorschläge für Änderungen der dem ADN beigefügten Verordnung (TOP 4)</w:t>
      </w:r>
    </w:p>
    <w:p w14:paraId="46A971ED" w14:textId="161682AA" w:rsidR="009753E1" w:rsidRPr="00AF0D45" w:rsidRDefault="009753E1" w:rsidP="00817513">
      <w:pPr>
        <w:keepNext/>
        <w:keepLines/>
        <w:tabs>
          <w:tab w:val="right" w:pos="851"/>
        </w:tabs>
        <w:spacing w:before="360" w:after="240" w:line="240" w:lineRule="auto"/>
        <w:ind w:left="1134" w:right="1134" w:hanging="1134"/>
        <w:rPr>
          <w:b/>
          <w:sz w:val="24"/>
          <w:lang w:val="de-DE"/>
        </w:rPr>
      </w:pPr>
      <w:r w:rsidRPr="00AF0D45">
        <w:rPr>
          <w:b/>
          <w:sz w:val="24"/>
          <w:lang w:val="de-DE"/>
        </w:rPr>
        <w:tab/>
      </w:r>
      <w:r w:rsidR="0038701E" w:rsidRPr="00AF0D45">
        <w:rPr>
          <w:b/>
          <w:sz w:val="24"/>
          <w:lang w:val="de-DE"/>
        </w:rPr>
        <w:t>A.</w:t>
      </w:r>
      <w:r w:rsidRPr="00AF0D45">
        <w:rPr>
          <w:b/>
          <w:sz w:val="24"/>
          <w:lang w:val="de-DE"/>
        </w:rPr>
        <w:tab/>
      </w:r>
      <w:r w:rsidR="0038701E" w:rsidRPr="00AF0D45">
        <w:rPr>
          <w:b/>
          <w:sz w:val="24"/>
          <w:lang w:val="de-DE"/>
        </w:rPr>
        <w:t>Arbeiten der Gemeinsamen RID/ADR/ADN-Tagung</w:t>
      </w:r>
    </w:p>
    <w:p w14:paraId="6D847918" w14:textId="5A5D6DFB" w:rsidR="009753E1" w:rsidRPr="00AF0D45" w:rsidRDefault="009753E1" w:rsidP="00817513">
      <w:pPr>
        <w:keepNext/>
        <w:keepLines/>
        <w:tabs>
          <w:tab w:val="right" w:pos="851"/>
        </w:tabs>
        <w:spacing w:before="240" w:after="120" w:line="240" w:lineRule="auto"/>
        <w:ind w:left="1134" w:right="1134" w:hanging="1134"/>
        <w:rPr>
          <w:b/>
          <w:lang w:val="de-DE"/>
        </w:rPr>
      </w:pPr>
      <w:r w:rsidRPr="00AF0D45">
        <w:rPr>
          <w:b/>
          <w:lang w:val="de-DE"/>
        </w:rPr>
        <w:tab/>
        <w:t>1.</w:t>
      </w:r>
      <w:r w:rsidRPr="00AF0D45">
        <w:rPr>
          <w:b/>
          <w:lang w:val="de-DE"/>
        </w:rPr>
        <w:tab/>
      </w:r>
      <w:r w:rsidR="0038701E" w:rsidRPr="00AF0D45">
        <w:rPr>
          <w:b/>
          <w:lang w:val="de-DE"/>
        </w:rPr>
        <w:t>Neue Änderungen</w:t>
      </w:r>
    </w:p>
    <w:p w14:paraId="0E26926C" w14:textId="5A07DE19" w:rsidR="009753E1" w:rsidRPr="00AF0D45" w:rsidRDefault="0038701E" w:rsidP="00AF0D45">
      <w:pPr>
        <w:tabs>
          <w:tab w:val="left" w:pos="3969"/>
        </w:tabs>
        <w:spacing w:after="120" w:line="240" w:lineRule="auto"/>
        <w:ind w:left="3969" w:right="1134" w:hanging="2835"/>
        <w:rPr>
          <w:rFonts w:eastAsia="SimSun"/>
          <w:lang w:val="de-DE" w:eastAsia="zh-CN"/>
        </w:rPr>
      </w:pPr>
      <w:r w:rsidRPr="00AF0D45">
        <w:rPr>
          <w:rFonts w:eastAsia="SimSun"/>
          <w:i/>
          <w:lang w:val="de-DE" w:eastAsia="zh-CN"/>
        </w:rPr>
        <w:t>Dokumente:</w:t>
      </w:r>
      <w:r w:rsidR="009753E1" w:rsidRPr="00AF0D45">
        <w:rPr>
          <w:rFonts w:eastAsia="SimSun"/>
          <w:lang w:val="de-DE" w:eastAsia="zh-CN"/>
        </w:rPr>
        <w:tab/>
      </w:r>
      <w:r w:rsidR="009753E1" w:rsidRPr="00AF0D45">
        <w:rPr>
          <w:rFonts w:eastAsia="SimSun"/>
          <w:lang w:val="de-DE" w:eastAsia="zh-CN"/>
        </w:rPr>
        <w:tab/>
      </w:r>
      <w:r w:rsidRPr="00AF0D45">
        <w:rPr>
          <w:rFonts w:eastAsia="SimSun"/>
          <w:lang w:val="de-DE" w:eastAsia="zh-CN"/>
        </w:rPr>
        <w:t>ECE/TRANS/WP.15/AC.2/2018/24 (Sekretariat)</w:t>
      </w:r>
      <w:r w:rsidRPr="00AF0D45">
        <w:rPr>
          <w:rFonts w:eastAsia="SimSun"/>
          <w:lang w:val="de-DE" w:eastAsia="zh-CN"/>
        </w:rPr>
        <w:br/>
        <w:t>ECE/TRANS/WP.15/AC.2/2018/28 (ZKR)</w:t>
      </w:r>
    </w:p>
    <w:p w14:paraId="78CBE0B8" w14:textId="5BE1DC74" w:rsidR="009753E1" w:rsidRPr="00AF0D45" w:rsidRDefault="0038701E" w:rsidP="00AF0D45">
      <w:pPr>
        <w:tabs>
          <w:tab w:val="left" w:pos="3969"/>
        </w:tabs>
        <w:spacing w:after="120" w:line="240" w:lineRule="auto"/>
        <w:ind w:left="3969" w:right="1134" w:hanging="2835"/>
        <w:rPr>
          <w:rFonts w:eastAsia="SimSun"/>
          <w:lang w:val="de-DE" w:eastAsia="zh-CN"/>
        </w:rPr>
      </w:pPr>
      <w:bookmarkStart w:id="14" w:name="_Hlk523139444"/>
      <w:r w:rsidRPr="00AF0D45">
        <w:rPr>
          <w:rFonts w:eastAsia="SimSun"/>
          <w:i/>
          <w:iCs/>
          <w:lang w:val="de-DE" w:eastAsia="zh-CN"/>
        </w:rPr>
        <w:t>Informelle Dokumente:</w:t>
      </w:r>
      <w:r w:rsidR="009753E1" w:rsidRPr="00AF0D45">
        <w:rPr>
          <w:rFonts w:eastAsia="SimSun"/>
          <w:i/>
          <w:iCs/>
          <w:lang w:val="de-DE" w:eastAsia="zh-CN"/>
        </w:rPr>
        <w:tab/>
      </w:r>
      <w:r w:rsidR="009753E1" w:rsidRPr="00AF0D45">
        <w:rPr>
          <w:rFonts w:eastAsia="SimSun"/>
          <w:i/>
          <w:iCs/>
          <w:lang w:val="de-DE" w:eastAsia="zh-CN"/>
        </w:rPr>
        <w:tab/>
      </w:r>
      <w:bookmarkEnd w:id="14"/>
      <w:r w:rsidRPr="00AF0D45">
        <w:rPr>
          <w:rFonts w:eastAsia="SimSun"/>
          <w:lang w:val="de-DE" w:eastAsia="zh-CN"/>
        </w:rPr>
        <w:t>INF.12 (Deutschland)</w:t>
      </w:r>
      <w:r w:rsidRPr="00AF0D45">
        <w:rPr>
          <w:rFonts w:eastAsia="SimSun"/>
          <w:color w:val="FF0000"/>
          <w:lang w:val="de-DE" w:eastAsia="zh-CN"/>
        </w:rPr>
        <w:t xml:space="preserve"> </w:t>
      </w:r>
      <w:r w:rsidRPr="00AF0D45">
        <w:rPr>
          <w:rFonts w:eastAsia="SimSun"/>
          <w:lang w:val="de-DE" w:eastAsia="zh-CN"/>
        </w:rPr>
        <w:br/>
        <w:t>INF.15, INF. 21 und INF.24 (Sekretariat)</w:t>
      </w:r>
    </w:p>
    <w:p w14:paraId="4078E87B" w14:textId="11142F90" w:rsidR="009753E1" w:rsidRPr="00AF0D45" w:rsidRDefault="009753E1" w:rsidP="00817513">
      <w:pPr>
        <w:spacing w:after="120" w:line="240" w:lineRule="auto"/>
        <w:ind w:left="1134" w:right="1134"/>
        <w:jc w:val="both"/>
        <w:rPr>
          <w:rFonts w:eastAsia="SimSun"/>
          <w:lang w:val="de-DE" w:eastAsia="zh-CN"/>
        </w:rPr>
      </w:pPr>
      <w:r w:rsidRPr="00AF0D45">
        <w:rPr>
          <w:rFonts w:eastAsia="SimSun"/>
          <w:lang w:val="de-DE" w:eastAsia="zh-CN"/>
        </w:rPr>
        <w:t>37.</w:t>
      </w:r>
      <w:r w:rsidRPr="00AF0D45">
        <w:rPr>
          <w:rFonts w:eastAsia="SimSun"/>
          <w:lang w:val="de-DE" w:eastAsia="zh-CN"/>
        </w:rPr>
        <w:tab/>
      </w:r>
      <w:r w:rsidR="00A0263A" w:rsidRPr="00AF0D45">
        <w:rPr>
          <w:rFonts w:eastAsia="SimSun"/>
          <w:lang w:val="de-DE" w:eastAsia="zh-CN"/>
        </w:rPr>
        <w:t>Der Sicherheitsausschuss nahm die i</w:t>
      </w:r>
      <w:r w:rsidR="005C686A" w:rsidRPr="00AF0D45">
        <w:rPr>
          <w:rFonts w:eastAsia="SimSun"/>
          <w:lang w:val="de-DE" w:eastAsia="zh-CN"/>
        </w:rPr>
        <w:t>n</w:t>
      </w:r>
      <w:r w:rsidR="00A0263A" w:rsidRPr="00AF0D45">
        <w:rPr>
          <w:rFonts w:eastAsia="SimSun"/>
          <w:lang w:val="de-DE" w:eastAsia="zh-CN"/>
        </w:rPr>
        <w:t xml:space="preserve"> Dokument ECE/TRANS/WP.15/AC.2/2018/24 in der Fassung des informellen Dokuments INF.15 und </w:t>
      </w:r>
      <w:r w:rsidR="009E7389" w:rsidRPr="00AF0D45">
        <w:rPr>
          <w:rFonts w:eastAsia="SimSun"/>
          <w:lang w:val="de-DE" w:eastAsia="zh-CN"/>
        </w:rPr>
        <w:t>i</w:t>
      </w:r>
      <w:r w:rsidR="005C686A" w:rsidRPr="00AF0D45">
        <w:rPr>
          <w:rFonts w:eastAsia="SimSun"/>
          <w:lang w:val="de-DE" w:eastAsia="zh-CN"/>
        </w:rPr>
        <w:t>n</w:t>
      </w:r>
      <w:r w:rsidR="009E7389" w:rsidRPr="00AF0D45">
        <w:rPr>
          <w:rFonts w:eastAsia="SimSun"/>
          <w:lang w:val="de-DE" w:eastAsia="zh-CN"/>
        </w:rPr>
        <w:t xml:space="preserve"> Dokument </w:t>
      </w:r>
      <w:r w:rsidR="00A0263A" w:rsidRPr="00AF0D45">
        <w:rPr>
          <w:rFonts w:eastAsia="SimSun"/>
          <w:lang w:val="de-DE" w:eastAsia="zh-CN"/>
        </w:rPr>
        <w:t>ECE/TRANS/WP.15/AC.2/2018/28 in der Fassung des Vorschlags 2 im informellen Dokument INF.24 für notwendig erachteten Änderungen für ein Inkrafttreten am 1. Januar 2019 an</w:t>
      </w:r>
      <w:r w:rsidR="009E7389" w:rsidRPr="00AF0D45">
        <w:rPr>
          <w:rFonts w:eastAsia="SimSun"/>
          <w:lang w:val="de-DE" w:eastAsia="zh-CN"/>
        </w:rPr>
        <w:t xml:space="preserve"> (siehe Anlage II)</w:t>
      </w:r>
      <w:r w:rsidR="00A0263A" w:rsidRPr="00AF0D45">
        <w:rPr>
          <w:rFonts w:eastAsia="SimSun"/>
          <w:lang w:val="de-DE" w:eastAsia="zh-CN"/>
        </w:rPr>
        <w:t>.</w:t>
      </w:r>
      <w:r w:rsidRPr="00AF0D45">
        <w:rPr>
          <w:rFonts w:eastAsia="SimSun"/>
          <w:lang w:val="de-DE" w:eastAsia="zh-CN"/>
        </w:rPr>
        <w:t xml:space="preserve"> </w:t>
      </w:r>
    </w:p>
    <w:p w14:paraId="797B976A" w14:textId="046D64D4" w:rsidR="009753E1" w:rsidRPr="00AF0D45" w:rsidRDefault="009753E1" w:rsidP="00F05B62">
      <w:pPr>
        <w:spacing w:after="120"/>
        <w:ind w:left="1134" w:right="1134"/>
        <w:jc w:val="both"/>
        <w:rPr>
          <w:rFonts w:eastAsia="SimSun"/>
          <w:lang w:val="de-DE" w:eastAsia="zh-CN"/>
        </w:rPr>
      </w:pPr>
      <w:r w:rsidRPr="00AF0D45">
        <w:rPr>
          <w:rFonts w:eastAsia="SimSun"/>
          <w:lang w:val="de-DE" w:eastAsia="zh-CN"/>
        </w:rPr>
        <w:lastRenderedPageBreak/>
        <w:t>38.</w:t>
      </w:r>
      <w:r w:rsidRPr="00AF0D45">
        <w:rPr>
          <w:rFonts w:eastAsia="SimSun"/>
          <w:lang w:val="de-DE" w:eastAsia="zh-CN"/>
        </w:rPr>
        <w:tab/>
      </w:r>
      <w:r w:rsidR="005C686A" w:rsidRPr="00AF0D45">
        <w:rPr>
          <w:rFonts w:eastAsia="SimSun"/>
          <w:lang w:val="de-DE" w:eastAsia="zh-CN"/>
        </w:rPr>
        <w:t xml:space="preserve">Obwohl es einige Unterstützung für eine Klärung der </w:t>
      </w:r>
      <w:r w:rsidR="009023EE" w:rsidRPr="00AF0D45">
        <w:rPr>
          <w:rFonts w:eastAsia="SimSun"/>
          <w:lang w:val="de-DE" w:eastAsia="zh-CN"/>
        </w:rPr>
        <w:t>Pflichten</w:t>
      </w:r>
      <w:r w:rsidR="005C686A" w:rsidRPr="00AF0D45">
        <w:rPr>
          <w:rFonts w:eastAsia="SimSun"/>
          <w:lang w:val="de-DE" w:eastAsia="zh-CN"/>
        </w:rPr>
        <w:t xml:space="preserve"> des Absenders, des </w:t>
      </w:r>
      <w:r w:rsidR="00E24C35" w:rsidRPr="00AF0D45">
        <w:rPr>
          <w:rFonts w:eastAsia="SimSun"/>
          <w:lang w:val="de-DE" w:eastAsia="zh-CN"/>
        </w:rPr>
        <w:t>Verl</w:t>
      </w:r>
      <w:r w:rsidR="005C686A" w:rsidRPr="00AF0D45">
        <w:rPr>
          <w:rFonts w:eastAsia="SimSun"/>
          <w:lang w:val="de-DE" w:eastAsia="zh-CN"/>
        </w:rPr>
        <w:t xml:space="preserve">aders und des </w:t>
      </w:r>
      <w:r w:rsidR="00E24C35" w:rsidRPr="00AF0D45">
        <w:rPr>
          <w:rFonts w:eastAsia="SimSun"/>
          <w:lang w:val="de-DE" w:eastAsia="zh-CN"/>
        </w:rPr>
        <w:t>Beförderers</w:t>
      </w:r>
      <w:r w:rsidR="005C686A" w:rsidRPr="00AF0D45">
        <w:rPr>
          <w:rFonts w:eastAsia="SimSun"/>
          <w:lang w:val="de-DE" w:eastAsia="zh-CN"/>
        </w:rPr>
        <w:t xml:space="preserve"> nach Annahme der neuen Bestimmungen in </w:t>
      </w:r>
      <w:r w:rsidR="00003C96" w:rsidRPr="00AF0D45">
        <w:rPr>
          <w:rFonts w:eastAsia="SimSun"/>
          <w:lang w:val="de-DE" w:eastAsia="zh-CN"/>
        </w:rPr>
        <w:t xml:space="preserve">Abschnitt </w:t>
      </w:r>
      <w:r w:rsidR="005C686A" w:rsidRPr="00AF0D45">
        <w:rPr>
          <w:rFonts w:eastAsia="SimSun"/>
          <w:lang w:val="de-DE" w:eastAsia="zh-CN"/>
        </w:rPr>
        <w:t>7.1.7 gab, nahm der Sicherheitsausschuss die Vorschläge im informellen Dokument INF.12 für ein Inkrafttreten am 1. Januar 2019 nicht an.</w:t>
      </w:r>
      <w:r w:rsidRPr="00AF0D45">
        <w:rPr>
          <w:rFonts w:eastAsia="SimSun"/>
          <w:lang w:val="de-DE" w:eastAsia="zh-CN"/>
        </w:rPr>
        <w:t xml:space="preserve"> </w:t>
      </w:r>
    </w:p>
    <w:p w14:paraId="156CAA75" w14:textId="6576432B" w:rsidR="009753E1" w:rsidRPr="00AF0D45" w:rsidRDefault="009753E1" w:rsidP="00F05B62">
      <w:pPr>
        <w:spacing w:after="120"/>
        <w:ind w:left="1134" w:right="1134"/>
        <w:jc w:val="both"/>
        <w:rPr>
          <w:rFonts w:eastAsia="SimSun"/>
          <w:lang w:val="de-DE" w:eastAsia="zh-CN"/>
        </w:rPr>
      </w:pPr>
      <w:r w:rsidRPr="00AF0D45">
        <w:rPr>
          <w:rFonts w:eastAsia="SimSun"/>
          <w:lang w:val="de-DE" w:eastAsia="zh-CN"/>
        </w:rPr>
        <w:t>39.</w:t>
      </w:r>
      <w:r w:rsidRPr="00AF0D45">
        <w:rPr>
          <w:rFonts w:eastAsia="SimSun"/>
          <w:lang w:val="de-DE" w:eastAsia="zh-CN"/>
        </w:rPr>
        <w:tab/>
      </w:r>
      <w:r w:rsidR="009023EE" w:rsidRPr="00AF0D45">
        <w:rPr>
          <w:rFonts w:eastAsia="SimSun"/>
          <w:lang w:val="de-DE" w:eastAsia="zh-CN"/>
        </w:rPr>
        <w:t>Der Sicherheitsausschuss ersuchte den Vertreter Deutschlands, die bei der Aussprache geäußerten Bemerkungen zu berücksichtigen und mit anderen interessierten Delegationen ein gemeinsames Verständnis der für die Umsetzung der Bestimmungen in Abschnitt 7.1.7 zu klärenden Pflichten zu entwickeln, damit der Sicherheitsausschuss dies prüfen kann.</w:t>
      </w:r>
      <w:r w:rsidRPr="00AF0D45">
        <w:rPr>
          <w:rFonts w:eastAsia="SimSun"/>
          <w:lang w:val="de-DE" w:eastAsia="zh-CN"/>
        </w:rPr>
        <w:t xml:space="preserve"> </w:t>
      </w:r>
      <w:r w:rsidR="009023EE" w:rsidRPr="00AF0D45">
        <w:rPr>
          <w:rFonts w:eastAsia="SimSun"/>
          <w:lang w:val="de-DE" w:eastAsia="zh-CN"/>
        </w:rPr>
        <w:t>Er wurde ferner ersucht zu prüfen, ob diese Frage auch für den Schienen- und Straßenverkehr relevant sein könnte; in diesem Fall sollte sie der Gemeinsamen RID/ADR/ADR/ADN-Tagung zur Kenntnis gebracht werden.</w:t>
      </w:r>
      <w:r w:rsidRPr="00AF0D45">
        <w:rPr>
          <w:rFonts w:eastAsia="SimSun"/>
          <w:lang w:val="de-DE" w:eastAsia="zh-CN"/>
        </w:rPr>
        <w:t xml:space="preserve"> </w:t>
      </w:r>
    </w:p>
    <w:p w14:paraId="04D4022E" w14:textId="018F8634" w:rsidR="009753E1" w:rsidRPr="00AF0D45" w:rsidRDefault="009753E1" w:rsidP="00F05B62">
      <w:pPr>
        <w:keepNext/>
        <w:keepLines/>
        <w:tabs>
          <w:tab w:val="right" w:pos="851"/>
        </w:tabs>
        <w:spacing w:before="240" w:after="120" w:line="240" w:lineRule="exact"/>
        <w:ind w:left="1134" w:right="1134" w:hanging="1134"/>
        <w:rPr>
          <w:b/>
          <w:lang w:val="de-DE"/>
        </w:rPr>
      </w:pPr>
      <w:r w:rsidRPr="00AF0D45">
        <w:rPr>
          <w:b/>
          <w:lang w:val="de-DE"/>
        </w:rPr>
        <w:tab/>
        <w:t>2.</w:t>
      </w:r>
      <w:r w:rsidRPr="00AF0D45">
        <w:rPr>
          <w:b/>
          <w:lang w:val="de-DE"/>
        </w:rPr>
        <w:tab/>
      </w:r>
      <w:r w:rsidR="009023EE" w:rsidRPr="00AF0D45">
        <w:rPr>
          <w:b/>
          <w:lang w:val="de-DE"/>
        </w:rPr>
        <w:t>Korrekturen bereits angenommener Änderungen (ECE/ADN/45)</w:t>
      </w:r>
    </w:p>
    <w:p w14:paraId="5464509D" w14:textId="469FA55C" w:rsidR="009753E1" w:rsidRPr="00AF0D45" w:rsidRDefault="009023EE" w:rsidP="00AF0D45">
      <w:pPr>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lang w:val="de-DE" w:eastAsia="zh-CN"/>
        </w:rPr>
        <w:tab/>
      </w:r>
      <w:r w:rsidRPr="00AF0D45">
        <w:rPr>
          <w:rFonts w:eastAsia="SimSun"/>
          <w:lang w:val="de-DE" w:eastAsia="zh-CN"/>
        </w:rPr>
        <w:t>ECE/TRANS/WP.15/AC.2/2018/25</w:t>
      </w:r>
      <w:r w:rsidR="009753E1" w:rsidRPr="00AF0D45">
        <w:rPr>
          <w:rFonts w:eastAsia="SimSun"/>
          <w:lang w:val="de-DE" w:eastAsia="zh-CN"/>
        </w:rPr>
        <w:t xml:space="preserve"> </w:t>
      </w:r>
    </w:p>
    <w:p w14:paraId="27756FD4" w14:textId="19AD87FC" w:rsidR="009753E1" w:rsidRPr="00AF0D45" w:rsidRDefault="009023EE" w:rsidP="00AF0D45">
      <w:pPr>
        <w:tabs>
          <w:tab w:val="left" w:pos="3969"/>
        </w:tabs>
        <w:spacing w:after="120"/>
        <w:ind w:left="1134" w:right="1134"/>
        <w:jc w:val="both"/>
        <w:rPr>
          <w:rFonts w:eastAsia="SimSun"/>
          <w:lang w:val="de-DE" w:eastAsia="zh-CN"/>
        </w:rPr>
      </w:pPr>
      <w:r w:rsidRPr="00AF0D45">
        <w:rPr>
          <w:rFonts w:eastAsia="SimSun"/>
          <w:i/>
          <w:iCs/>
          <w:lang w:val="de-DE" w:eastAsia="zh-CN"/>
        </w:rPr>
        <w:t>Informelle Dokumente:</w:t>
      </w:r>
      <w:r w:rsidR="009753E1" w:rsidRPr="00AF0D45">
        <w:rPr>
          <w:rFonts w:eastAsia="SimSun"/>
          <w:lang w:val="de-DE" w:eastAsia="zh-CN"/>
        </w:rPr>
        <w:tab/>
      </w:r>
      <w:r w:rsidRPr="00AF0D45">
        <w:rPr>
          <w:rFonts w:eastAsia="SimSun"/>
          <w:lang w:val="de-DE" w:eastAsia="zh-CN"/>
        </w:rPr>
        <w:t>INF.13 und INF.15 (Sekretariat)</w:t>
      </w:r>
    </w:p>
    <w:p w14:paraId="5F4FD4DB" w14:textId="12B91B0F" w:rsidR="009753E1" w:rsidRPr="00AF0D45" w:rsidRDefault="009753E1" w:rsidP="00F05B62">
      <w:pPr>
        <w:spacing w:after="120"/>
        <w:ind w:left="1134" w:right="1134"/>
        <w:jc w:val="both"/>
        <w:rPr>
          <w:rFonts w:eastAsia="SimSun"/>
          <w:lang w:val="de-DE" w:eastAsia="zh-CN"/>
        </w:rPr>
      </w:pPr>
      <w:r w:rsidRPr="00AF0D45">
        <w:rPr>
          <w:rFonts w:eastAsia="SimSun"/>
          <w:lang w:val="de-DE" w:eastAsia="zh-CN"/>
        </w:rPr>
        <w:t>40.</w:t>
      </w:r>
      <w:r w:rsidRPr="00AF0D45">
        <w:rPr>
          <w:rFonts w:eastAsia="SimSun"/>
          <w:lang w:val="de-DE" w:eastAsia="zh-CN"/>
        </w:rPr>
        <w:tab/>
      </w:r>
      <w:r w:rsidR="009023EE" w:rsidRPr="00AF0D45">
        <w:rPr>
          <w:rFonts w:eastAsia="SimSun"/>
          <w:lang w:val="de-DE" w:eastAsia="zh-CN"/>
        </w:rPr>
        <w:t>Der Sicherheitsausschuss nahm die Korrekturvorschläge zu Dokument ECE/ADN/45 im informellen Dokument INF.13 (siehe ECE/ADN/45/Corr.1) bezüglich Fehlern oder Auslassungen in Folgeänderungen an (siehe Anlage III).</w:t>
      </w:r>
      <w:r w:rsidRPr="00AF0D45">
        <w:rPr>
          <w:rFonts w:eastAsia="SimSun"/>
          <w:lang w:val="de-DE" w:eastAsia="zh-CN"/>
        </w:rPr>
        <w:t xml:space="preserve"> </w:t>
      </w:r>
      <w:r w:rsidR="009023EE" w:rsidRPr="00AF0D45">
        <w:rPr>
          <w:rFonts w:eastAsia="SimSun"/>
          <w:lang w:val="de-DE" w:eastAsia="zh-CN"/>
        </w:rPr>
        <w:t>Der Ausschuss war der Ansicht, dass solche Fehler oder Auslassungen korrigiert werden sollten, sobald die betreffenden Änderungen in Kraft getreten sind, und schlug vor, dass der Verwaltungsausschuss die Einleitung eines Korrekturverfahrens beantragt, sobald die Änderungen angenommen sind (voraussichtlich 1. Oktober 2018).</w:t>
      </w:r>
    </w:p>
    <w:p w14:paraId="14A5C248" w14:textId="5E3147B4" w:rsidR="009753E1" w:rsidRPr="00AF0D45" w:rsidRDefault="009753E1" w:rsidP="00F05B62">
      <w:pPr>
        <w:keepNext/>
        <w:keepLines/>
        <w:tabs>
          <w:tab w:val="right" w:pos="851"/>
        </w:tabs>
        <w:spacing w:before="240" w:after="120" w:line="240" w:lineRule="exact"/>
        <w:ind w:left="1134" w:right="1134" w:hanging="1134"/>
        <w:rPr>
          <w:b/>
          <w:lang w:val="de-DE"/>
        </w:rPr>
      </w:pPr>
      <w:r w:rsidRPr="00AF0D45">
        <w:rPr>
          <w:b/>
          <w:lang w:val="de-DE"/>
        </w:rPr>
        <w:tab/>
        <w:t>3.</w:t>
      </w:r>
      <w:r w:rsidRPr="00AF0D45">
        <w:rPr>
          <w:b/>
          <w:lang w:val="de-DE"/>
        </w:rPr>
        <w:tab/>
      </w:r>
      <w:r w:rsidR="006D1487" w:rsidRPr="00AF0D45">
        <w:rPr>
          <w:b/>
          <w:lang w:val="de-DE"/>
        </w:rPr>
        <w:t>Berichtigungen zu der dem ADN beigefügten Verordnung</w:t>
      </w:r>
    </w:p>
    <w:p w14:paraId="361B0D23" w14:textId="567EF3E5" w:rsidR="009753E1" w:rsidRPr="00AF0D45" w:rsidRDefault="006D1487" w:rsidP="00AF0D45">
      <w:pPr>
        <w:tabs>
          <w:tab w:val="left" w:pos="3969"/>
        </w:tabs>
        <w:spacing w:after="120"/>
        <w:ind w:left="1134"/>
        <w:rPr>
          <w:lang w:val="de-DE"/>
        </w:rPr>
      </w:pPr>
      <w:r w:rsidRPr="00AF0D45">
        <w:rPr>
          <w:i/>
          <w:iCs/>
          <w:lang w:val="de-DE"/>
        </w:rPr>
        <w:t>Informelle Dokumente:</w:t>
      </w:r>
      <w:r w:rsidR="009753E1" w:rsidRPr="00AF0D45">
        <w:rPr>
          <w:i/>
          <w:iCs/>
          <w:lang w:val="de-DE"/>
        </w:rPr>
        <w:tab/>
      </w:r>
      <w:r w:rsidR="009753E1" w:rsidRPr="00AF0D45">
        <w:rPr>
          <w:i/>
          <w:iCs/>
          <w:lang w:val="de-DE"/>
        </w:rPr>
        <w:tab/>
      </w:r>
      <w:r w:rsidRPr="00AF0D45">
        <w:rPr>
          <w:lang w:val="de-DE"/>
        </w:rPr>
        <w:t>INF.13 und INF.15 (Sekretariat)</w:t>
      </w:r>
      <w:r w:rsidR="009753E1" w:rsidRPr="00AF0D45">
        <w:rPr>
          <w:lang w:val="de-DE"/>
        </w:rPr>
        <w:t xml:space="preserve"> </w:t>
      </w:r>
    </w:p>
    <w:p w14:paraId="46D3CE68" w14:textId="23C86A82" w:rsidR="009753E1" w:rsidRPr="00AF0D45" w:rsidRDefault="009753E1" w:rsidP="00F05B62">
      <w:pPr>
        <w:spacing w:after="120"/>
        <w:ind w:left="1134" w:right="1134"/>
        <w:jc w:val="both"/>
        <w:rPr>
          <w:rFonts w:eastAsia="SimSun"/>
          <w:lang w:val="de-DE" w:eastAsia="zh-CN"/>
        </w:rPr>
      </w:pPr>
      <w:r w:rsidRPr="00AF0D45">
        <w:rPr>
          <w:rFonts w:eastAsia="SimSun"/>
          <w:lang w:val="de-DE" w:eastAsia="zh-CN"/>
        </w:rPr>
        <w:t>41.</w:t>
      </w:r>
      <w:r w:rsidRPr="00AF0D45">
        <w:rPr>
          <w:rFonts w:eastAsia="SimSun"/>
          <w:lang w:val="de-DE" w:eastAsia="zh-CN"/>
        </w:rPr>
        <w:tab/>
      </w:r>
      <w:r w:rsidR="00D672C3" w:rsidRPr="00AF0D45">
        <w:rPr>
          <w:rFonts w:eastAsia="SimSun"/>
          <w:lang w:val="de-DE" w:eastAsia="zh-CN"/>
        </w:rPr>
        <w:t xml:space="preserve">Der Sicherheitsausschuss nahm die </w:t>
      </w:r>
      <w:r w:rsidR="00E7223A" w:rsidRPr="00AF0D45">
        <w:rPr>
          <w:rFonts w:eastAsia="SimSun"/>
          <w:lang w:val="de-DE" w:eastAsia="zh-CN"/>
        </w:rPr>
        <w:t>Berichtigungen</w:t>
      </w:r>
      <w:r w:rsidR="00D672C3" w:rsidRPr="00AF0D45">
        <w:rPr>
          <w:rFonts w:eastAsia="SimSun"/>
          <w:lang w:val="de-DE" w:eastAsia="zh-CN"/>
        </w:rPr>
        <w:t xml:space="preserve"> der dem ADN beigefügten Verordnung in den informellen Dokumenten INF.13 (Korrektur zu </w:t>
      </w:r>
      <w:r w:rsidR="002D1F33" w:rsidRPr="00AF0D45">
        <w:rPr>
          <w:rFonts w:eastAsia="SimSun"/>
          <w:lang w:val="de-DE" w:eastAsia="zh-CN"/>
        </w:rPr>
        <w:t xml:space="preserve">Absatz </w:t>
      </w:r>
      <w:r w:rsidR="00D672C3" w:rsidRPr="00AF0D45">
        <w:rPr>
          <w:rFonts w:eastAsia="SimSun"/>
          <w:lang w:val="de-DE" w:eastAsia="zh-CN"/>
        </w:rPr>
        <w:t xml:space="preserve">5.4.1.1.3) und INF.15 (Korrektur zu </w:t>
      </w:r>
      <w:r w:rsidR="002D1F33" w:rsidRPr="00AF0D45">
        <w:rPr>
          <w:rFonts w:eastAsia="SimSun"/>
          <w:lang w:val="de-DE" w:eastAsia="zh-CN"/>
        </w:rPr>
        <w:t xml:space="preserve">Unterabschnitt </w:t>
      </w:r>
      <w:r w:rsidR="00CB7E50" w:rsidRPr="00AF0D45">
        <w:rPr>
          <w:rFonts w:eastAsia="SimSun"/>
          <w:lang w:val="de-DE" w:eastAsia="zh-CN"/>
        </w:rPr>
        <w:t>1.8.5.3 a)) an (siehe Anl</w:t>
      </w:r>
      <w:r w:rsidR="00D672C3" w:rsidRPr="00AF0D45">
        <w:rPr>
          <w:rFonts w:eastAsia="SimSun"/>
          <w:lang w:val="de-DE" w:eastAsia="zh-CN"/>
        </w:rPr>
        <w:t>ag</w:t>
      </w:r>
      <w:r w:rsidR="00CB7E50" w:rsidRPr="00AF0D45">
        <w:rPr>
          <w:rFonts w:eastAsia="SimSun"/>
          <w:lang w:val="de-DE" w:eastAsia="zh-CN"/>
        </w:rPr>
        <w:t>e</w:t>
      </w:r>
      <w:r w:rsidR="00D672C3" w:rsidRPr="00AF0D45">
        <w:rPr>
          <w:rFonts w:eastAsia="SimSun"/>
          <w:lang w:val="de-DE" w:eastAsia="zh-CN"/>
        </w:rPr>
        <w:t xml:space="preserve"> IV).</w:t>
      </w:r>
      <w:r w:rsidRPr="00AF0D45">
        <w:rPr>
          <w:rFonts w:eastAsia="SimSun"/>
          <w:lang w:val="de-DE" w:eastAsia="zh-CN"/>
        </w:rPr>
        <w:t xml:space="preserve"> </w:t>
      </w:r>
    </w:p>
    <w:p w14:paraId="46A24BB0" w14:textId="1716C746" w:rsidR="009753E1" w:rsidRPr="00AF0D45" w:rsidRDefault="009753E1" w:rsidP="00F05B62">
      <w:pPr>
        <w:pStyle w:val="H1G"/>
        <w:rPr>
          <w:lang w:val="de-DE"/>
        </w:rPr>
      </w:pPr>
      <w:r w:rsidRPr="00AF0D45">
        <w:rPr>
          <w:lang w:val="de-DE"/>
        </w:rPr>
        <w:tab/>
      </w:r>
      <w:r w:rsidR="00D05C4E" w:rsidRPr="00AF0D45">
        <w:rPr>
          <w:lang w:val="de-DE"/>
        </w:rPr>
        <w:t>B.</w:t>
      </w:r>
      <w:r w:rsidRPr="00AF0D45">
        <w:rPr>
          <w:lang w:val="de-DE"/>
        </w:rPr>
        <w:tab/>
      </w:r>
      <w:r w:rsidR="00D05C4E" w:rsidRPr="00AF0D45">
        <w:rPr>
          <w:lang w:val="de-DE"/>
        </w:rPr>
        <w:t>Weitere Vorschläge</w:t>
      </w:r>
    </w:p>
    <w:p w14:paraId="5B3E8BF5" w14:textId="14835CD2" w:rsidR="009753E1" w:rsidRPr="00AF0D45" w:rsidRDefault="009753E1" w:rsidP="00D05C4E">
      <w:pPr>
        <w:pStyle w:val="H23G"/>
        <w:rPr>
          <w:lang w:val="de-DE"/>
        </w:rPr>
      </w:pPr>
      <w:r w:rsidRPr="00AF0D45">
        <w:rPr>
          <w:lang w:val="de-DE"/>
        </w:rPr>
        <w:tab/>
        <w:t>1.</w:t>
      </w:r>
      <w:r w:rsidRPr="00AF0D45">
        <w:rPr>
          <w:lang w:val="de-DE"/>
        </w:rPr>
        <w:tab/>
      </w:r>
      <w:r w:rsidR="00D05C4E" w:rsidRPr="00AF0D45">
        <w:rPr>
          <w:lang w:val="de-DE"/>
        </w:rPr>
        <w:t>Feuer und offenes Licht (9.1.0.41.3)</w:t>
      </w:r>
    </w:p>
    <w:p w14:paraId="098C1ADC" w14:textId="3139961C" w:rsidR="009753E1" w:rsidRPr="00AF0D45" w:rsidRDefault="00D05C4E" w:rsidP="00AF0D45">
      <w:pPr>
        <w:pStyle w:val="SingleTxtG"/>
        <w:tabs>
          <w:tab w:val="left" w:pos="3969"/>
        </w:tabs>
        <w:rPr>
          <w:lang w:val="de-DE"/>
        </w:rPr>
      </w:pPr>
      <w:r w:rsidRPr="00AF0D45">
        <w:rPr>
          <w:i/>
          <w:iCs/>
          <w:lang w:val="de-DE"/>
        </w:rPr>
        <w:t>Dokument:</w:t>
      </w:r>
      <w:r w:rsidR="009753E1" w:rsidRPr="00AF0D45">
        <w:rPr>
          <w:lang w:val="de-DE"/>
        </w:rPr>
        <w:t xml:space="preserve"> </w:t>
      </w:r>
      <w:r w:rsidR="009753E1" w:rsidRPr="00AF0D45">
        <w:rPr>
          <w:lang w:val="de-DE"/>
        </w:rPr>
        <w:tab/>
      </w:r>
      <w:r w:rsidR="009753E1" w:rsidRPr="00AF0D45">
        <w:rPr>
          <w:lang w:val="de-DE"/>
        </w:rPr>
        <w:tab/>
      </w:r>
      <w:r w:rsidRPr="00AF0D45">
        <w:rPr>
          <w:lang w:val="de-DE"/>
        </w:rPr>
        <w:t>ECE/TRANS/WP.15/AC.2/2018/26 (Belgien)</w:t>
      </w:r>
    </w:p>
    <w:p w14:paraId="5EEF3021" w14:textId="481B0DD0" w:rsidR="009753E1" w:rsidRPr="00AF0D45" w:rsidRDefault="009753E1" w:rsidP="00F05B62">
      <w:pPr>
        <w:pStyle w:val="SingleTxtG"/>
        <w:rPr>
          <w:lang w:val="de-DE"/>
        </w:rPr>
      </w:pPr>
      <w:r w:rsidRPr="00AF0D45">
        <w:rPr>
          <w:lang w:val="de-DE"/>
        </w:rPr>
        <w:t>42.</w:t>
      </w:r>
      <w:r w:rsidRPr="00AF0D45">
        <w:rPr>
          <w:lang w:val="de-DE"/>
        </w:rPr>
        <w:tab/>
      </w:r>
      <w:r w:rsidR="00935E39" w:rsidRPr="00AF0D45">
        <w:rPr>
          <w:lang w:val="de-DE"/>
        </w:rPr>
        <w:t>Der Sicherheitsausschuss stimmte der Auslegung des Vertreters Belgiens zu, dass außerhalb der Wohnung und des Steuerhauses nur elektrische Beleuchtungsgeräte zugelassen sind, und stellte fest, dass die gleiche Korrektur in Absatz 9.2.0.41.3 erforderlich ist.</w:t>
      </w:r>
      <w:r w:rsidRPr="00AF0D45">
        <w:rPr>
          <w:lang w:val="de-DE"/>
        </w:rPr>
        <w:t xml:space="preserve"> </w:t>
      </w:r>
      <w:r w:rsidR="00935E39" w:rsidRPr="00AF0D45">
        <w:rPr>
          <w:lang w:val="de-DE"/>
        </w:rPr>
        <w:t xml:space="preserve">Der Sicherheitsausschuss nahm den Vorschlag als Berichtigung der dem ADN beigefügten Verordnung an und stellte fest, dass </w:t>
      </w:r>
      <w:r w:rsidR="00BD2ED4" w:rsidRPr="00AF0D45">
        <w:rPr>
          <w:lang w:val="de-DE"/>
        </w:rPr>
        <w:t xml:space="preserve">diese </w:t>
      </w:r>
      <w:r w:rsidR="00935E39" w:rsidRPr="00AF0D45">
        <w:rPr>
          <w:lang w:val="de-DE"/>
        </w:rPr>
        <w:t xml:space="preserve">keine offizielle </w:t>
      </w:r>
      <w:r w:rsidR="00132C50" w:rsidRPr="00AF0D45">
        <w:rPr>
          <w:lang w:val="de-DE"/>
        </w:rPr>
        <w:t>Notifizierung</w:t>
      </w:r>
      <w:r w:rsidR="00935E39" w:rsidRPr="00AF0D45">
        <w:rPr>
          <w:lang w:val="de-DE"/>
        </w:rPr>
        <w:t xml:space="preserve"> z</w:t>
      </w:r>
      <w:r w:rsidR="00132C50" w:rsidRPr="00AF0D45">
        <w:rPr>
          <w:lang w:val="de-DE"/>
        </w:rPr>
        <w:t>wecks</w:t>
      </w:r>
      <w:r w:rsidR="00935E39" w:rsidRPr="00AF0D45">
        <w:rPr>
          <w:lang w:val="de-DE"/>
        </w:rPr>
        <w:t xml:space="preserve"> </w:t>
      </w:r>
      <w:r w:rsidR="00132C50" w:rsidRPr="00AF0D45">
        <w:rPr>
          <w:lang w:val="de-DE"/>
        </w:rPr>
        <w:t>Zustimmung</w:t>
      </w:r>
      <w:r w:rsidR="00935E39" w:rsidRPr="00AF0D45">
        <w:rPr>
          <w:lang w:val="de-DE"/>
        </w:rPr>
        <w:t xml:space="preserve"> </w:t>
      </w:r>
      <w:r w:rsidR="00132C50" w:rsidRPr="00AF0D45">
        <w:rPr>
          <w:lang w:val="de-DE"/>
        </w:rPr>
        <w:t>der</w:t>
      </w:r>
      <w:r w:rsidR="00935E39" w:rsidRPr="00AF0D45">
        <w:rPr>
          <w:lang w:val="de-DE"/>
        </w:rPr>
        <w:t xml:space="preserve"> Vertragsparteien </w:t>
      </w:r>
      <w:r w:rsidR="00BD2ED4" w:rsidRPr="00AF0D45">
        <w:rPr>
          <w:lang w:val="de-DE"/>
        </w:rPr>
        <w:t>erfordert</w:t>
      </w:r>
      <w:r w:rsidR="00935E39" w:rsidRPr="00AF0D45">
        <w:rPr>
          <w:lang w:val="de-DE"/>
        </w:rPr>
        <w:t>, da der französische Wortlaut korrekt ist (siehe Anlage V).</w:t>
      </w:r>
    </w:p>
    <w:p w14:paraId="19164366" w14:textId="0021388A" w:rsidR="009753E1" w:rsidRPr="00AF0D45" w:rsidRDefault="009753E1" w:rsidP="00272042">
      <w:pPr>
        <w:pStyle w:val="H23G"/>
        <w:rPr>
          <w:lang w:val="de-DE"/>
        </w:rPr>
      </w:pPr>
      <w:r w:rsidRPr="00AF0D45">
        <w:rPr>
          <w:lang w:val="de-DE"/>
        </w:rPr>
        <w:tab/>
        <w:t>2.</w:t>
      </w:r>
      <w:r w:rsidRPr="00AF0D45">
        <w:rPr>
          <w:lang w:val="de-DE"/>
        </w:rPr>
        <w:tab/>
      </w:r>
      <w:r w:rsidR="00272042" w:rsidRPr="00AF0D45">
        <w:rPr>
          <w:lang w:val="de-DE"/>
        </w:rPr>
        <w:t>Stoffnummer 9001: Benennung und Beschreibung</w:t>
      </w:r>
    </w:p>
    <w:p w14:paraId="062458A1" w14:textId="51519F26" w:rsidR="009753E1" w:rsidRPr="00AF0D45" w:rsidRDefault="00272042" w:rsidP="00AF0D45">
      <w:pPr>
        <w:pStyle w:val="SingleTxtG"/>
        <w:tabs>
          <w:tab w:val="left" w:pos="3969"/>
        </w:tabs>
        <w:rPr>
          <w:lang w:val="de-DE"/>
        </w:rPr>
      </w:pPr>
      <w:r w:rsidRPr="00AF0D45">
        <w:rPr>
          <w:i/>
          <w:iCs/>
          <w:lang w:val="de-DE"/>
        </w:rPr>
        <w:t>Dokument:</w:t>
      </w:r>
      <w:r w:rsidR="009753E1" w:rsidRPr="00AF0D45">
        <w:rPr>
          <w:lang w:val="de-DE"/>
        </w:rPr>
        <w:t xml:space="preserve"> </w:t>
      </w:r>
      <w:r w:rsidR="009753E1" w:rsidRPr="00AF0D45">
        <w:rPr>
          <w:lang w:val="de-DE"/>
        </w:rPr>
        <w:tab/>
      </w:r>
      <w:r w:rsidR="009753E1" w:rsidRPr="00AF0D45">
        <w:rPr>
          <w:lang w:val="de-DE"/>
        </w:rPr>
        <w:tab/>
      </w:r>
      <w:r w:rsidRPr="00AF0D45">
        <w:rPr>
          <w:lang w:val="de-DE"/>
        </w:rPr>
        <w:t>ECE/TRANS/WP.15/AC.2/2018/29 (Deutschland)</w:t>
      </w:r>
    </w:p>
    <w:p w14:paraId="3B68D149" w14:textId="0CD5AD17" w:rsidR="009753E1" w:rsidRPr="00AF0D45" w:rsidRDefault="00272042" w:rsidP="00AF0D45">
      <w:pPr>
        <w:pStyle w:val="SingleTxtG"/>
        <w:tabs>
          <w:tab w:val="left" w:pos="3969"/>
        </w:tabs>
        <w:rPr>
          <w:lang w:val="de-DE"/>
        </w:rPr>
      </w:pPr>
      <w:r w:rsidRPr="00AF0D45">
        <w:rPr>
          <w:i/>
          <w:iCs/>
          <w:lang w:val="de-DE"/>
        </w:rPr>
        <w:t>Informelles Dokument:</w:t>
      </w:r>
      <w:r w:rsidR="009753E1" w:rsidRPr="00AF0D45">
        <w:rPr>
          <w:i/>
          <w:iCs/>
          <w:lang w:val="de-DE"/>
        </w:rPr>
        <w:tab/>
      </w:r>
      <w:r w:rsidRPr="00AF0D45">
        <w:rPr>
          <w:lang w:val="de-DE"/>
        </w:rPr>
        <w:t>INF.19 (Sekretariat)</w:t>
      </w:r>
    </w:p>
    <w:p w14:paraId="3F31AB38" w14:textId="2089DDDF" w:rsidR="009753E1" w:rsidRPr="00AF0D45" w:rsidRDefault="009753E1" w:rsidP="00F05B62">
      <w:pPr>
        <w:pStyle w:val="SingleTxtG"/>
        <w:rPr>
          <w:lang w:val="de-DE"/>
        </w:rPr>
      </w:pPr>
      <w:r w:rsidRPr="00AF0D45">
        <w:rPr>
          <w:lang w:val="de-DE"/>
        </w:rPr>
        <w:t>43.</w:t>
      </w:r>
      <w:r w:rsidRPr="00AF0D45">
        <w:rPr>
          <w:lang w:val="de-DE"/>
        </w:rPr>
        <w:tab/>
      </w:r>
      <w:r w:rsidR="00D37D1E" w:rsidRPr="00AF0D45">
        <w:rPr>
          <w:lang w:val="de-DE"/>
        </w:rPr>
        <w:t>Nach einigen Diskussionen beschloss der Sicherheitsausschuss, die Prüfung der in den Dokumenten Deutschlands und des Sekretariats aufgeworfenen Fragen der informellen Arbeitsgruppe „Stoffe“ zu übertragen.</w:t>
      </w:r>
      <w:r w:rsidRPr="00AF0D45">
        <w:rPr>
          <w:lang w:val="de-DE"/>
        </w:rPr>
        <w:t xml:space="preserve"> </w:t>
      </w:r>
      <w:r w:rsidR="00D37D1E" w:rsidRPr="00AF0D45">
        <w:rPr>
          <w:lang w:val="de-DE"/>
        </w:rPr>
        <w:t>Die informelle Arbeitsgruppe soll insbesondere Folgendes prüfen:</w:t>
      </w:r>
    </w:p>
    <w:p w14:paraId="6F826B0B" w14:textId="622E9B1E" w:rsidR="009753E1" w:rsidRPr="00AF0D45" w:rsidRDefault="00D37D1E" w:rsidP="00F05B62">
      <w:pPr>
        <w:pStyle w:val="SingleTxtG"/>
        <w:ind w:firstLine="567"/>
        <w:rPr>
          <w:lang w:val="de-DE"/>
        </w:rPr>
      </w:pPr>
      <w:r w:rsidRPr="00AF0D45">
        <w:rPr>
          <w:lang w:val="de-DE"/>
        </w:rPr>
        <w:t>a)</w:t>
      </w:r>
      <w:r w:rsidR="009753E1" w:rsidRPr="00AF0D45">
        <w:rPr>
          <w:lang w:val="de-DE"/>
        </w:rPr>
        <w:t xml:space="preserve"> </w:t>
      </w:r>
      <w:r w:rsidR="009753E1" w:rsidRPr="00AF0D45">
        <w:rPr>
          <w:lang w:val="de-DE"/>
        </w:rPr>
        <w:tab/>
      </w:r>
      <w:r w:rsidRPr="00AF0D45">
        <w:rPr>
          <w:lang w:val="de-DE"/>
        </w:rPr>
        <w:t xml:space="preserve">die Notwendigkeit, den Wortlaut im gesamten ADN zu überarbeiten, um die Kohärenz zwischen dem Wortlaut der Begriffsbestimmung für F4-Stoffe und der Benennung und Beschreibung </w:t>
      </w:r>
      <w:r w:rsidR="00343F8F" w:rsidRPr="00AF0D45">
        <w:rPr>
          <w:lang w:val="de-DE"/>
        </w:rPr>
        <w:t>für</w:t>
      </w:r>
      <w:r w:rsidRPr="00AF0D45">
        <w:rPr>
          <w:lang w:val="de-DE"/>
        </w:rPr>
        <w:t xml:space="preserve"> 9001 sicherzustellen;</w:t>
      </w:r>
    </w:p>
    <w:p w14:paraId="79516DD1" w14:textId="4CBF789B" w:rsidR="009753E1" w:rsidRPr="00AF0D45" w:rsidRDefault="00343F8F" w:rsidP="00F05B62">
      <w:pPr>
        <w:pStyle w:val="SingleTxtG"/>
        <w:ind w:firstLine="567"/>
        <w:rPr>
          <w:lang w:val="de-DE"/>
        </w:rPr>
      </w:pPr>
      <w:r w:rsidRPr="00AF0D45">
        <w:rPr>
          <w:lang w:val="de-DE"/>
        </w:rPr>
        <w:lastRenderedPageBreak/>
        <w:t>b)</w:t>
      </w:r>
      <w:r w:rsidR="009753E1" w:rsidRPr="00AF0D45">
        <w:rPr>
          <w:lang w:val="de-DE"/>
        </w:rPr>
        <w:t xml:space="preserve"> </w:t>
      </w:r>
      <w:r w:rsidR="009753E1" w:rsidRPr="00AF0D45">
        <w:rPr>
          <w:lang w:val="de-DE"/>
        </w:rPr>
        <w:tab/>
      </w:r>
      <w:r w:rsidRPr="00AF0D45">
        <w:rPr>
          <w:lang w:val="de-DE"/>
        </w:rPr>
        <w:t xml:space="preserve">die Notwendigkeit, Missverständnisse hinsichtlich der Begriffsbestimmung für F2-Stoffe zu vermeiden, insbesondere die Verwendung von „à </w:t>
      </w:r>
      <w:proofErr w:type="spellStart"/>
      <w:r w:rsidRPr="00AF0D45">
        <w:rPr>
          <w:lang w:val="de-DE"/>
        </w:rPr>
        <w:t>chaud</w:t>
      </w:r>
      <w:proofErr w:type="spellEnd"/>
      <w:r w:rsidRPr="00AF0D45">
        <w:rPr>
          <w:lang w:val="de-DE"/>
        </w:rPr>
        <w:t>“ in der französischen Fassung, wie sie derzeit mit solchen Stoffen in Verbindung gebracht wird;</w:t>
      </w:r>
    </w:p>
    <w:p w14:paraId="43EEEFA0" w14:textId="7AD61A54" w:rsidR="009753E1" w:rsidRPr="00AF0D45" w:rsidRDefault="00343F8F" w:rsidP="00F05B62">
      <w:pPr>
        <w:pStyle w:val="SingleTxtG"/>
        <w:ind w:firstLine="567"/>
        <w:rPr>
          <w:lang w:val="de-DE"/>
        </w:rPr>
      </w:pPr>
      <w:r w:rsidRPr="00AF0D45">
        <w:rPr>
          <w:lang w:val="de-DE"/>
        </w:rPr>
        <w:t>c)</w:t>
      </w:r>
      <w:r w:rsidR="009753E1" w:rsidRPr="00AF0D45">
        <w:rPr>
          <w:lang w:val="de-DE"/>
        </w:rPr>
        <w:t xml:space="preserve"> </w:t>
      </w:r>
      <w:r w:rsidR="009753E1" w:rsidRPr="00AF0D45">
        <w:rPr>
          <w:lang w:val="de-DE"/>
        </w:rPr>
        <w:tab/>
      </w:r>
      <w:r w:rsidR="00B55108" w:rsidRPr="00AF0D45">
        <w:rPr>
          <w:lang w:val="de-DE"/>
        </w:rPr>
        <w:t>die entsprechende Terminologie, die derzeit im ADR, im RID und in den Modellvorschriften verwendet wird, soweit es um die Verwendung von „Grenzbereich“ anstelle von „Bereich“ geht;</w:t>
      </w:r>
    </w:p>
    <w:p w14:paraId="406B9AFA" w14:textId="523ABDC4" w:rsidR="009753E1" w:rsidRPr="00AF0D45" w:rsidRDefault="00F17F8A" w:rsidP="004745CC">
      <w:pPr>
        <w:pStyle w:val="SingleTxtG"/>
        <w:ind w:firstLine="567"/>
        <w:rPr>
          <w:lang w:val="de-DE"/>
        </w:rPr>
      </w:pPr>
      <w:r w:rsidRPr="00AF0D45">
        <w:rPr>
          <w:lang w:val="de-DE"/>
        </w:rPr>
        <w:t>d)</w:t>
      </w:r>
      <w:r w:rsidR="009753E1" w:rsidRPr="00AF0D45">
        <w:rPr>
          <w:lang w:val="de-DE"/>
        </w:rPr>
        <w:tab/>
      </w:r>
      <w:r w:rsidRPr="00AF0D45">
        <w:rPr>
          <w:lang w:val="de-DE"/>
        </w:rPr>
        <w:t xml:space="preserve">der Bedarf an zusätzlichen Klarstellungen </w:t>
      </w:r>
      <w:r w:rsidR="00164C4F" w:rsidRPr="00AF0D45">
        <w:rPr>
          <w:lang w:val="de-DE"/>
        </w:rPr>
        <w:t>zur</w:t>
      </w:r>
      <w:r w:rsidRPr="00AF0D45">
        <w:rPr>
          <w:lang w:val="de-DE"/>
        </w:rPr>
        <w:t xml:space="preserve"> Verwendung von K</w:t>
      </w:r>
      <w:r w:rsidR="00164C4F" w:rsidRPr="00AF0D45">
        <w:rPr>
          <w:lang w:val="de-DE"/>
        </w:rPr>
        <w:t>elvin-Grad</w:t>
      </w:r>
      <w:r w:rsidR="004745CC" w:rsidRPr="00AF0D45">
        <w:rPr>
          <w:lang w:val="de-DE"/>
        </w:rPr>
        <w:t>en</w:t>
      </w:r>
      <w:r w:rsidR="00164C4F" w:rsidRPr="00AF0D45">
        <w:rPr>
          <w:lang w:val="de-DE"/>
        </w:rPr>
        <w:t xml:space="preserve"> in Fällen, in denen „</w:t>
      </w:r>
      <w:r w:rsidR="009A1C26" w:rsidRPr="00AF0D45">
        <w:rPr>
          <w:lang w:val="de-DE"/>
        </w:rPr>
        <w:t>B</w:t>
      </w:r>
      <w:r w:rsidR="00164C4F" w:rsidRPr="00AF0D45">
        <w:rPr>
          <w:lang w:val="de-DE"/>
        </w:rPr>
        <w:t>ereich“</w:t>
      </w:r>
      <w:r w:rsidRPr="00AF0D45">
        <w:rPr>
          <w:lang w:val="de-DE"/>
        </w:rPr>
        <w:t xml:space="preserve"> impliziert</w:t>
      </w:r>
      <w:r w:rsidR="009A1C26" w:rsidRPr="00AF0D45">
        <w:rPr>
          <w:lang w:val="de-DE"/>
        </w:rPr>
        <w:t xml:space="preserve"> sein könnte</w:t>
      </w:r>
      <w:r w:rsidRPr="00AF0D45">
        <w:rPr>
          <w:lang w:val="de-DE"/>
        </w:rPr>
        <w:t xml:space="preserve">, aber nicht ausdrücklich </w:t>
      </w:r>
      <w:r w:rsidR="00164C4F" w:rsidRPr="00AF0D45">
        <w:rPr>
          <w:lang w:val="de-DE"/>
        </w:rPr>
        <w:t>erwähnt</w:t>
      </w:r>
      <w:r w:rsidR="009A1C26" w:rsidRPr="00AF0D45">
        <w:rPr>
          <w:lang w:val="de-DE"/>
        </w:rPr>
        <w:t xml:space="preserve"> ist</w:t>
      </w:r>
      <w:r w:rsidRPr="00AF0D45">
        <w:rPr>
          <w:lang w:val="de-DE"/>
        </w:rPr>
        <w:t xml:space="preserve"> (z. B. in den </w:t>
      </w:r>
      <w:r w:rsidR="009A1C26" w:rsidRPr="00AF0D45">
        <w:rPr>
          <w:lang w:val="de-DE"/>
        </w:rPr>
        <w:t>Untera</w:t>
      </w:r>
      <w:r w:rsidRPr="00AF0D45">
        <w:rPr>
          <w:lang w:val="de-DE"/>
        </w:rPr>
        <w:t xml:space="preserve">bschnitten 3.2.3.3 und 3.2.4.3, im neuen Wortlaut für Spalte 17 in </w:t>
      </w:r>
      <w:r w:rsidR="009A1C26" w:rsidRPr="00AF0D45">
        <w:rPr>
          <w:lang w:val="de-DE"/>
        </w:rPr>
        <w:t>Dokument ECE/ADN/45, in dem es heißt: „</w:t>
      </w:r>
      <w:r w:rsidR="00ED55EA" w:rsidRPr="00AF0D45">
        <w:rPr>
          <w:lang w:val="de-DE"/>
        </w:rPr>
        <w:t>für Stoffe, die beheizt befördert werden müssen bei einer Temperatur von weniger als 15 K unterhalb des Flammpunktes</w:t>
      </w:r>
      <w:r w:rsidR="009A1C26" w:rsidRPr="00AF0D45">
        <w:rPr>
          <w:lang w:val="de-DE"/>
        </w:rPr>
        <w:t>“</w:t>
      </w:r>
      <w:r w:rsidRPr="00AF0D45">
        <w:rPr>
          <w:lang w:val="de-DE"/>
        </w:rPr>
        <w:t>).</w:t>
      </w:r>
    </w:p>
    <w:p w14:paraId="7B253817" w14:textId="6C1A0F41" w:rsidR="009753E1" w:rsidRPr="00AF0D45" w:rsidRDefault="009753E1" w:rsidP="00895940">
      <w:pPr>
        <w:pStyle w:val="H23G"/>
        <w:rPr>
          <w:lang w:val="de-DE"/>
        </w:rPr>
      </w:pPr>
      <w:r w:rsidRPr="00AF0D45">
        <w:rPr>
          <w:lang w:val="de-DE"/>
        </w:rPr>
        <w:tab/>
        <w:t>3.</w:t>
      </w:r>
      <w:r w:rsidRPr="00AF0D45">
        <w:rPr>
          <w:lang w:val="de-DE"/>
        </w:rPr>
        <w:tab/>
      </w:r>
      <w:r w:rsidR="00895940" w:rsidRPr="00AF0D45">
        <w:rPr>
          <w:lang w:val="de-DE"/>
        </w:rPr>
        <w:t>Korrektur am ADN 2019</w:t>
      </w:r>
    </w:p>
    <w:p w14:paraId="5DE5D14D" w14:textId="166B6585" w:rsidR="009753E1" w:rsidRPr="00AF0D45" w:rsidRDefault="00895940" w:rsidP="00AF0D45">
      <w:pPr>
        <w:pStyle w:val="SingleTxtG"/>
        <w:tabs>
          <w:tab w:val="left" w:pos="3969"/>
        </w:tabs>
        <w:rPr>
          <w:lang w:val="de-DE"/>
        </w:rPr>
      </w:pPr>
      <w:r w:rsidRPr="00AF0D45">
        <w:rPr>
          <w:i/>
          <w:iCs/>
          <w:lang w:val="de-DE"/>
        </w:rPr>
        <w:t>Dokument:</w:t>
      </w:r>
      <w:r w:rsidR="009753E1" w:rsidRPr="00AF0D45">
        <w:rPr>
          <w:lang w:val="de-DE"/>
        </w:rPr>
        <w:t xml:space="preserve"> </w:t>
      </w:r>
      <w:r w:rsidR="009753E1" w:rsidRPr="00AF0D45">
        <w:rPr>
          <w:lang w:val="de-DE"/>
        </w:rPr>
        <w:tab/>
      </w:r>
      <w:r w:rsidR="009753E1" w:rsidRPr="00AF0D45">
        <w:rPr>
          <w:lang w:val="de-DE"/>
        </w:rPr>
        <w:tab/>
      </w:r>
      <w:r w:rsidRPr="00AF0D45">
        <w:rPr>
          <w:lang w:val="de-DE"/>
        </w:rPr>
        <w:t>ECE/TRANS/WP.15/AC.2/2018/30 (Österreich)</w:t>
      </w:r>
    </w:p>
    <w:p w14:paraId="549B560E" w14:textId="7176A072" w:rsidR="009753E1" w:rsidRPr="00AF0D45" w:rsidRDefault="009753E1" w:rsidP="004745CC">
      <w:pPr>
        <w:pStyle w:val="SingleTxtG"/>
        <w:rPr>
          <w:lang w:val="de-DE"/>
        </w:rPr>
      </w:pPr>
      <w:r w:rsidRPr="00AF0D45">
        <w:rPr>
          <w:lang w:val="de-DE"/>
        </w:rPr>
        <w:t>44.</w:t>
      </w:r>
      <w:r w:rsidRPr="00AF0D45">
        <w:rPr>
          <w:lang w:val="de-DE"/>
        </w:rPr>
        <w:tab/>
      </w:r>
      <w:r w:rsidR="00895940" w:rsidRPr="00AF0D45">
        <w:rPr>
          <w:lang w:val="de-DE"/>
        </w:rPr>
        <w:t>Der Sicherheitsausschuss stellte fest, dass der Korrekturvorschlag bereits in Dokument ECE/TRANS/WP.15/AC.2/2018/24 aufgeführt ist und bereits diskutiert und angenommen wurde (siehe Absatz 37).</w:t>
      </w:r>
    </w:p>
    <w:p w14:paraId="6641442E" w14:textId="517D2EE5" w:rsidR="009753E1" w:rsidRPr="00AF0D45" w:rsidRDefault="009753E1" w:rsidP="004745CC">
      <w:pPr>
        <w:keepNext/>
        <w:keepLines/>
        <w:tabs>
          <w:tab w:val="right" w:pos="851"/>
        </w:tabs>
        <w:spacing w:before="240" w:after="120" w:line="240" w:lineRule="exact"/>
        <w:ind w:left="1134" w:right="1134" w:hanging="1134"/>
        <w:rPr>
          <w:b/>
          <w:lang w:val="de-DE"/>
        </w:rPr>
      </w:pPr>
      <w:r w:rsidRPr="00AF0D45">
        <w:rPr>
          <w:b/>
          <w:lang w:val="de-DE"/>
        </w:rPr>
        <w:tab/>
        <w:t>4.</w:t>
      </w:r>
      <w:r w:rsidRPr="00AF0D45">
        <w:rPr>
          <w:b/>
          <w:lang w:val="de-DE"/>
        </w:rPr>
        <w:tab/>
      </w:r>
      <w:r w:rsidR="00895940" w:rsidRPr="00AF0D45">
        <w:rPr>
          <w:b/>
          <w:lang w:val="de-DE"/>
        </w:rPr>
        <w:t>Beiboote (7.2.3.29.1)</w:t>
      </w:r>
    </w:p>
    <w:p w14:paraId="70E18488" w14:textId="2D1F28B6" w:rsidR="009753E1" w:rsidRPr="00AF0D45" w:rsidRDefault="00895940" w:rsidP="00AF0D45">
      <w:pPr>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lang w:val="de-DE" w:eastAsia="zh-CN"/>
        </w:rPr>
        <w:t xml:space="preserve"> </w:t>
      </w:r>
      <w:r w:rsidR="009753E1" w:rsidRPr="00AF0D45">
        <w:rPr>
          <w:rFonts w:eastAsia="SimSun"/>
          <w:lang w:val="de-DE" w:eastAsia="zh-CN"/>
        </w:rPr>
        <w:tab/>
      </w:r>
      <w:r w:rsidR="009753E1" w:rsidRPr="00AF0D45">
        <w:rPr>
          <w:rFonts w:eastAsia="SimSun"/>
          <w:lang w:val="de-DE" w:eastAsia="zh-CN"/>
        </w:rPr>
        <w:tab/>
      </w:r>
      <w:r w:rsidRPr="00AF0D45">
        <w:rPr>
          <w:rFonts w:eastAsia="SimSun"/>
          <w:lang w:val="de-DE" w:eastAsia="zh-CN"/>
        </w:rPr>
        <w:t>ECE/TRANS/WP.15/AC.2/2018/31 (Deutschland)</w:t>
      </w:r>
    </w:p>
    <w:p w14:paraId="16A63DDC" w14:textId="4F56295F" w:rsidR="009753E1" w:rsidRPr="00AF0D45" w:rsidRDefault="00895940" w:rsidP="00AF0D45">
      <w:pPr>
        <w:tabs>
          <w:tab w:val="left" w:pos="3969"/>
        </w:tabs>
        <w:spacing w:after="120"/>
        <w:ind w:left="1134" w:right="1134"/>
        <w:jc w:val="both"/>
        <w:rPr>
          <w:rFonts w:eastAsia="SimSun"/>
          <w:lang w:val="de-DE" w:eastAsia="zh-CN"/>
        </w:rPr>
      </w:pPr>
      <w:bookmarkStart w:id="15" w:name="_Hlk523140809"/>
      <w:r w:rsidRPr="00AF0D45">
        <w:rPr>
          <w:rFonts w:eastAsia="SimSun"/>
          <w:i/>
          <w:iCs/>
          <w:lang w:val="de-DE" w:eastAsia="zh-CN"/>
        </w:rPr>
        <w:t>Informelles Dokument:</w:t>
      </w:r>
      <w:r w:rsidR="009753E1" w:rsidRPr="00AF0D45">
        <w:rPr>
          <w:rFonts w:eastAsia="SimSun"/>
          <w:i/>
          <w:iCs/>
          <w:lang w:val="de-DE" w:eastAsia="zh-CN"/>
        </w:rPr>
        <w:tab/>
      </w:r>
      <w:r w:rsidRPr="00AF0D45">
        <w:rPr>
          <w:rFonts w:eastAsia="SimSun"/>
          <w:lang w:val="de-DE" w:eastAsia="zh-CN"/>
        </w:rPr>
        <w:t>INF.16 (Deutschland)</w:t>
      </w:r>
    </w:p>
    <w:p w14:paraId="029FDC7E" w14:textId="11892106" w:rsidR="009753E1" w:rsidRPr="00AF0D45" w:rsidRDefault="009753E1" w:rsidP="004745CC">
      <w:pPr>
        <w:spacing w:after="120"/>
        <w:ind w:left="1134" w:right="1134"/>
        <w:jc w:val="both"/>
        <w:rPr>
          <w:rFonts w:eastAsia="SimSun"/>
          <w:lang w:val="de-DE" w:eastAsia="zh-CN"/>
        </w:rPr>
      </w:pPr>
      <w:r w:rsidRPr="00AF0D45">
        <w:rPr>
          <w:rFonts w:eastAsia="SimSun"/>
          <w:lang w:val="de-DE" w:eastAsia="zh-CN"/>
        </w:rPr>
        <w:t>45.</w:t>
      </w:r>
      <w:r w:rsidRPr="00AF0D45">
        <w:rPr>
          <w:rFonts w:eastAsia="SimSun"/>
          <w:lang w:val="de-DE" w:eastAsia="zh-CN"/>
        </w:rPr>
        <w:tab/>
      </w:r>
      <w:r w:rsidR="00243EEA" w:rsidRPr="00AF0D45">
        <w:rPr>
          <w:rFonts w:eastAsia="SimSun"/>
          <w:lang w:val="de-DE" w:eastAsia="zh-CN"/>
        </w:rPr>
        <w:t>Der Sicherheitsausschuss konnte keinen Konsens über den Vorschlag in der vorliegenden Fassung erzielen.</w:t>
      </w:r>
      <w:r w:rsidRPr="00AF0D45">
        <w:rPr>
          <w:rFonts w:eastAsia="SimSun"/>
          <w:lang w:val="de-DE" w:eastAsia="zh-CN"/>
        </w:rPr>
        <w:t xml:space="preserve"> </w:t>
      </w:r>
      <w:r w:rsidR="000E0538" w:rsidRPr="00AF0D45">
        <w:rPr>
          <w:rFonts w:eastAsia="SimSun"/>
          <w:lang w:val="de-DE" w:eastAsia="zh-CN"/>
        </w:rPr>
        <w:t xml:space="preserve">Eine Delegation </w:t>
      </w:r>
      <w:r w:rsidR="00155E2C" w:rsidRPr="00AF0D45">
        <w:rPr>
          <w:rFonts w:eastAsia="SimSun"/>
          <w:lang w:val="de-DE" w:eastAsia="zh-CN"/>
        </w:rPr>
        <w:t>kritisierte</w:t>
      </w:r>
      <w:r w:rsidR="000E0538" w:rsidRPr="00AF0D45">
        <w:rPr>
          <w:rFonts w:eastAsia="SimSun"/>
          <w:lang w:val="de-DE" w:eastAsia="zh-CN"/>
        </w:rPr>
        <w:t xml:space="preserve"> das Fehlen einer sicherheitstechnischen Begründung und das Fehlen einer Risikobewertung zur Unterstützung des Vorschlags.</w:t>
      </w:r>
      <w:r w:rsidRPr="00AF0D45">
        <w:rPr>
          <w:rFonts w:eastAsia="SimSun"/>
          <w:lang w:val="de-DE" w:eastAsia="zh-CN"/>
        </w:rPr>
        <w:t xml:space="preserve"> </w:t>
      </w:r>
      <w:r w:rsidR="000E0538" w:rsidRPr="00AF0D45">
        <w:rPr>
          <w:rFonts w:eastAsia="SimSun"/>
          <w:lang w:val="de-DE" w:eastAsia="zh-CN"/>
        </w:rPr>
        <w:t>Andere waren der Ansicht, dass der Verweis auf Texte, die nur innerhalb der Europäischen Union verbindlich sind (z.</w:t>
      </w:r>
      <w:r w:rsidR="00B62A51" w:rsidRPr="00AF0D45">
        <w:rPr>
          <w:rFonts w:eastAsia="SimSun"/>
          <w:lang w:val="de-DE" w:eastAsia="zh-CN"/>
        </w:rPr>
        <w:t> </w:t>
      </w:r>
      <w:r w:rsidR="000E0538" w:rsidRPr="00AF0D45">
        <w:rPr>
          <w:rFonts w:eastAsia="SimSun"/>
          <w:lang w:val="de-DE" w:eastAsia="zh-CN"/>
        </w:rPr>
        <w:t xml:space="preserve">B. </w:t>
      </w:r>
      <w:r w:rsidR="00B62A51" w:rsidRPr="00AF0D45">
        <w:rPr>
          <w:rFonts w:eastAsia="SimSun"/>
          <w:lang w:val="de-DE" w:eastAsia="zh-CN"/>
        </w:rPr>
        <w:t>e</w:t>
      </w:r>
      <w:r w:rsidR="000E0538" w:rsidRPr="00AF0D45">
        <w:rPr>
          <w:rFonts w:eastAsia="SimSun"/>
          <w:lang w:val="de-DE" w:eastAsia="zh-CN"/>
        </w:rPr>
        <w:t>uropäische Richtlinien), durch einen Verweis auf nationales Recht ersetzt werden sollte, um die Umsetzung in Nicht-EU-Mitgliedstaaten zu erleichtern.</w:t>
      </w:r>
      <w:r w:rsidRPr="00AF0D45">
        <w:rPr>
          <w:rFonts w:eastAsia="SimSun"/>
          <w:lang w:val="de-DE" w:eastAsia="zh-CN"/>
        </w:rPr>
        <w:t xml:space="preserve"> </w:t>
      </w:r>
    </w:p>
    <w:p w14:paraId="49DA90C2" w14:textId="7B357F1D" w:rsidR="009753E1" w:rsidRPr="00AF0D45" w:rsidRDefault="009753E1" w:rsidP="004745CC">
      <w:pPr>
        <w:spacing w:after="120"/>
        <w:ind w:left="1134" w:right="1134"/>
        <w:jc w:val="both"/>
        <w:rPr>
          <w:rFonts w:eastAsia="SimSun"/>
          <w:lang w:val="de-DE" w:eastAsia="zh-CN"/>
        </w:rPr>
      </w:pPr>
      <w:r w:rsidRPr="00AF0D45">
        <w:rPr>
          <w:rFonts w:eastAsia="SimSun"/>
          <w:lang w:val="de-DE" w:eastAsia="zh-CN"/>
        </w:rPr>
        <w:t>46.</w:t>
      </w:r>
      <w:r w:rsidRPr="00AF0D45">
        <w:rPr>
          <w:rFonts w:eastAsia="SimSun"/>
          <w:lang w:val="de-DE" w:eastAsia="zh-CN"/>
        </w:rPr>
        <w:tab/>
      </w:r>
      <w:r w:rsidR="00B62A51" w:rsidRPr="00AF0D45">
        <w:rPr>
          <w:rFonts w:eastAsia="SimSun"/>
          <w:lang w:val="de-DE" w:eastAsia="zh-CN"/>
        </w:rPr>
        <w:t>Wieder andere baten um Klärung der Zielsetzung des Vorschlags, d. h. ob die vorgeschlagenen Rettungsflöße eine Alternative zu de</w:t>
      </w:r>
      <w:r w:rsidR="00835F36" w:rsidRPr="00AF0D45">
        <w:rPr>
          <w:rFonts w:eastAsia="SimSun"/>
          <w:lang w:val="de-DE" w:eastAsia="zh-CN"/>
        </w:rPr>
        <w:t>n</w:t>
      </w:r>
      <w:r w:rsidR="00B62A51" w:rsidRPr="00AF0D45">
        <w:rPr>
          <w:rFonts w:eastAsia="SimSun"/>
          <w:lang w:val="de-DE" w:eastAsia="zh-CN"/>
        </w:rPr>
        <w:t xml:space="preserve"> Beiboot</w:t>
      </w:r>
      <w:r w:rsidR="00835F36" w:rsidRPr="00AF0D45">
        <w:rPr>
          <w:rFonts w:eastAsia="SimSun"/>
          <w:lang w:val="de-DE" w:eastAsia="zh-CN"/>
        </w:rPr>
        <w:t>en</w:t>
      </w:r>
      <w:r w:rsidR="00B62A51" w:rsidRPr="00AF0D45">
        <w:rPr>
          <w:rFonts w:eastAsia="SimSun"/>
          <w:lang w:val="de-DE" w:eastAsia="zh-CN"/>
        </w:rPr>
        <w:t xml:space="preserve"> darstellen</w:t>
      </w:r>
      <w:r w:rsidR="004745CC" w:rsidRPr="00AF0D45">
        <w:rPr>
          <w:rFonts w:eastAsia="SimSun"/>
          <w:lang w:val="de-DE" w:eastAsia="zh-CN"/>
        </w:rPr>
        <w:t xml:space="preserve"> sollen</w:t>
      </w:r>
      <w:r w:rsidR="00B62A51" w:rsidRPr="00AF0D45">
        <w:rPr>
          <w:rFonts w:eastAsia="SimSun"/>
          <w:lang w:val="de-DE" w:eastAsia="zh-CN"/>
        </w:rPr>
        <w:t xml:space="preserve">, </w:t>
      </w:r>
      <w:r w:rsidR="00835F36" w:rsidRPr="00AF0D45">
        <w:rPr>
          <w:rFonts w:eastAsia="SimSun"/>
          <w:lang w:val="de-DE" w:eastAsia="zh-CN"/>
        </w:rPr>
        <w:t>die</w:t>
      </w:r>
      <w:r w:rsidR="00B62A51" w:rsidRPr="00AF0D45">
        <w:rPr>
          <w:rFonts w:eastAsia="SimSun"/>
          <w:lang w:val="de-DE" w:eastAsia="zh-CN"/>
        </w:rPr>
        <w:t xml:space="preserve"> unter den in Absatz 7.2.3.29.1 genannten Bedingungen im Bereich der Ladung aufgestellt</w:t>
      </w:r>
      <w:r w:rsidR="00835F36" w:rsidRPr="00AF0D45">
        <w:rPr>
          <w:rFonts w:eastAsia="SimSun"/>
          <w:lang w:val="de-DE" w:eastAsia="zh-CN"/>
        </w:rPr>
        <w:t xml:space="preserve"> werden dü</w:t>
      </w:r>
      <w:r w:rsidR="00B62A51" w:rsidRPr="00AF0D45">
        <w:rPr>
          <w:rFonts w:eastAsia="SimSun"/>
          <w:lang w:val="de-DE" w:eastAsia="zh-CN"/>
        </w:rPr>
        <w:t>rf</w:t>
      </w:r>
      <w:r w:rsidR="00835F36" w:rsidRPr="00AF0D45">
        <w:rPr>
          <w:rFonts w:eastAsia="SimSun"/>
          <w:lang w:val="de-DE" w:eastAsia="zh-CN"/>
        </w:rPr>
        <w:t>en</w:t>
      </w:r>
      <w:r w:rsidR="00B62A51" w:rsidRPr="00AF0D45">
        <w:rPr>
          <w:rFonts w:eastAsia="SimSun"/>
          <w:lang w:val="de-DE" w:eastAsia="zh-CN"/>
        </w:rPr>
        <w:t>, oder ob sie diese ersetzen sollen.</w:t>
      </w:r>
      <w:r w:rsidRPr="00AF0D45">
        <w:rPr>
          <w:rFonts w:eastAsia="SimSun"/>
          <w:lang w:val="de-DE" w:eastAsia="zh-CN"/>
        </w:rPr>
        <w:t xml:space="preserve"> </w:t>
      </w:r>
      <w:r w:rsidR="00CC3E24" w:rsidRPr="00AF0D45">
        <w:rPr>
          <w:rFonts w:eastAsia="SimSun"/>
          <w:lang w:val="de-DE" w:eastAsia="zh-CN"/>
        </w:rPr>
        <w:t>Der Vertreter Deutschland</w:t>
      </w:r>
      <w:r w:rsidR="00893170" w:rsidRPr="00AF0D45">
        <w:rPr>
          <w:rFonts w:eastAsia="SimSun"/>
          <w:lang w:val="de-DE" w:eastAsia="zh-CN"/>
        </w:rPr>
        <w:t>s</w:t>
      </w:r>
      <w:r w:rsidR="00CC3E24" w:rsidRPr="00AF0D45">
        <w:rPr>
          <w:rFonts w:eastAsia="SimSun"/>
          <w:lang w:val="de-DE" w:eastAsia="zh-CN"/>
        </w:rPr>
        <w:t xml:space="preserve"> erklärt</w:t>
      </w:r>
      <w:r w:rsidR="00893170" w:rsidRPr="00AF0D45">
        <w:rPr>
          <w:rFonts w:eastAsia="SimSun"/>
          <w:lang w:val="de-DE" w:eastAsia="zh-CN"/>
        </w:rPr>
        <w:t>e</w:t>
      </w:r>
      <w:r w:rsidR="00CC3E24" w:rsidRPr="00AF0D45">
        <w:rPr>
          <w:rFonts w:eastAsia="SimSun"/>
          <w:lang w:val="de-DE" w:eastAsia="zh-CN"/>
        </w:rPr>
        <w:t xml:space="preserve">, dass der Vorschlag dem Fehlen einer ordnungsgemäßen </w:t>
      </w:r>
      <w:r w:rsidR="00893170" w:rsidRPr="00AF0D45">
        <w:rPr>
          <w:rFonts w:eastAsia="SimSun"/>
          <w:lang w:val="de-DE" w:eastAsia="zh-CN"/>
        </w:rPr>
        <w:t>Begriffsbestimmung</w:t>
      </w:r>
      <w:r w:rsidR="00CC3E24" w:rsidRPr="00AF0D45">
        <w:rPr>
          <w:rFonts w:eastAsia="SimSun"/>
          <w:lang w:val="de-DE" w:eastAsia="zh-CN"/>
        </w:rPr>
        <w:t xml:space="preserve"> </w:t>
      </w:r>
      <w:r w:rsidR="00893170" w:rsidRPr="00AF0D45">
        <w:rPr>
          <w:rFonts w:eastAsia="SimSun"/>
          <w:lang w:val="de-DE" w:eastAsia="zh-CN"/>
        </w:rPr>
        <w:t>für „Sammelrettungsmittel“</w:t>
      </w:r>
      <w:r w:rsidR="00CC3E24" w:rsidRPr="00AF0D45">
        <w:rPr>
          <w:rFonts w:eastAsia="SimSun"/>
          <w:lang w:val="de-DE" w:eastAsia="zh-CN"/>
        </w:rPr>
        <w:t xml:space="preserve"> im ADN abhelfen soll, ohne die bestehenden Anforderungen an das </w:t>
      </w:r>
      <w:r w:rsidR="00893170" w:rsidRPr="00AF0D45">
        <w:rPr>
          <w:rFonts w:eastAsia="SimSun"/>
          <w:lang w:val="de-DE" w:eastAsia="zh-CN"/>
        </w:rPr>
        <w:t>Aufstellen von Bei</w:t>
      </w:r>
      <w:r w:rsidR="00CC3E24" w:rsidRPr="00AF0D45">
        <w:rPr>
          <w:rFonts w:eastAsia="SimSun"/>
          <w:lang w:val="de-DE" w:eastAsia="zh-CN"/>
        </w:rPr>
        <w:t>booten in Absatz 7.2.3.29.1 zu ändern, d.</w:t>
      </w:r>
      <w:r w:rsidR="00893170" w:rsidRPr="00AF0D45">
        <w:rPr>
          <w:rFonts w:eastAsia="SimSun"/>
          <w:lang w:val="de-DE" w:eastAsia="zh-CN"/>
        </w:rPr>
        <w:t> h. d</w:t>
      </w:r>
      <w:r w:rsidR="00CC3E24" w:rsidRPr="00AF0D45">
        <w:rPr>
          <w:rFonts w:eastAsia="SimSun"/>
          <w:lang w:val="de-DE" w:eastAsia="zh-CN"/>
        </w:rPr>
        <w:t xml:space="preserve">as Rettungsboot sollte immer außerhalb des </w:t>
      </w:r>
      <w:r w:rsidR="00893170" w:rsidRPr="00AF0D45">
        <w:rPr>
          <w:rFonts w:eastAsia="SimSun"/>
          <w:lang w:val="de-DE" w:eastAsia="zh-CN"/>
        </w:rPr>
        <w:t>Bereichs der Ladung</w:t>
      </w:r>
      <w:r w:rsidR="00CC3E24" w:rsidRPr="00AF0D45">
        <w:rPr>
          <w:rFonts w:eastAsia="SimSun"/>
          <w:lang w:val="de-DE" w:eastAsia="zh-CN"/>
        </w:rPr>
        <w:t xml:space="preserve"> verstaut werden, </w:t>
      </w:r>
      <w:r w:rsidR="002019A4" w:rsidRPr="00AF0D45">
        <w:rPr>
          <w:rFonts w:eastAsia="SimSun"/>
          <w:lang w:val="de-DE" w:eastAsia="zh-CN"/>
        </w:rPr>
        <w:t>außer</w:t>
      </w:r>
      <w:r w:rsidR="00CC3E24" w:rsidRPr="00AF0D45">
        <w:rPr>
          <w:rFonts w:eastAsia="SimSun"/>
          <w:lang w:val="de-DE" w:eastAsia="zh-CN"/>
        </w:rPr>
        <w:t xml:space="preserve"> dies </w:t>
      </w:r>
      <w:r w:rsidR="003C047B" w:rsidRPr="00AF0D45">
        <w:rPr>
          <w:rFonts w:eastAsia="SimSun"/>
          <w:lang w:val="de-DE" w:eastAsia="zh-CN"/>
        </w:rPr>
        <w:t>ist</w:t>
      </w:r>
      <w:r w:rsidR="00CC3E24" w:rsidRPr="00AF0D45">
        <w:rPr>
          <w:rFonts w:eastAsia="SimSun"/>
          <w:lang w:val="de-DE" w:eastAsia="zh-CN"/>
        </w:rPr>
        <w:t xml:space="preserve"> z.</w:t>
      </w:r>
      <w:r w:rsidR="003C047B" w:rsidRPr="00AF0D45">
        <w:rPr>
          <w:rFonts w:eastAsia="SimSun"/>
          <w:lang w:val="de-DE" w:eastAsia="zh-CN"/>
        </w:rPr>
        <w:t> </w:t>
      </w:r>
      <w:r w:rsidR="00CC3E24" w:rsidRPr="00AF0D45">
        <w:rPr>
          <w:rFonts w:eastAsia="SimSun"/>
          <w:lang w:val="de-DE" w:eastAsia="zh-CN"/>
        </w:rPr>
        <w:t xml:space="preserve">B. aufgrund seiner Größe und Konstruktion </w:t>
      </w:r>
      <w:r w:rsidR="002019A4" w:rsidRPr="00AF0D45">
        <w:rPr>
          <w:rFonts w:eastAsia="SimSun"/>
          <w:lang w:val="de-DE" w:eastAsia="zh-CN"/>
        </w:rPr>
        <w:t xml:space="preserve">nicht möglich, </w:t>
      </w:r>
      <w:r w:rsidR="00CC3E24" w:rsidRPr="00AF0D45">
        <w:rPr>
          <w:rFonts w:eastAsia="SimSun"/>
          <w:lang w:val="de-DE" w:eastAsia="zh-CN"/>
        </w:rPr>
        <w:t xml:space="preserve">in welchem Fall alternativ zusätzliche </w:t>
      </w:r>
      <w:r w:rsidR="003C047B" w:rsidRPr="00AF0D45">
        <w:rPr>
          <w:rFonts w:eastAsia="SimSun"/>
          <w:lang w:val="de-DE" w:eastAsia="zh-CN"/>
        </w:rPr>
        <w:t xml:space="preserve">Sammelrettungsmittel </w:t>
      </w:r>
      <w:r w:rsidR="00CC3E24" w:rsidRPr="00AF0D45">
        <w:rPr>
          <w:rFonts w:eastAsia="SimSun"/>
          <w:lang w:val="de-DE" w:eastAsia="zh-CN"/>
        </w:rPr>
        <w:t xml:space="preserve">außerhalb des </w:t>
      </w:r>
      <w:r w:rsidR="003C047B" w:rsidRPr="00AF0D45">
        <w:rPr>
          <w:rFonts w:eastAsia="SimSun"/>
          <w:lang w:val="de-DE" w:eastAsia="zh-CN"/>
        </w:rPr>
        <w:t xml:space="preserve">Bereichs der </w:t>
      </w:r>
      <w:r w:rsidR="00CC3E24" w:rsidRPr="00AF0D45">
        <w:rPr>
          <w:rFonts w:eastAsia="SimSun"/>
          <w:lang w:val="de-DE" w:eastAsia="zh-CN"/>
        </w:rPr>
        <w:t>Lad</w:t>
      </w:r>
      <w:r w:rsidR="003C047B" w:rsidRPr="00AF0D45">
        <w:rPr>
          <w:rFonts w:eastAsia="SimSun"/>
          <w:lang w:val="de-DE" w:eastAsia="zh-CN"/>
        </w:rPr>
        <w:t>ung erforderlich s</w:t>
      </w:r>
      <w:r w:rsidR="00CC3E24" w:rsidRPr="00AF0D45">
        <w:rPr>
          <w:rFonts w:eastAsia="SimSun"/>
          <w:lang w:val="de-DE" w:eastAsia="zh-CN"/>
        </w:rPr>
        <w:t>in</w:t>
      </w:r>
      <w:r w:rsidR="003C047B" w:rsidRPr="00AF0D45">
        <w:rPr>
          <w:rFonts w:eastAsia="SimSun"/>
          <w:lang w:val="de-DE" w:eastAsia="zh-CN"/>
        </w:rPr>
        <w:t>d</w:t>
      </w:r>
      <w:r w:rsidR="00CC3E24" w:rsidRPr="00AF0D45">
        <w:rPr>
          <w:rFonts w:eastAsia="SimSun"/>
          <w:lang w:val="de-DE" w:eastAsia="zh-CN"/>
        </w:rPr>
        <w:t>.</w:t>
      </w:r>
      <w:r w:rsidRPr="00AF0D45">
        <w:rPr>
          <w:rFonts w:eastAsia="SimSun"/>
          <w:lang w:val="de-DE" w:eastAsia="zh-CN"/>
        </w:rPr>
        <w:t xml:space="preserve"> </w:t>
      </w:r>
    </w:p>
    <w:p w14:paraId="60F04B27" w14:textId="4CFD03EF" w:rsidR="009753E1" w:rsidRPr="00AF0D45" w:rsidRDefault="009753E1" w:rsidP="004745CC">
      <w:pPr>
        <w:spacing w:after="120"/>
        <w:ind w:left="1134" w:right="1134"/>
        <w:jc w:val="both"/>
        <w:rPr>
          <w:rFonts w:eastAsia="SimSun"/>
          <w:lang w:val="de-DE" w:eastAsia="zh-CN"/>
        </w:rPr>
      </w:pPr>
      <w:r w:rsidRPr="00AF0D45">
        <w:rPr>
          <w:rFonts w:eastAsia="SimSun"/>
          <w:lang w:val="de-DE" w:eastAsia="zh-CN"/>
        </w:rPr>
        <w:t>47.</w:t>
      </w:r>
      <w:r w:rsidRPr="00AF0D45">
        <w:rPr>
          <w:rFonts w:eastAsia="SimSun"/>
          <w:lang w:val="de-DE" w:eastAsia="zh-CN"/>
        </w:rPr>
        <w:tab/>
      </w:r>
      <w:r w:rsidR="002019A4" w:rsidRPr="00AF0D45">
        <w:rPr>
          <w:rFonts w:eastAsia="SimSun"/>
          <w:lang w:val="de-DE" w:eastAsia="zh-CN"/>
        </w:rPr>
        <w:t>Einige fragten, ob ein Beiboot unter allen Umständen als geeignetes Mittel zur Evakuierung von Gefahrgutschiffen betrachtet werden kann.</w:t>
      </w:r>
      <w:r w:rsidRPr="00AF0D45">
        <w:rPr>
          <w:rFonts w:eastAsia="SimSun"/>
          <w:lang w:val="de-DE" w:eastAsia="zh-CN"/>
        </w:rPr>
        <w:t xml:space="preserve"> </w:t>
      </w:r>
      <w:r w:rsidR="007B69AC" w:rsidRPr="00AF0D45">
        <w:rPr>
          <w:rFonts w:eastAsia="SimSun"/>
          <w:lang w:val="de-DE" w:eastAsia="zh-CN"/>
        </w:rPr>
        <w:t xml:space="preserve">Andere </w:t>
      </w:r>
      <w:r w:rsidR="005E5D62" w:rsidRPr="00AF0D45">
        <w:rPr>
          <w:rFonts w:eastAsia="SimSun"/>
          <w:lang w:val="de-DE" w:eastAsia="zh-CN"/>
        </w:rPr>
        <w:t>merkten an</w:t>
      </w:r>
      <w:r w:rsidR="007B69AC" w:rsidRPr="00AF0D45">
        <w:rPr>
          <w:rFonts w:eastAsia="SimSun"/>
          <w:lang w:val="de-DE" w:eastAsia="zh-CN"/>
        </w:rPr>
        <w:t xml:space="preserve">, dass die Begriffsbestimmung für „Sammelrettungsmittel“, die </w:t>
      </w:r>
      <w:r w:rsidR="005E5D62" w:rsidRPr="00AF0D45">
        <w:rPr>
          <w:rFonts w:eastAsia="SimSun"/>
          <w:lang w:val="de-DE" w:eastAsia="zh-CN"/>
        </w:rPr>
        <w:t xml:space="preserve">aus dem für Fahrgastschiffe geltenden </w:t>
      </w:r>
      <w:r w:rsidR="007B69AC" w:rsidRPr="00AF0D45">
        <w:rPr>
          <w:rFonts w:eastAsia="SimSun"/>
          <w:lang w:val="de-DE" w:eastAsia="zh-CN"/>
        </w:rPr>
        <w:t>ES-TRIN</w:t>
      </w:r>
      <w:r w:rsidR="005E5D62" w:rsidRPr="00AF0D45">
        <w:rPr>
          <w:rFonts w:eastAsia="SimSun"/>
          <w:lang w:val="de-DE" w:eastAsia="zh-CN"/>
        </w:rPr>
        <w:t xml:space="preserve"> stammt, </w:t>
      </w:r>
      <w:r w:rsidR="007B69AC" w:rsidRPr="00AF0D45">
        <w:rPr>
          <w:rFonts w:eastAsia="SimSun"/>
          <w:lang w:val="de-DE" w:eastAsia="zh-CN"/>
        </w:rPr>
        <w:t>für Frachtschiffe möglicherweise nicht geeignet sei, und schlugen vor, eine spezifische Begriffsbestimmung für die Zwecke des ADN zu entwickeln.</w:t>
      </w:r>
      <w:r w:rsidRPr="00AF0D45">
        <w:rPr>
          <w:rFonts w:eastAsia="SimSun"/>
          <w:lang w:val="de-DE" w:eastAsia="zh-CN"/>
        </w:rPr>
        <w:t xml:space="preserve"> </w:t>
      </w:r>
    </w:p>
    <w:p w14:paraId="7D7FFE7E" w14:textId="5BE5F938" w:rsidR="009753E1" w:rsidRPr="00AF0D45" w:rsidRDefault="009753E1" w:rsidP="004745CC">
      <w:pPr>
        <w:spacing w:after="120"/>
        <w:ind w:left="1134" w:right="1134"/>
        <w:jc w:val="both"/>
        <w:rPr>
          <w:rFonts w:eastAsia="SimSun"/>
          <w:lang w:val="de-DE" w:eastAsia="zh-CN"/>
        </w:rPr>
      </w:pPr>
      <w:r w:rsidRPr="00AF0D45">
        <w:rPr>
          <w:rFonts w:eastAsia="SimSun"/>
          <w:lang w:val="de-DE" w:eastAsia="zh-CN"/>
        </w:rPr>
        <w:t>48.</w:t>
      </w:r>
      <w:r w:rsidRPr="00AF0D45">
        <w:rPr>
          <w:rFonts w:eastAsia="SimSun"/>
          <w:lang w:val="de-DE" w:eastAsia="zh-CN"/>
        </w:rPr>
        <w:tab/>
      </w:r>
      <w:r w:rsidR="00FA45CB" w:rsidRPr="00AF0D45">
        <w:rPr>
          <w:rFonts w:eastAsia="SimSun"/>
          <w:lang w:val="de-DE" w:eastAsia="zh-CN"/>
        </w:rPr>
        <w:t xml:space="preserve">Im Lichte der Diskussionen erklärten sich die Vertreter der EBU und Deutschlands bereit, den Vorschlag für die nächste Sitzung zu überarbeiten und dabei alle </w:t>
      </w:r>
      <w:r w:rsidR="00D007A3" w:rsidRPr="00AF0D45">
        <w:rPr>
          <w:rFonts w:eastAsia="SimSun"/>
          <w:lang w:val="de-DE" w:eastAsia="zh-CN"/>
        </w:rPr>
        <w:t xml:space="preserve">geäußerten </w:t>
      </w:r>
      <w:r w:rsidR="00FA45CB" w:rsidRPr="00AF0D45">
        <w:rPr>
          <w:rFonts w:eastAsia="SimSun"/>
          <w:lang w:val="de-DE" w:eastAsia="zh-CN"/>
        </w:rPr>
        <w:t>Bemerkungen zu berücksichtigen.</w:t>
      </w:r>
    </w:p>
    <w:bookmarkEnd w:id="15"/>
    <w:p w14:paraId="3253141F" w14:textId="2DE88E07" w:rsidR="009753E1" w:rsidRPr="00AF0D45" w:rsidRDefault="009753E1" w:rsidP="004745CC">
      <w:pPr>
        <w:keepNext/>
        <w:keepLines/>
        <w:tabs>
          <w:tab w:val="right" w:pos="851"/>
        </w:tabs>
        <w:spacing w:before="240" w:after="120" w:line="240" w:lineRule="exact"/>
        <w:ind w:left="1134" w:right="1134" w:hanging="1134"/>
        <w:rPr>
          <w:b/>
          <w:lang w:val="de-DE"/>
        </w:rPr>
      </w:pPr>
      <w:r w:rsidRPr="00AF0D45">
        <w:rPr>
          <w:b/>
          <w:lang w:val="de-DE"/>
        </w:rPr>
        <w:lastRenderedPageBreak/>
        <w:tab/>
        <w:t>5.</w:t>
      </w:r>
      <w:r w:rsidRPr="00AF0D45">
        <w:rPr>
          <w:b/>
          <w:lang w:val="de-DE"/>
        </w:rPr>
        <w:tab/>
      </w:r>
      <w:r w:rsidR="00D007A3" w:rsidRPr="00AF0D45">
        <w:rPr>
          <w:b/>
          <w:lang w:val="de-DE"/>
        </w:rPr>
        <w:t>Änderungen betreffend den Explosionsschutz auf Binnentankschiffen</w:t>
      </w:r>
    </w:p>
    <w:p w14:paraId="3837B5EA" w14:textId="1629599F" w:rsidR="009753E1" w:rsidRPr="00AF0D45" w:rsidRDefault="00D007A3" w:rsidP="00AF0D45">
      <w:pPr>
        <w:keepNext/>
        <w:keepLines/>
        <w:tabs>
          <w:tab w:val="left" w:pos="3969"/>
        </w:tabs>
        <w:spacing w:after="120"/>
        <w:ind w:left="3969" w:right="1134" w:hanging="2835"/>
        <w:jc w:val="both"/>
        <w:rPr>
          <w:rFonts w:eastAsia="SimSun"/>
          <w:lang w:val="de-DE" w:eastAsia="zh-CN"/>
        </w:rPr>
      </w:pPr>
      <w:r w:rsidRPr="00AF0D45">
        <w:rPr>
          <w:rFonts w:eastAsia="SimSun"/>
          <w:i/>
          <w:iCs/>
          <w:lang w:val="de-DE" w:eastAsia="zh-CN"/>
        </w:rPr>
        <w:t>Dokumente:</w:t>
      </w:r>
      <w:r w:rsidR="009753E1" w:rsidRPr="00AF0D45">
        <w:rPr>
          <w:rFonts w:eastAsia="SimSun"/>
          <w:lang w:val="de-DE" w:eastAsia="zh-CN"/>
        </w:rPr>
        <w:t xml:space="preserve"> </w:t>
      </w:r>
      <w:r w:rsidR="009753E1" w:rsidRPr="00AF0D45">
        <w:rPr>
          <w:rFonts w:eastAsia="SimSun"/>
          <w:lang w:val="de-DE" w:eastAsia="zh-CN"/>
        </w:rPr>
        <w:tab/>
      </w:r>
      <w:r w:rsidR="009753E1" w:rsidRPr="00AF0D45">
        <w:rPr>
          <w:rFonts w:eastAsia="SimSun"/>
          <w:lang w:val="de-DE" w:eastAsia="zh-CN"/>
        </w:rPr>
        <w:tab/>
      </w:r>
      <w:r w:rsidRPr="00AF0D45">
        <w:rPr>
          <w:rFonts w:eastAsia="SimSun"/>
          <w:lang w:val="de-DE" w:eastAsia="zh-CN"/>
        </w:rPr>
        <w:t>ECE/TRANS/WP.15/AC.2/2018/32 und Corr.1 (Deutschland)</w:t>
      </w:r>
    </w:p>
    <w:p w14:paraId="4C4AA4E1" w14:textId="2690D56A" w:rsidR="009753E1" w:rsidRPr="00AF0D45" w:rsidRDefault="009753E1" w:rsidP="004745CC">
      <w:pPr>
        <w:keepNext/>
        <w:keepLines/>
        <w:spacing w:after="120"/>
        <w:ind w:left="1134" w:right="1134"/>
        <w:jc w:val="both"/>
        <w:rPr>
          <w:rFonts w:eastAsia="SimSun"/>
          <w:lang w:val="de-DE" w:eastAsia="zh-CN"/>
        </w:rPr>
      </w:pPr>
      <w:r w:rsidRPr="00AF0D45">
        <w:rPr>
          <w:rFonts w:eastAsia="SimSun"/>
          <w:lang w:val="de-DE" w:eastAsia="zh-CN"/>
        </w:rPr>
        <w:t>49.</w:t>
      </w:r>
      <w:r w:rsidRPr="00AF0D45">
        <w:rPr>
          <w:rFonts w:eastAsia="SimSun"/>
          <w:lang w:val="de-DE" w:eastAsia="zh-CN"/>
        </w:rPr>
        <w:tab/>
      </w:r>
      <w:r w:rsidR="00D007A3" w:rsidRPr="00AF0D45">
        <w:rPr>
          <w:rFonts w:eastAsia="SimSun"/>
          <w:lang w:val="de-DE" w:eastAsia="zh-CN"/>
        </w:rPr>
        <w:t xml:space="preserve">Der Sicherheitsausschuss stellte fest, dass die Änderungen in den Absätzen 7 und 10 des Dokuments bereits in die Änderungsentwürfe zum </w:t>
      </w:r>
      <w:r w:rsidR="00155E2C" w:rsidRPr="00AF0D45">
        <w:rPr>
          <w:rFonts w:eastAsia="SimSun"/>
          <w:lang w:val="de-DE" w:eastAsia="zh-CN"/>
        </w:rPr>
        <w:t>ADN für ein Inkrafttreten am 1. </w:t>
      </w:r>
      <w:r w:rsidR="00D007A3" w:rsidRPr="00AF0D45">
        <w:rPr>
          <w:rFonts w:eastAsia="SimSun"/>
          <w:lang w:val="de-DE" w:eastAsia="zh-CN"/>
        </w:rPr>
        <w:t>Januar 2019 aufgenommen wurden (siehe ECE/ADN/45) und nahm die Vorschläge in den Absätzen 4, 6, 9 und 12 wie folgt an:</w:t>
      </w:r>
    </w:p>
    <w:p w14:paraId="66A42187" w14:textId="584B0BED" w:rsidR="009753E1" w:rsidRPr="00AF0D45" w:rsidRDefault="00D007A3" w:rsidP="004745CC">
      <w:pPr>
        <w:spacing w:after="120"/>
        <w:ind w:left="1134" w:right="1134" w:firstLine="567"/>
        <w:jc w:val="both"/>
        <w:rPr>
          <w:rFonts w:eastAsia="SimSun"/>
          <w:lang w:val="de-DE" w:eastAsia="zh-CN"/>
        </w:rPr>
      </w:pPr>
      <w:r w:rsidRPr="00AF0D45">
        <w:rPr>
          <w:rFonts w:eastAsia="SimSun"/>
          <w:lang w:val="de-DE" w:eastAsia="zh-CN"/>
        </w:rPr>
        <w:t>a)</w:t>
      </w:r>
      <w:r w:rsidR="009753E1" w:rsidRPr="00AF0D45">
        <w:rPr>
          <w:rFonts w:eastAsia="SimSun"/>
          <w:lang w:val="de-DE" w:eastAsia="zh-CN"/>
        </w:rPr>
        <w:t xml:space="preserve"> </w:t>
      </w:r>
      <w:r w:rsidR="009753E1" w:rsidRPr="00AF0D45">
        <w:rPr>
          <w:rFonts w:eastAsia="SimSun"/>
          <w:lang w:val="de-DE" w:eastAsia="zh-CN"/>
        </w:rPr>
        <w:tab/>
      </w:r>
      <w:r w:rsidR="00542017" w:rsidRPr="00AF0D45">
        <w:rPr>
          <w:rFonts w:eastAsia="SimSun"/>
          <w:lang w:val="de-DE" w:eastAsia="zh-CN"/>
        </w:rPr>
        <w:t xml:space="preserve">die </w:t>
      </w:r>
      <w:r w:rsidRPr="00AF0D45">
        <w:rPr>
          <w:rFonts w:eastAsia="SimSun"/>
          <w:lang w:val="de-DE" w:eastAsia="zh-CN"/>
        </w:rPr>
        <w:t>Vorschläge in den Absätzen 4 und 6</w:t>
      </w:r>
      <w:r w:rsidR="00542017" w:rsidRPr="00AF0D45">
        <w:rPr>
          <w:rFonts w:eastAsia="SimSun"/>
          <w:lang w:val="de-DE" w:eastAsia="zh-CN"/>
        </w:rPr>
        <w:t xml:space="preserve"> wurden</w:t>
      </w:r>
      <w:r w:rsidRPr="00AF0D45">
        <w:rPr>
          <w:rFonts w:eastAsia="SimSun"/>
          <w:lang w:val="de-DE" w:eastAsia="zh-CN"/>
        </w:rPr>
        <w:t xml:space="preserve"> als Korrekturen </w:t>
      </w:r>
      <w:r w:rsidR="00542017" w:rsidRPr="00AF0D45">
        <w:rPr>
          <w:rFonts w:eastAsia="SimSun"/>
          <w:lang w:val="de-DE" w:eastAsia="zh-CN"/>
        </w:rPr>
        <w:t>der</w:t>
      </w:r>
      <w:r w:rsidRPr="00AF0D45">
        <w:rPr>
          <w:rFonts w:eastAsia="SimSun"/>
          <w:lang w:val="de-DE" w:eastAsia="zh-CN"/>
        </w:rPr>
        <w:t xml:space="preserve"> </w:t>
      </w:r>
      <w:r w:rsidR="00542017" w:rsidRPr="00AF0D45">
        <w:rPr>
          <w:rFonts w:eastAsia="SimSun"/>
          <w:lang w:val="de-DE" w:eastAsia="zh-CN"/>
        </w:rPr>
        <w:t>Änderungse</w:t>
      </w:r>
      <w:r w:rsidRPr="00AF0D45">
        <w:rPr>
          <w:rFonts w:eastAsia="SimSun"/>
          <w:lang w:val="de-DE" w:eastAsia="zh-CN"/>
        </w:rPr>
        <w:t xml:space="preserve">ntwürfe </w:t>
      </w:r>
      <w:r w:rsidR="00542017" w:rsidRPr="00AF0D45">
        <w:rPr>
          <w:rFonts w:eastAsia="SimSun"/>
          <w:lang w:val="de-DE" w:eastAsia="zh-CN"/>
        </w:rPr>
        <w:t>zum</w:t>
      </w:r>
      <w:r w:rsidRPr="00AF0D45">
        <w:rPr>
          <w:rFonts w:eastAsia="SimSun"/>
          <w:lang w:val="de-DE" w:eastAsia="zh-CN"/>
        </w:rPr>
        <w:t xml:space="preserve"> ADN angenommen, die am 1. Januar 2019 in Kraft treten sollen (d. h. Korrekturen des Dokuments ECE/ADN/45) (siehe Anlage III);</w:t>
      </w:r>
    </w:p>
    <w:p w14:paraId="41A7376C" w14:textId="60DB70D4" w:rsidR="009753E1" w:rsidRPr="00AF0D45" w:rsidRDefault="00542017" w:rsidP="004745CC">
      <w:pPr>
        <w:spacing w:after="120"/>
        <w:ind w:left="1134" w:right="1134" w:firstLine="567"/>
        <w:jc w:val="both"/>
        <w:rPr>
          <w:rFonts w:eastAsia="SimSun"/>
          <w:lang w:val="de-DE" w:eastAsia="zh-CN"/>
        </w:rPr>
      </w:pPr>
      <w:r w:rsidRPr="00AF0D45">
        <w:rPr>
          <w:rFonts w:eastAsia="SimSun"/>
          <w:lang w:val="de-DE" w:eastAsia="zh-CN"/>
        </w:rPr>
        <w:t>b)</w:t>
      </w:r>
      <w:r w:rsidR="009753E1" w:rsidRPr="00AF0D45">
        <w:rPr>
          <w:rFonts w:eastAsia="SimSun"/>
          <w:lang w:val="de-DE" w:eastAsia="zh-CN"/>
        </w:rPr>
        <w:tab/>
      </w:r>
      <w:r w:rsidRPr="00AF0D45">
        <w:rPr>
          <w:rFonts w:eastAsia="SimSun"/>
          <w:lang w:val="de-DE" w:eastAsia="zh-CN"/>
        </w:rPr>
        <w:t>die Vorschläge in den Absätzen 9 und 12 wur</w:t>
      </w:r>
      <w:r w:rsidR="00155E2C" w:rsidRPr="00AF0D45">
        <w:rPr>
          <w:rFonts w:eastAsia="SimSun"/>
          <w:lang w:val="de-DE" w:eastAsia="zh-CN"/>
        </w:rPr>
        <w:t>den für ein Inkrafttreten am 1. </w:t>
      </w:r>
      <w:r w:rsidRPr="00AF0D45">
        <w:rPr>
          <w:rFonts w:eastAsia="SimSun"/>
          <w:lang w:val="de-DE" w:eastAsia="zh-CN"/>
        </w:rPr>
        <w:t>Januar 2021 angenommen (siehe Anlage I).</w:t>
      </w:r>
    </w:p>
    <w:p w14:paraId="4705FBFB" w14:textId="20A42AC0" w:rsidR="009753E1" w:rsidRPr="00AF0D45" w:rsidRDefault="009753E1" w:rsidP="004745CC">
      <w:pPr>
        <w:keepNext/>
        <w:keepLines/>
        <w:tabs>
          <w:tab w:val="right" w:pos="851"/>
        </w:tabs>
        <w:spacing w:before="240" w:after="120" w:line="240" w:lineRule="exact"/>
        <w:ind w:left="1134" w:right="1134" w:hanging="1134"/>
        <w:rPr>
          <w:b/>
          <w:lang w:val="de-DE"/>
        </w:rPr>
      </w:pPr>
      <w:r w:rsidRPr="00AF0D45">
        <w:rPr>
          <w:b/>
          <w:lang w:val="de-DE"/>
        </w:rPr>
        <w:tab/>
        <w:t>6.</w:t>
      </w:r>
      <w:r w:rsidRPr="00AF0D45">
        <w:rPr>
          <w:b/>
          <w:lang w:val="de-DE"/>
        </w:rPr>
        <w:tab/>
      </w:r>
      <w:r w:rsidR="00F1544A" w:rsidRPr="00AF0D45">
        <w:rPr>
          <w:b/>
          <w:lang w:val="de-DE"/>
        </w:rPr>
        <w:t>Zuordnungskriterien für die Stoffe in Unterabschnitt 3.2.4.3</w:t>
      </w:r>
    </w:p>
    <w:p w14:paraId="4BA0AC8A" w14:textId="1DB0CFFD" w:rsidR="009753E1" w:rsidRPr="00AF0D45" w:rsidRDefault="00F1544A" w:rsidP="00AF0D45">
      <w:pPr>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lang w:val="de-DE" w:eastAsia="zh-CN"/>
        </w:rPr>
        <w:t xml:space="preserve"> </w:t>
      </w:r>
      <w:r w:rsidR="009753E1" w:rsidRPr="00AF0D45">
        <w:rPr>
          <w:rFonts w:eastAsia="SimSun"/>
          <w:lang w:val="de-DE" w:eastAsia="zh-CN"/>
        </w:rPr>
        <w:tab/>
      </w:r>
      <w:r w:rsidR="009753E1" w:rsidRPr="00AF0D45">
        <w:rPr>
          <w:rFonts w:eastAsia="SimSun"/>
          <w:lang w:val="de-DE" w:eastAsia="zh-CN"/>
        </w:rPr>
        <w:tab/>
      </w:r>
      <w:r w:rsidRPr="00AF0D45">
        <w:rPr>
          <w:rFonts w:eastAsia="SimSun"/>
          <w:lang w:val="de-DE" w:eastAsia="zh-CN"/>
        </w:rPr>
        <w:t>ECE/TRANS/WP.15/AC.2/2018/34 (ZKR)</w:t>
      </w:r>
    </w:p>
    <w:p w14:paraId="6E081A99" w14:textId="64B0DEA1" w:rsidR="009753E1" w:rsidRPr="00AF0D45" w:rsidRDefault="009753E1" w:rsidP="004745CC">
      <w:pPr>
        <w:spacing w:after="120"/>
        <w:ind w:left="1134" w:right="1134"/>
        <w:jc w:val="both"/>
        <w:rPr>
          <w:rFonts w:eastAsia="SimSun"/>
          <w:lang w:val="de-DE" w:eastAsia="zh-CN"/>
        </w:rPr>
      </w:pPr>
      <w:r w:rsidRPr="00AF0D45">
        <w:rPr>
          <w:rFonts w:eastAsia="SimSun"/>
          <w:lang w:val="de-DE" w:eastAsia="zh-CN"/>
        </w:rPr>
        <w:t>50.</w:t>
      </w:r>
      <w:r w:rsidRPr="00AF0D45">
        <w:rPr>
          <w:rFonts w:eastAsia="SimSun"/>
          <w:lang w:val="de-DE" w:eastAsia="zh-CN"/>
        </w:rPr>
        <w:tab/>
      </w:r>
      <w:r w:rsidR="00F1544A" w:rsidRPr="00AF0D45">
        <w:rPr>
          <w:rFonts w:eastAsia="SimSun"/>
          <w:lang w:val="de-DE" w:eastAsia="zh-CN"/>
        </w:rPr>
        <w:t>Der Sicherheitsausschuss stellte fest, dass die Änderungen in Absatz 4 bereits in die Änderungsentwürfe zum ADN für ein Inkrafttreten am 1. Januar 2019 aufgenommen wurden (siehe ECE/ADN/45).</w:t>
      </w:r>
      <w:r w:rsidRPr="00AF0D45">
        <w:rPr>
          <w:rFonts w:eastAsia="SimSun"/>
          <w:lang w:val="de-DE" w:eastAsia="zh-CN"/>
        </w:rPr>
        <w:t xml:space="preserve"> </w:t>
      </w:r>
    </w:p>
    <w:p w14:paraId="47F15213" w14:textId="5E65D6DD" w:rsidR="009753E1" w:rsidRPr="00AF0D45" w:rsidRDefault="009753E1" w:rsidP="004745CC">
      <w:pPr>
        <w:keepNext/>
        <w:keepLines/>
        <w:tabs>
          <w:tab w:val="right" w:pos="851"/>
        </w:tabs>
        <w:spacing w:before="240" w:after="120" w:line="240" w:lineRule="exact"/>
        <w:ind w:left="1134" w:right="1134" w:hanging="1134"/>
        <w:rPr>
          <w:b/>
          <w:lang w:val="de-DE"/>
        </w:rPr>
      </w:pPr>
      <w:r w:rsidRPr="00AF0D45">
        <w:rPr>
          <w:b/>
          <w:lang w:val="de-DE"/>
        </w:rPr>
        <w:tab/>
        <w:t>7.</w:t>
      </w:r>
      <w:r w:rsidRPr="00AF0D45">
        <w:rPr>
          <w:b/>
          <w:lang w:val="de-DE"/>
        </w:rPr>
        <w:tab/>
      </w:r>
      <w:r w:rsidR="00F1544A" w:rsidRPr="00AF0D45">
        <w:rPr>
          <w:b/>
          <w:lang w:val="de-DE"/>
        </w:rPr>
        <w:t>Verwendung einer Gasrückfuhrleitung während des Löschens (1.4.3.7.1)</w:t>
      </w:r>
    </w:p>
    <w:p w14:paraId="0FE66B5C" w14:textId="03DE87BD" w:rsidR="009753E1" w:rsidRPr="00AF0D45" w:rsidRDefault="00F1544A" w:rsidP="00AF0D45">
      <w:pPr>
        <w:tabs>
          <w:tab w:val="left" w:pos="3969"/>
        </w:tabs>
        <w:spacing w:after="120"/>
        <w:ind w:left="3969" w:right="1134" w:hanging="2835"/>
        <w:jc w:val="both"/>
        <w:rPr>
          <w:rFonts w:eastAsia="SimSun"/>
          <w:b/>
          <w:bCs/>
          <w:lang w:val="de-DE" w:eastAsia="zh-CN"/>
        </w:rPr>
      </w:pPr>
      <w:r w:rsidRPr="00AF0D45">
        <w:rPr>
          <w:rFonts w:eastAsia="SimSun"/>
          <w:i/>
          <w:iCs/>
          <w:lang w:val="de-DE" w:eastAsia="zh-CN"/>
        </w:rPr>
        <w:t>Dokument:</w:t>
      </w:r>
      <w:r w:rsidR="009753E1" w:rsidRPr="00AF0D45">
        <w:rPr>
          <w:rFonts w:eastAsia="SimSun"/>
          <w:lang w:val="de-DE" w:eastAsia="zh-CN"/>
        </w:rPr>
        <w:t xml:space="preserve"> </w:t>
      </w:r>
      <w:r w:rsidR="009753E1" w:rsidRPr="00AF0D45">
        <w:rPr>
          <w:rFonts w:eastAsia="SimSun"/>
          <w:lang w:val="de-DE" w:eastAsia="zh-CN"/>
        </w:rPr>
        <w:tab/>
      </w:r>
      <w:r w:rsidR="009753E1" w:rsidRPr="00AF0D45">
        <w:rPr>
          <w:rFonts w:eastAsia="SimSun"/>
          <w:lang w:val="de-DE" w:eastAsia="zh-CN"/>
        </w:rPr>
        <w:tab/>
      </w:r>
      <w:r w:rsidRPr="00AF0D45">
        <w:rPr>
          <w:rFonts w:eastAsia="SimSun"/>
          <w:lang w:val="de-DE" w:eastAsia="zh-CN"/>
        </w:rPr>
        <w:t>ECE/TRANS/WP.1</w:t>
      </w:r>
      <w:r w:rsidR="004745CC" w:rsidRPr="00AF0D45">
        <w:rPr>
          <w:rFonts w:eastAsia="SimSun"/>
          <w:lang w:val="de-DE" w:eastAsia="zh-CN"/>
        </w:rPr>
        <w:t xml:space="preserve">5/AC.2/2018/37 (CEFIC und </w:t>
      </w:r>
      <w:proofErr w:type="spellStart"/>
      <w:r w:rsidR="004745CC" w:rsidRPr="00AF0D45">
        <w:rPr>
          <w:rFonts w:eastAsia="SimSun"/>
          <w:lang w:val="de-DE" w:eastAsia="zh-CN"/>
        </w:rPr>
        <w:t>Fuels</w:t>
      </w:r>
      <w:r w:rsidRPr="00AF0D45">
        <w:rPr>
          <w:rFonts w:eastAsia="SimSun"/>
          <w:lang w:val="de-DE" w:eastAsia="zh-CN"/>
        </w:rPr>
        <w:t>Europe</w:t>
      </w:r>
      <w:proofErr w:type="spellEnd"/>
      <w:r w:rsidRPr="00AF0D45">
        <w:rPr>
          <w:rFonts w:eastAsia="SimSun"/>
          <w:lang w:val="de-DE" w:eastAsia="zh-CN"/>
        </w:rPr>
        <w:t>)</w:t>
      </w:r>
    </w:p>
    <w:p w14:paraId="15B174B4" w14:textId="202E48F7" w:rsidR="009753E1" w:rsidRPr="00AF0D45" w:rsidRDefault="00F1544A" w:rsidP="00AF0D45">
      <w:pPr>
        <w:tabs>
          <w:tab w:val="left" w:pos="3969"/>
        </w:tabs>
        <w:spacing w:after="120"/>
        <w:ind w:left="1134" w:right="1134"/>
        <w:jc w:val="both"/>
        <w:rPr>
          <w:rFonts w:eastAsia="SimSun"/>
          <w:lang w:val="de-DE" w:eastAsia="zh-CN"/>
        </w:rPr>
      </w:pPr>
      <w:r w:rsidRPr="00AF0D45">
        <w:rPr>
          <w:rFonts w:eastAsia="SimSun"/>
          <w:i/>
          <w:iCs/>
          <w:lang w:val="de-DE" w:eastAsia="zh-CN"/>
        </w:rPr>
        <w:t>Informelles Dokument:</w:t>
      </w:r>
      <w:r w:rsidR="009753E1" w:rsidRPr="00AF0D45">
        <w:rPr>
          <w:rFonts w:eastAsia="SimSun"/>
          <w:i/>
          <w:iCs/>
          <w:lang w:val="de-DE" w:eastAsia="zh-CN"/>
        </w:rPr>
        <w:tab/>
      </w:r>
      <w:r w:rsidRPr="00AF0D45">
        <w:rPr>
          <w:rFonts w:eastAsia="SimSun"/>
          <w:lang w:val="de-DE" w:eastAsia="zh-CN"/>
        </w:rPr>
        <w:t>INF.18 (ZKR)</w:t>
      </w:r>
    </w:p>
    <w:p w14:paraId="53D6CD6B" w14:textId="3843768C" w:rsidR="009753E1" w:rsidRPr="00AF0D45" w:rsidRDefault="009753E1" w:rsidP="008D18AE">
      <w:pPr>
        <w:spacing w:after="120"/>
        <w:ind w:left="1134" w:right="1134"/>
        <w:jc w:val="both"/>
        <w:rPr>
          <w:rFonts w:eastAsia="SimSun"/>
          <w:lang w:val="de-DE" w:eastAsia="zh-CN"/>
        </w:rPr>
      </w:pPr>
      <w:r w:rsidRPr="00AF0D45">
        <w:rPr>
          <w:rFonts w:eastAsia="SimSun"/>
          <w:lang w:val="de-DE" w:eastAsia="zh-CN"/>
        </w:rPr>
        <w:t>51.</w:t>
      </w:r>
      <w:r w:rsidRPr="00AF0D45">
        <w:rPr>
          <w:rFonts w:eastAsia="SimSun"/>
          <w:lang w:val="de-DE" w:eastAsia="zh-CN"/>
        </w:rPr>
        <w:tab/>
      </w:r>
      <w:r w:rsidR="008B05D6" w:rsidRPr="00AF0D45">
        <w:rPr>
          <w:rFonts w:eastAsia="SimSun"/>
          <w:lang w:val="de-DE" w:eastAsia="zh-CN"/>
        </w:rPr>
        <w:t>Nach Prüfung der Dokumente im Plenum und während einer Pause zog der CEFIC-Vertreter den Vorschlag zurück.</w:t>
      </w:r>
      <w:r w:rsidRPr="00AF0D45">
        <w:rPr>
          <w:rFonts w:eastAsia="SimSun"/>
          <w:lang w:val="de-DE" w:eastAsia="zh-CN"/>
        </w:rPr>
        <w:t xml:space="preserve"> </w:t>
      </w:r>
    </w:p>
    <w:p w14:paraId="72936C44" w14:textId="5195359B" w:rsidR="009753E1" w:rsidRPr="00AF0D45" w:rsidRDefault="009753E1" w:rsidP="008B05D6">
      <w:pPr>
        <w:keepNext/>
        <w:keepLines/>
        <w:tabs>
          <w:tab w:val="right" w:pos="851"/>
        </w:tabs>
        <w:spacing w:before="240" w:after="120" w:line="240" w:lineRule="exact"/>
        <w:ind w:left="1134" w:right="1134" w:hanging="1134"/>
        <w:rPr>
          <w:b/>
          <w:lang w:val="de-DE"/>
        </w:rPr>
      </w:pPr>
      <w:r w:rsidRPr="00AF0D45">
        <w:rPr>
          <w:b/>
          <w:lang w:val="de-DE"/>
        </w:rPr>
        <w:tab/>
        <w:t>8.</w:t>
      </w:r>
      <w:r w:rsidRPr="00AF0D45">
        <w:rPr>
          <w:b/>
          <w:lang w:val="de-DE"/>
        </w:rPr>
        <w:tab/>
      </w:r>
      <w:r w:rsidR="008B05D6" w:rsidRPr="00AF0D45">
        <w:rPr>
          <w:b/>
          <w:lang w:val="de-DE"/>
        </w:rPr>
        <w:t>Kopfzeile der Tabelle C</w:t>
      </w:r>
    </w:p>
    <w:p w14:paraId="1CAD6A36" w14:textId="681C65A2" w:rsidR="009753E1" w:rsidRPr="00AF0D45" w:rsidRDefault="008B05D6" w:rsidP="00AF0D45">
      <w:pPr>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lang w:val="de-DE" w:eastAsia="zh-CN"/>
        </w:rPr>
        <w:t xml:space="preserve"> </w:t>
      </w:r>
      <w:r w:rsidR="009753E1" w:rsidRPr="00AF0D45">
        <w:rPr>
          <w:rFonts w:eastAsia="SimSun"/>
          <w:lang w:val="de-DE" w:eastAsia="zh-CN"/>
        </w:rPr>
        <w:tab/>
      </w:r>
      <w:r w:rsidR="009753E1" w:rsidRPr="00AF0D45">
        <w:rPr>
          <w:rFonts w:eastAsia="SimSun"/>
          <w:lang w:val="de-DE" w:eastAsia="zh-CN"/>
        </w:rPr>
        <w:tab/>
      </w:r>
      <w:r w:rsidRPr="00AF0D45">
        <w:rPr>
          <w:rFonts w:eastAsia="SimSun"/>
          <w:lang w:val="de-DE" w:eastAsia="zh-CN"/>
        </w:rPr>
        <w:t>ECE/TRANS/WP.15/AC.2/2018/38 (EBU, ESO)</w:t>
      </w:r>
    </w:p>
    <w:p w14:paraId="43D056AF" w14:textId="0F85639F" w:rsidR="009753E1" w:rsidRPr="00AF0D45" w:rsidRDefault="009753E1" w:rsidP="008D18AE">
      <w:pPr>
        <w:spacing w:after="120"/>
        <w:ind w:left="1134" w:right="1134"/>
        <w:jc w:val="both"/>
        <w:rPr>
          <w:rFonts w:eastAsia="SimSun"/>
          <w:lang w:val="de-DE" w:eastAsia="zh-CN"/>
        </w:rPr>
      </w:pPr>
      <w:r w:rsidRPr="00AF0D45">
        <w:rPr>
          <w:rFonts w:eastAsia="SimSun"/>
          <w:lang w:val="de-DE" w:eastAsia="zh-CN"/>
        </w:rPr>
        <w:t>52.</w:t>
      </w:r>
      <w:r w:rsidRPr="00AF0D45">
        <w:rPr>
          <w:rFonts w:eastAsia="SimSun"/>
          <w:lang w:val="de-DE" w:eastAsia="zh-CN"/>
        </w:rPr>
        <w:tab/>
      </w:r>
      <w:r w:rsidR="008B05D6" w:rsidRPr="00AF0D45">
        <w:rPr>
          <w:rFonts w:eastAsia="SimSun"/>
          <w:lang w:val="de-DE" w:eastAsia="zh-CN"/>
        </w:rPr>
        <w:t>Der Vorschlag wurde grundsätzlich unterstützt, aber der Sicherheitsausschuss war der Ansicht, dass die vorgeschlagenen Verweise, die in die Kopfzeile der Tabelle C des ADN aufgenommen werden sollen, weiter geprüft werden müssen, und ersuchte die Verfasser des Dokuments, die geäußerten Bemerkungen zu berücksichtigen und für die nächste Sitzung einen überarbeiteten Vorschlag vorzulegen.</w:t>
      </w:r>
    </w:p>
    <w:p w14:paraId="2A9A52D7" w14:textId="73C76B8E" w:rsidR="009753E1" w:rsidRPr="00AF0D45" w:rsidRDefault="009753E1" w:rsidP="008B05D6">
      <w:pPr>
        <w:keepNext/>
        <w:keepLines/>
        <w:tabs>
          <w:tab w:val="right" w:pos="851"/>
        </w:tabs>
        <w:spacing w:before="240" w:after="120" w:line="240" w:lineRule="exact"/>
        <w:ind w:left="1134" w:right="1134" w:hanging="1134"/>
        <w:rPr>
          <w:b/>
          <w:lang w:val="de-DE"/>
        </w:rPr>
      </w:pPr>
      <w:r w:rsidRPr="00AF0D45">
        <w:rPr>
          <w:b/>
          <w:lang w:val="de-DE"/>
        </w:rPr>
        <w:tab/>
        <w:t>9.</w:t>
      </w:r>
      <w:r w:rsidRPr="00AF0D45">
        <w:rPr>
          <w:b/>
          <w:lang w:val="de-DE"/>
        </w:rPr>
        <w:tab/>
      </w:r>
      <w:r w:rsidR="008B05D6" w:rsidRPr="00AF0D45">
        <w:rPr>
          <w:b/>
          <w:lang w:val="de-DE"/>
        </w:rPr>
        <w:t>Unstimmigkeit in den schriftlichen Weisungen</w:t>
      </w:r>
    </w:p>
    <w:p w14:paraId="7D68BEB8" w14:textId="5DE732C6" w:rsidR="009753E1" w:rsidRPr="00AF0D45" w:rsidRDefault="008B05D6" w:rsidP="0042044F">
      <w:pPr>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ECE/TRANS/WP.15/AC.2/2018/40 (EBU, ESO)</w:t>
      </w:r>
    </w:p>
    <w:p w14:paraId="36699706" w14:textId="19A2A71D" w:rsidR="009753E1" w:rsidRPr="00AF0D45" w:rsidRDefault="009753E1" w:rsidP="008B05D6">
      <w:pPr>
        <w:spacing w:after="120"/>
        <w:ind w:left="1134" w:right="1134"/>
        <w:jc w:val="both"/>
        <w:rPr>
          <w:rFonts w:eastAsia="SimSun"/>
          <w:lang w:val="de-DE" w:eastAsia="zh-CN"/>
        </w:rPr>
      </w:pPr>
      <w:r w:rsidRPr="00AF0D45">
        <w:rPr>
          <w:rFonts w:eastAsia="SimSun"/>
          <w:lang w:val="de-DE" w:eastAsia="zh-CN"/>
        </w:rPr>
        <w:t>53.</w:t>
      </w:r>
      <w:r w:rsidRPr="00AF0D45">
        <w:rPr>
          <w:rFonts w:eastAsia="SimSun"/>
          <w:lang w:val="de-DE" w:eastAsia="zh-CN"/>
        </w:rPr>
        <w:tab/>
      </w:r>
      <w:r w:rsidR="008B05D6" w:rsidRPr="00AF0D45">
        <w:rPr>
          <w:rFonts w:eastAsia="SimSun"/>
          <w:lang w:val="de-DE" w:eastAsia="zh-CN"/>
        </w:rPr>
        <w:t>Der Änderungsvorschlag zu Absatz 5.4.3.2. wurde für ein Inkrafttreten am 1. Januar 2021 angenommen (siehe Anlage I).</w:t>
      </w:r>
    </w:p>
    <w:p w14:paraId="0BD39687" w14:textId="521BDE4E" w:rsidR="009753E1" w:rsidRPr="00AF0D45" w:rsidRDefault="009753E1" w:rsidP="008B05D6">
      <w:pPr>
        <w:keepNext/>
        <w:keepLines/>
        <w:tabs>
          <w:tab w:val="right" w:pos="851"/>
        </w:tabs>
        <w:spacing w:before="240" w:after="120" w:line="240" w:lineRule="exact"/>
        <w:ind w:left="1134" w:right="1134" w:hanging="1134"/>
        <w:rPr>
          <w:b/>
          <w:lang w:val="de-DE"/>
        </w:rPr>
      </w:pPr>
      <w:r w:rsidRPr="00AF0D45">
        <w:rPr>
          <w:b/>
          <w:lang w:val="de-DE"/>
        </w:rPr>
        <w:tab/>
        <w:t>10.</w:t>
      </w:r>
      <w:r w:rsidRPr="00AF0D45">
        <w:rPr>
          <w:b/>
          <w:lang w:val="de-DE"/>
        </w:rPr>
        <w:tab/>
      </w:r>
      <w:r w:rsidR="008B05D6" w:rsidRPr="00AF0D45">
        <w:rPr>
          <w:b/>
          <w:lang w:val="de-DE"/>
        </w:rPr>
        <w:t>Vorschläge zur Änderung der Tabellen A, B und C der dem ADN beigefügten Verordnung</w:t>
      </w:r>
    </w:p>
    <w:p w14:paraId="4F42683F" w14:textId="491F2E7C" w:rsidR="009753E1" w:rsidRPr="00AF0D45" w:rsidRDefault="008B05D6" w:rsidP="0042044F">
      <w:pPr>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ECE/TRANS/WP.15/AC.2/2018/41 (Frankreich)</w:t>
      </w:r>
    </w:p>
    <w:p w14:paraId="41A6235C" w14:textId="59840D47" w:rsidR="009753E1" w:rsidRPr="00AF0D45" w:rsidRDefault="009753E1" w:rsidP="008B05D6">
      <w:pPr>
        <w:spacing w:after="120"/>
        <w:ind w:left="1134" w:right="1134"/>
        <w:jc w:val="both"/>
        <w:rPr>
          <w:rFonts w:eastAsia="SimSun"/>
          <w:lang w:val="de-DE" w:eastAsia="zh-CN"/>
        </w:rPr>
      </w:pPr>
      <w:r w:rsidRPr="00AF0D45">
        <w:rPr>
          <w:rFonts w:eastAsia="SimSun"/>
          <w:lang w:val="de-DE" w:eastAsia="zh-CN"/>
        </w:rPr>
        <w:t>54.</w:t>
      </w:r>
      <w:r w:rsidRPr="00AF0D45">
        <w:rPr>
          <w:rFonts w:eastAsia="SimSun"/>
          <w:lang w:val="de-DE" w:eastAsia="zh-CN"/>
        </w:rPr>
        <w:tab/>
      </w:r>
      <w:r w:rsidR="008B05D6" w:rsidRPr="00AF0D45">
        <w:rPr>
          <w:rFonts w:eastAsia="SimSun"/>
          <w:lang w:val="de-DE" w:eastAsia="zh-CN"/>
        </w:rPr>
        <w:t>Der Sicherheitsausschuss nahm die Vorschläge in den Absätzen 3 und 4 wie folgt an:</w:t>
      </w:r>
    </w:p>
    <w:p w14:paraId="1DA75E89" w14:textId="1809A6EF" w:rsidR="009753E1" w:rsidRPr="00AF0D45" w:rsidRDefault="008B05D6" w:rsidP="008D18AE">
      <w:pPr>
        <w:spacing w:after="120"/>
        <w:ind w:left="1134" w:right="1134" w:firstLine="567"/>
        <w:jc w:val="both"/>
        <w:rPr>
          <w:rFonts w:eastAsia="SimSun"/>
          <w:lang w:val="de-DE" w:eastAsia="zh-CN"/>
        </w:rPr>
      </w:pPr>
      <w:r w:rsidRPr="00AF0D45">
        <w:rPr>
          <w:rFonts w:eastAsia="SimSun"/>
          <w:lang w:val="de-DE" w:eastAsia="zh-CN"/>
        </w:rPr>
        <w:t>a)</w:t>
      </w:r>
      <w:r w:rsidR="009753E1" w:rsidRPr="00AF0D45">
        <w:rPr>
          <w:rFonts w:eastAsia="SimSun"/>
          <w:lang w:val="de-DE" w:eastAsia="zh-CN"/>
        </w:rPr>
        <w:t xml:space="preserve"> </w:t>
      </w:r>
      <w:r w:rsidR="009753E1" w:rsidRPr="00AF0D45">
        <w:rPr>
          <w:rFonts w:eastAsia="SimSun"/>
          <w:lang w:val="de-DE" w:eastAsia="zh-CN"/>
        </w:rPr>
        <w:tab/>
      </w:r>
      <w:r w:rsidR="001C767A" w:rsidRPr="00AF0D45">
        <w:rPr>
          <w:rFonts w:eastAsia="SimSun"/>
          <w:lang w:val="de-DE" w:eastAsia="zh-CN"/>
        </w:rPr>
        <w:t>der Vorschlag in Absatz 3 wurde als Berichtigung der dem ADN beigefügten Verordnung angenommen (siehe Anlage IV);</w:t>
      </w:r>
      <w:r w:rsidR="009753E1" w:rsidRPr="00AF0D45">
        <w:rPr>
          <w:rFonts w:eastAsia="SimSun"/>
          <w:lang w:val="de-DE" w:eastAsia="zh-CN"/>
        </w:rPr>
        <w:t xml:space="preserve"> </w:t>
      </w:r>
    </w:p>
    <w:p w14:paraId="38E266A4" w14:textId="1E32315C" w:rsidR="009753E1" w:rsidRPr="00AF0D45" w:rsidRDefault="001C767A" w:rsidP="008D18AE">
      <w:pPr>
        <w:spacing w:after="120"/>
        <w:ind w:left="1134" w:right="1134" w:firstLine="567"/>
        <w:jc w:val="both"/>
        <w:rPr>
          <w:rFonts w:eastAsia="SimSun"/>
          <w:lang w:val="de-DE" w:eastAsia="zh-CN"/>
        </w:rPr>
      </w:pPr>
      <w:r w:rsidRPr="00AF0D45">
        <w:rPr>
          <w:rFonts w:eastAsia="SimSun"/>
          <w:lang w:val="de-DE" w:eastAsia="zh-CN"/>
        </w:rPr>
        <w:t>b)</w:t>
      </w:r>
      <w:r w:rsidR="009753E1" w:rsidRPr="00AF0D45">
        <w:rPr>
          <w:rFonts w:eastAsia="SimSun"/>
          <w:lang w:val="de-DE" w:eastAsia="zh-CN"/>
        </w:rPr>
        <w:t xml:space="preserve"> </w:t>
      </w:r>
      <w:r w:rsidR="009753E1" w:rsidRPr="00AF0D45">
        <w:rPr>
          <w:rFonts w:eastAsia="SimSun"/>
          <w:lang w:val="de-DE" w:eastAsia="zh-CN"/>
        </w:rPr>
        <w:tab/>
      </w:r>
      <w:r w:rsidRPr="00AF0D45">
        <w:rPr>
          <w:rFonts w:eastAsia="SimSun"/>
          <w:lang w:val="de-DE" w:eastAsia="zh-CN"/>
        </w:rPr>
        <w:t>der Vorschlag in Absatz 4 wurde als Korrektur der Änderungsentwürfe zum ADN angenommen, die am 1. Januar 2019 in Kraft treten sollen (d. h. Korrekturen des Dokuments ECE/ADN/45) (siehe Anlage III);</w:t>
      </w:r>
      <w:r w:rsidR="009753E1" w:rsidRPr="00AF0D45">
        <w:rPr>
          <w:rFonts w:eastAsia="SimSun"/>
          <w:lang w:val="de-DE" w:eastAsia="zh-CN"/>
        </w:rPr>
        <w:t xml:space="preserve"> </w:t>
      </w:r>
    </w:p>
    <w:p w14:paraId="6088763F" w14:textId="61F5F7AF" w:rsidR="009753E1" w:rsidRPr="00AF0D45" w:rsidRDefault="009753E1" w:rsidP="00817513">
      <w:pPr>
        <w:spacing w:after="120" w:line="240" w:lineRule="auto"/>
        <w:ind w:left="1134" w:right="1134"/>
        <w:jc w:val="both"/>
        <w:rPr>
          <w:rFonts w:eastAsia="SimSun"/>
          <w:lang w:val="de-DE" w:eastAsia="zh-CN"/>
        </w:rPr>
      </w:pPr>
      <w:r w:rsidRPr="00AF0D45">
        <w:rPr>
          <w:rFonts w:eastAsia="SimSun"/>
          <w:lang w:val="de-DE" w:eastAsia="zh-CN"/>
        </w:rPr>
        <w:lastRenderedPageBreak/>
        <w:t>55.</w:t>
      </w:r>
      <w:r w:rsidRPr="00AF0D45">
        <w:rPr>
          <w:rFonts w:eastAsia="SimSun"/>
          <w:lang w:val="de-DE" w:eastAsia="zh-CN"/>
        </w:rPr>
        <w:tab/>
      </w:r>
      <w:r w:rsidR="00A351B0" w:rsidRPr="00AF0D45">
        <w:rPr>
          <w:rFonts w:eastAsia="SimSun"/>
          <w:lang w:val="de-DE" w:eastAsia="zh-CN"/>
        </w:rPr>
        <w:t>Was die Bemerkungen und Vorschläge in den Absätzen 6 bis 13 betrifft, so beschloss der Sicherheitsausschuss, die Prüfung der informellen Arbeitsgruppe „Stoffe“ zu übertragen.</w:t>
      </w:r>
      <w:r w:rsidRPr="00AF0D45">
        <w:rPr>
          <w:rFonts w:eastAsia="SimSun"/>
          <w:lang w:val="de-DE" w:eastAsia="zh-CN"/>
        </w:rPr>
        <w:t xml:space="preserve"> </w:t>
      </w:r>
    </w:p>
    <w:p w14:paraId="6E2D3277" w14:textId="1E8AEF29" w:rsidR="009753E1" w:rsidRPr="00AF0D45" w:rsidRDefault="009753E1" w:rsidP="00817513">
      <w:pPr>
        <w:spacing w:after="120" w:line="240" w:lineRule="auto"/>
        <w:ind w:left="1134" w:right="1134"/>
        <w:jc w:val="both"/>
        <w:rPr>
          <w:rFonts w:eastAsia="SimSun"/>
          <w:lang w:val="de-DE" w:eastAsia="zh-CN"/>
        </w:rPr>
      </w:pPr>
      <w:r w:rsidRPr="00AF0D45">
        <w:rPr>
          <w:rFonts w:eastAsia="SimSun"/>
          <w:lang w:val="de-DE" w:eastAsia="zh-CN"/>
        </w:rPr>
        <w:t>56.</w:t>
      </w:r>
      <w:r w:rsidRPr="00AF0D45">
        <w:rPr>
          <w:rFonts w:eastAsia="SimSun"/>
          <w:lang w:val="de-DE" w:eastAsia="zh-CN"/>
        </w:rPr>
        <w:tab/>
      </w:r>
      <w:r w:rsidR="00A351B0" w:rsidRPr="00AF0D45">
        <w:rPr>
          <w:rFonts w:eastAsia="SimSun"/>
          <w:lang w:val="de-DE" w:eastAsia="zh-CN"/>
        </w:rPr>
        <w:t xml:space="preserve">Der Vertreter der Niederlande wies auf einige Unstimmigkeiten zwischen der aktuellen englischen und französischen Fassung </w:t>
      </w:r>
      <w:r w:rsidR="000A4233" w:rsidRPr="00AF0D45">
        <w:rPr>
          <w:rFonts w:eastAsia="SimSun"/>
          <w:lang w:val="de-DE" w:eastAsia="zh-CN"/>
        </w:rPr>
        <w:t xml:space="preserve">der offiziellen Benennung für die Beförderung </w:t>
      </w:r>
      <w:r w:rsidR="00A351B0" w:rsidRPr="00AF0D45">
        <w:rPr>
          <w:rFonts w:eastAsia="SimSun"/>
          <w:lang w:val="de-DE" w:eastAsia="zh-CN"/>
        </w:rPr>
        <w:t>der UN-Nummer 1203 in den Modellvorschriften hin und erklärte sich bereit, sie dem Experten-Unterausschuss für die Beförderung gefährlicher Güter zur Kenntnis zu bringen.</w:t>
      </w:r>
    </w:p>
    <w:p w14:paraId="56F5E86E" w14:textId="1497DBAA" w:rsidR="009753E1" w:rsidRPr="00AF0D45" w:rsidRDefault="009753E1" w:rsidP="00817513">
      <w:pPr>
        <w:keepNext/>
        <w:keepLines/>
        <w:tabs>
          <w:tab w:val="right" w:pos="851"/>
        </w:tabs>
        <w:spacing w:before="240" w:after="120" w:line="240" w:lineRule="auto"/>
        <w:ind w:left="1134" w:right="1134" w:hanging="1134"/>
        <w:rPr>
          <w:b/>
          <w:lang w:val="de-DE"/>
        </w:rPr>
      </w:pPr>
      <w:r w:rsidRPr="00AF0D45">
        <w:rPr>
          <w:b/>
          <w:lang w:val="de-DE"/>
        </w:rPr>
        <w:tab/>
        <w:t>11.</w:t>
      </w:r>
      <w:r w:rsidRPr="00AF0D45">
        <w:rPr>
          <w:b/>
          <w:lang w:val="de-DE"/>
        </w:rPr>
        <w:tab/>
      </w:r>
      <w:r w:rsidR="009F1732" w:rsidRPr="00AF0D45">
        <w:rPr>
          <w:b/>
          <w:lang w:val="de-DE"/>
        </w:rPr>
        <w:t>Änderungsvorschläge zu Teil 2 der dem ADN beigefügten Verordnung</w:t>
      </w:r>
    </w:p>
    <w:p w14:paraId="32E29EB3" w14:textId="77DE8B74" w:rsidR="009753E1" w:rsidRPr="00AF0D45" w:rsidRDefault="009F1732" w:rsidP="0042044F">
      <w:pPr>
        <w:tabs>
          <w:tab w:val="left" w:pos="3969"/>
        </w:tabs>
        <w:spacing w:after="120" w:line="240" w:lineRule="auto"/>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ECE/TRANS/WP.15/AC.2/2018/42 (Frankreich)</w:t>
      </w:r>
    </w:p>
    <w:p w14:paraId="3AEF1198" w14:textId="48FBBC41" w:rsidR="009753E1" w:rsidRPr="00AF0D45" w:rsidRDefault="009753E1" w:rsidP="00817513">
      <w:pPr>
        <w:spacing w:after="120" w:line="240" w:lineRule="auto"/>
        <w:ind w:left="1134" w:right="1134"/>
        <w:jc w:val="both"/>
        <w:rPr>
          <w:rFonts w:eastAsia="SimSun"/>
          <w:lang w:val="de-DE" w:eastAsia="zh-CN"/>
        </w:rPr>
      </w:pPr>
      <w:r w:rsidRPr="00AF0D45">
        <w:rPr>
          <w:rFonts w:eastAsia="SimSun"/>
          <w:lang w:val="de-DE" w:eastAsia="zh-CN"/>
        </w:rPr>
        <w:t>57.</w:t>
      </w:r>
      <w:r w:rsidRPr="00AF0D45">
        <w:rPr>
          <w:rFonts w:eastAsia="SimSun"/>
          <w:lang w:val="de-DE" w:eastAsia="zh-CN"/>
        </w:rPr>
        <w:tab/>
      </w:r>
      <w:r w:rsidR="009F1732" w:rsidRPr="00AF0D45">
        <w:rPr>
          <w:rFonts w:eastAsia="SimSun"/>
          <w:lang w:val="de-DE" w:eastAsia="zh-CN"/>
        </w:rPr>
        <w:t>Der Sicherheitsausschuss übertrug die Prüfung der Vorschläge in den Absätzen 6 bis 7 der informellen Arbeitsgruppe „Stoffe“.</w:t>
      </w:r>
      <w:r w:rsidRPr="00AF0D45">
        <w:rPr>
          <w:rFonts w:eastAsia="SimSun"/>
          <w:lang w:val="de-DE" w:eastAsia="zh-CN"/>
        </w:rPr>
        <w:t xml:space="preserve"> </w:t>
      </w:r>
      <w:r w:rsidR="007B48FC" w:rsidRPr="00AF0D45">
        <w:rPr>
          <w:rFonts w:eastAsia="SimSun"/>
          <w:lang w:val="de-DE" w:eastAsia="zh-CN"/>
        </w:rPr>
        <w:t>Der Sicherheitsausschuss stellte fest, dass die Beförderung von Bariumazid (UN-Nummer 0224) vo</w:t>
      </w:r>
      <w:r w:rsidR="00CA3F76" w:rsidRPr="00AF0D45">
        <w:rPr>
          <w:rFonts w:eastAsia="SimSun"/>
          <w:lang w:val="de-DE" w:eastAsia="zh-CN"/>
        </w:rPr>
        <w:t>n</w:t>
      </w:r>
      <w:r w:rsidR="007B48FC" w:rsidRPr="00AF0D45">
        <w:rPr>
          <w:rFonts w:eastAsia="SimSun"/>
          <w:lang w:val="de-DE" w:eastAsia="zh-CN"/>
        </w:rPr>
        <w:t xml:space="preserve"> RID und ADR </w:t>
      </w:r>
      <w:r w:rsidR="00CA3F76" w:rsidRPr="00AF0D45">
        <w:rPr>
          <w:rFonts w:eastAsia="SimSun"/>
          <w:lang w:val="de-DE" w:eastAsia="zh-CN"/>
        </w:rPr>
        <w:t>unterschiedlich behandelt wird (diese</w:t>
      </w:r>
      <w:r w:rsidR="00C82629" w:rsidRPr="00AF0D45">
        <w:rPr>
          <w:rFonts w:eastAsia="SimSun"/>
          <w:lang w:val="de-DE" w:eastAsia="zh-CN"/>
        </w:rPr>
        <w:t>s</w:t>
      </w:r>
      <w:r w:rsidR="00CA3F76" w:rsidRPr="00AF0D45">
        <w:rPr>
          <w:rFonts w:eastAsia="SimSun"/>
          <w:lang w:val="de-DE" w:eastAsia="zh-CN"/>
        </w:rPr>
        <w:t xml:space="preserve"> ist </w:t>
      </w:r>
      <w:r w:rsidR="007B48FC" w:rsidRPr="00AF0D45">
        <w:rPr>
          <w:rFonts w:eastAsia="SimSun"/>
          <w:lang w:val="de-DE" w:eastAsia="zh-CN"/>
        </w:rPr>
        <w:t>für die Beförderung auf der Straße, aber nicht für die Beförderung auf der Schiene zugelassen), und ersuchte die informelle Arbeitsgruppe, zu prüfen, ob die bestehenden Unterschiede gerechtfertigt sind, und ob das ADN in dieser Hinsicht dem ADR oder dem RID folgen sollte, um die Kohärenz zwischen den Landverkehrsträgern zu gewährleisten.</w:t>
      </w:r>
    </w:p>
    <w:p w14:paraId="0082C286" w14:textId="66D64141" w:rsidR="009753E1" w:rsidRPr="00AF0D45" w:rsidRDefault="009753E1" w:rsidP="00817513">
      <w:pPr>
        <w:keepNext/>
        <w:keepLines/>
        <w:tabs>
          <w:tab w:val="right" w:pos="851"/>
        </w:tabs>
        <w:spacing w:before="240" w:after="120" w:line="240" w:lineRule="auto"/>
        <w:ind w:left="1134" w:right="1134" w:hanging="1134"/>
        <w:rPr>
          <w:b/>
          <w:lang w:val="de-DE"/>
        </w:rPr>
      </w:pPr>
      <w:r w:rsidRPr="00AF0D45">
        <w:rPr>
          <w:b/>
          <w:lang w:val="de-DE"/>
        </w:rPr>
        <w:tab/>
        <w:t>12.</w:t>
      </w:r>
      <w:r w:rsidRPr="00AF0D45">
        <w:rPr>
          <w:b/>
          <w:lang w:val="de-DE"/>
        </w:rPr>
        <w:tab/>
      </w:r>
      <w:r w:rsidR="00CA3F76" w:rsidRPr="00AF0D45">
        <w:rPr>
          <w:b/>
          <w:lang w:val="de-DE"/>
        </w:rPr>
        <w:t>Änderung von 7.1.4.1 Begrenzung der beförderten Mengen</w:t>
      </w:r>
    </w:p>
    <w:p w14:paraId="336D3B0A" w14:textId="7412ADE7" w:rsidR="009753E1" w:rsidRPr="00AF0D45" w:rsidRDefault="00CA3F76" w:rsidP="0042044F">
      <w:pPr>
        <w:tabs>
          <w:tab w:val="left" w:pos="3969"/>
        </w:tabs>
        <w:spacing w:after="120" w:line="240" w:lineRule="auto"/>
        <w:ind w:left="3969" w:right="1134" w:hanging="2835"/>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009753E1" w:rsidRPr="00AF0D45">
        <w:rPr>
          <w:rFonts w:eastAsia="SimSun"/>
          <w:lang w:val="de-DE" w:eastAsia="zh-CN"/>
        </w:rPr>
        <w:t>ECE/TRANS/WP.15/AC.2/2018/45 (</w:t>
      </w:r>
      <w:r w:rsidR="00FD188D" w:rsidRPr="00AF0D45">
        <w:rPr>
          <w:rFonts w:eastAsia="SimSun"/>
          <w:lang w:val="de-DE" w:eastAsia="zh-CN"/>
        </w:rPr>
        <w:t>EBU</w:t>
      </w:r>
      <w:r w:rsidR="009753E1" w:rsidRPr="00AF0D45">
        <w:rPr>
          <w:rFonts w:eastAsia="SimSun"/>
          <w:lang w:val="de-DE" w:eastAsia="zh-CN"/>
        </w:rPr>
        <w:t>, E</w:t>
      </w:r>
      <w:r w:rsidR="00FD188D" w:rsidRPr="00AF0D45">
        <w:rPr>
          <w:rFonts w:eastAsia="SimSun"/>
          <w:lang w:val="de-DE" w:eastAsia="zh-CN"/>
        </w:rPr>
        <w:t>RSTU, ESO</w:t>
      </w:r>
      <w:r w:rsidR="009753E1" w:rsidRPr="00AF0D45">
        <w:rPr>
          <w:rFonts w:eastAsia="SimSun"/>
          <w:lang w:val="de-DE" w:eastAsia="zh-CN"/>
        </w:rPr>
        <w:t>)</w:t>
      </w:r>
    </w:p>
    <w:p w14:paraId="007EB67F" w14:textId="6427222A" w:rsidR="009753E1" w:rsidRPr="00AF0D45" w:rsidRDefault="009753E1" w:rsidP="00817513">
      <w:pPr>
        <w:spacing w:after="120" w:line="240" w:lineRule="auto"/>
        <w:ind w:left="1134" w:right="1134"/>
        <w:jc w:val="both"/>
        <w:rPr>
          <w:rFonts w:eastAsia="SimSun"/>
          <w:lang w:val="de-DE" w:eastAsia="zh-CN"/>
        </w:rPr>
      </w:pPr>
      <w:r w:rsidRPr="00AF0D45">
        <w:rPr>
          <w:rFonts w:eastAsia="SimSun"/>
          <w:lang w:val="de-DE" w:eastAsia="zh-CN"/>
        </w:rPr>
        <w:t>58.</w:t>
      </w:r>
      <w:r w:rsidRPr="00AF0D45">
        <w:rPr>
          <w:rFonts w:eastAsia="SimSun"/>
          <w:lang w:val="de-DE" w:eastAsia="zh-CN"/>
        </w:rPr>
        <w:tab/>
      </w:r>
      <w:r w:rsidR="00CA3F76" w:rsidRPr="00AF0D45">
        <w:rPr>
          <w:rFonts w:eastAsia="SimSun"/>
          <w:lang w:val="de-DE" w:eastAsia="zh-CN"/>
        </w:rPr>
        <w:t>Nach der Aussprache erklärten sich die Vertreter von EBU und ESO bereit</w:t>
      </w:r>
      <w:r w:rsidR="00D32CAA" w:rsidRPr="00AF0D45">
        <w:rPr>
          <w:rFonts w:eastAsia="SimSun"/>
          <w:lang w:val="de-DE" w:eastAsia="zh-CN"/>
        </w:rPr>
        <w:t>,</w:t>
      </w:r>
      <w:r w:rsidR="00CA3F76" w:rsidRPr="00AF0D45">
        <w:rPr>
          <w:rFonts w:eastAsia="SimSun"/>
          <w:lang w:val="de-DE" w:eastAsia="zh-CN"/>
        </w:rPr>
        <w:t xml:space="preserve"> den Vorschlag im Rahmen einer informellen Korrespondenzgruppe zu überarbeiten, um die geäußerten Bemerkungen zu berücksichtigen und </w:t>
      </w:r>
      <w:r w:rsidR="003A0858" w:rsidRPr="00AF0D45">
        <w:rPr>
          <w:rFonts w:eastAsia="SimSun"/>
          <w:lang w:val="de-DE" w:eastAsia="zh-CN"/>
        </w:rPr>
        <w:t xml:space="preserve">für die nächste Sitzung </w:t>
      </w:r>
      <w:r w:rsidR="00CA3F76" w:rsidRPr="00AF0D45">
        <w:rPr>
          <w:rFonts w:eastAsia="SimSun"/>
          <w:lang w:val="de-DE" w:eastAsia="zh-CN"/>
        </w:rPr>
        <w:t>einen überarbeiteten Vorschlag vorzulegen.</w:t>
      </w:r>
      <w:r w:rsidRPr="00AF0D45">
        <w:rPr>
          <w:rFonts w:eastAsia="SimSun"/>
          <w:lang w:val="de-DE" w:eastAsia="zh-CN"/>
        </w:rPr>
        <w:t xml:space="preserve"> </w:t>
      </w:r>
      <w:r w:rsidR="00CA3F76" w:rsidRPr="00AF0D45">
        <w:rPr>
          <w:rFonts w:eastAsia="SimSun"/>
          <w:lang w:val="de-DE" w:eastAsia="zh-CN"/>
        </w:rPr>
        <w:t>Die Vertreter Österreichs, der Niederlande, Belgiens, Frankreichs und Deutschlands äußerten Interesse an einer Mitwirkung an diesen Arbeiten.</w:t>
      </w:r>
      <w:r w:rsidRPr="00AF0D45">
        <w:rPr>
          <w:rFonts w:eastAsia="SimSun"/>
          <w:lang w:val="de-DE" w:eastAsia="zh-CN"/>
        </w:rPr>
        <w:t xml:space="preserve"> </w:t>
      </w:r>
    </w:p>
    <w:p w14:paraId="182BC62C" w14:textId="318F8321" w:rsidR="009753E1" w:rsidRPr="00AF0D45" w:rsidRDefault="009753E1" w:rsidP="00817513">
      <w:pPr>
        <w:keepNext/>
        <w:keepLines/>
        <w:tabs>
          <w:tab w:val="right" w:pos="851"/>
        </w:tabs>
        <w:spacing w:before="240" w:after="120" w:line="240" w:lineRule="auto"/>
        <w:ind w:left="1134" w:right="1134" w:hanging="1134"/>
        <w:rPr>
          <w:b/>
          <w:lang w:val="de-DE"/>
        </w:rPr>
      </w:pPr>
      <w:r w:rsidRPr="00AF0D45">
        <w:rPr>
          <w:b/>
          <w:lang w:val="de-DE"/>
        </w:rPr>
        <w:tab/>
        <w:t>13.</w:t>
      </w:r>
      <w:r w:rsidRPr="00AF0D45">
        <w:rPr>
          <w:b/>
          <w:lang w:val="de-DE"/>
        </w:rPr>
        <w:tab/>
      </w:r>
      <w:r w:rsidR="00CA3F76" w:rsidRPr="00AF0D45">
        <w:rPr>
          <w:b/>
          <w:lang w:val="de-DE"/>
        </w:rPr>
        <w:t>Verwendung des Ausdrucks „Akkumulator“ in Kapitel</w:t>
      </w:r>
      <w:r w:rsidR="00D32CAA" w:rsidRPr="00AF0D45">
        <w:rPr>
          <w:b/>
          <w:lang w:val="de-DE"/>
        </w:rPr>
        <w:t xml:space="preserve"> 9</w:t>
      </w:r>
    </w:p>
    <w:p w14:paraId="625E3F44" w14:textId="58A7C85B" w:rsidR="009753E1" w:rsidRPr="00AF0D45" w:rsidRDefault="00CA3F76" w:rsidP="0042044F">
      <w:pPr>
        <w:tabs>
          <w:tab w:val="left" w:pos="3969"/>
        </w:tabs>
        <w:spacing w:after="120" w:line="240" w:lineRule="auto"/>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009753E1" w:rsidRPr="00AF0D45">
        <w:rPr>
          <w:rFonts w:eastAsia="SimSun"/>
          <w:lang w:val="de-DE" w:eastAsia="zh-CN"/>
        </w:rPr>
        <w:t>ECE/TRANS/WP.15/AC.2/2018/46 (EBU, ESO)</w:t>
      </w:r>
    </w:p>
    <w:p w14:paraId="54AE0704" w14:textId="47069486" w:rsidR="009753E1" w:rsidRPr="00AF0D45" w:rsidRDefault="009753E1" w:rsidP="00817513">
      <w:pPr>
        <w:pStyle w:val="SingleTxtG"/>
        <w:spacing w:line="240" w:lineRule="auto"/>
        <w:rPr>
          <w:lang w:val="de-DE"/>
        </w:rPr>
      </w:pPr>
      <w:r w:rsidRPr="00AF0D45">
        <w:rPr>
          <w:lang w:val="de-DE"/>
        </w:rPr>
        <w:t>59.</w:t>
      </w:r>
      <w:r w:rsidRPr="00AF0D45">
        <w:rPr>
          <w:lang w:val="de-DE"/>
        </w:rPr>
        <w:tab/>
      </w:r>
      <w:r w:rsidR="00CA3F76" w:rsidRPr="00AF0D45">
        <w:rPr>
          <w:lang w:val="de-DE"/>
        </w:rPr>
        <w:t>Der Vorschlag in der vorgelegten Fassung fand keine Unterstützung, da mehr Zeit benötigt wurde, um die Begriffsbestimmung im ES-TRIN zu prüfen und zu untersuchen, ob die verwendete Terminologie auch für ADN-Zwecke geeignet ist.</w:t>
      </w:r>
      <w:r w:rsidRPr="00AF0D45">
        <w:rPr>
          <w:lang w:val="de-DE"/>
        </w:rPr>
        <w:t xml:space="preserve"> </w:t>
      </w:r>
      <w:r w:rsidR="00CA3F76" w:rsidRPr="00AF0D45">
        <w:rPr>
          <w:lang w:val="de-DE"/>
        </w:rPr>
        <w:t>Die Verfasser des Vorschlags wurden ersucht, diesen unter Berücksichtigung der geäußerten Bemerkungen noch einmal zu prüfen.</w:t>
      </w:r>
      <w:r w:rsidRPr="00AF0D45">
        <w:rPr>
          <w:lang w:val="de-DE"/>
        </w:rPr>
        <w:t xml:space="preserve">  </w:t>
      </w:r>
    </w:p>
    <w:p w14:paraId="33501333" w14:textId="7B8CC682" w:rsidR="009753E1" w:rsidRPr="00AF0D45" w:rsidRDefault="009753E1" w:rsidP="00817513">
      <w:pPr>
        <w:keepNext/>
        <w:keepLines/>
        <w:tabs>
          <w:tab w:val="right" w:pos="851"/>
        </w:tabs>
        <w:spacing w:before="240" w:after="120" w:line="240" w:lineRule="auto"/>
        <w:ind w:left="1134" w:right="1134" w:hanging="1134"/>
        <w:rPr>
          <w:b/>
          <w:lang w:val="de-DE"/>
        </w:rPr>
      </w:pPr>
      <w:r w:rsidRPr="00AF0D45">
        <w:rPr>
          <w:b/>
          <w:lang w:val="de-DE"/>
        </w:rPr>
        <w:tab/>
        <w:t>14.</w:t>
      </w:r>
      <w:r w:rsidRPr="00AF0D45">
        <w:rPr>
          <w:b/>
          <w:lang w:val="de-DE"/>
        </w:rPr>
        <w:tab/>
      </w:r>
      <w:r w:rsidR="00CA3F76" w:rsidRPr="00AF0D45">
        <w:rPr>
          <w:b/>
          <w:lang w:val="de-DE"/>
        </w:rPr>
        <w:t>Klarstellung der Absätze 1.1.3.6.1 und 1.1.3.6.2</w:t>
      </w:r>
    </w:p>
    <w:p w14:paraId="21FD50D7" w14:textId="00A392D9" w:rsidR="009753E1" w:rsidRPr="00AF0D45" w:rsidRDefault="00CA3F76" w:rsidP="0042044F">
      <w:pPr>
        <w:tabs>
          <w:tab w:val="left" w:pos="3969"/>
        </w:tabs>
        <w:spacing w:after="120" w:line="240" w:lineRule="auto"/>
        <w:ind w:left="3969" w:right="1134" w:hanging="2835"/>
        <w:jc w:val="both"/>
        <w:rPr>
          <w:rFonts w:eastAsia="SimSun"/>
          <w:lang w:val="de-DE" w:eastAsia="zh-CN"/>
        </w:rPr>
      </w:pPr>
      <w:r w:rsidRPr="00AF0D45">
        <w:rPr>
          <w:rFonts w:eastAsia="SimSun"/>
          <w:i/>
          <w:iCs/>
          <w:lang w:val="de-DE" w:eastAsia="zh-CN"/>
        </w:rPr>
        <w:t>Dokumente:</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ECE/TRANS/WP.15/AC.2/2018/47 und Corr.1 (EBU, ESO)</w:t>
      </w:r>
    </w:p>
    <w:p w14:paraId="0E12FC42" w14:textId="00DE7394" w:rsidR="009753E1" w:rsidRPr="00AF0D45" w:rsidRDefault="009753E1" w:rsidP="00817513">
      <w:pPr>
        <w:spacing w:after="120" w:line="240" w:lineRule="auto"/>
        <w:ind w:left="1134" w:right="1134"/>
        <w:jc w:val="both"/>
        <w:rPr>
          <w:rFonts w:eastAsia="SimSun"/>
          <w:lang w:val="de-DE" w:eastAsia="zh-CN"/>
        </w:rPr>
      </w:pPr>
      <w:r w:rsidRPr="00AF0D45">
        <w:rPr>
          <w:rFonts w:eastAsia="SimSun"/>
          <w:lang w:val="de-DE" w:eastAsia="zh-CN"/>
        </w:rPr>
        <w:t>60.</w:t>
      </w:r>
      <w:r w:rsidRPr="00AF0D45">
        <w:rPr>
          <w:rFonts w:eastAsia="SimSun"/>
          <w:lang w:val="de-DE" w:eastAsia="zh-CN"/>
        </w:rPr>
        <w:tab/>
      </w:r>
      <w:r w:rsidR="00F316A6" w:rsidRPr="00AF0D45">
        <w:rPr>
          <w:rFonts w:eastAsia="SimSun"/>
          <w:lang w:val="de-DE" w:eastAsia="zh-CN"/>
        </w:rPr>
        <w:t>Der Sicherheitsausschuss unterstützte grundsätzlich den Vorschlag, die Auflistung in Absatz 1.1.3.6.1 a) in eine Tabelle umzuwandeln, stimmte jedoch weder der Streichung der Obergrenze von 3000 kg aus dem Einleitungssatz dieses Absatzes noch der Ersetzung von „Versandstücken“ durch „Verpackungen“ zu.</w:t>
      </w:r>
      <w:r w:rsidRPr="00AF0D45">
        <w:rPr>
          <w:rFonts w:eastAsia="SimSun"/>
          <w:lang w:val="de-DE" w:eastAsia="zh-CN"/>
        </w:rPr>
        <w:t xml:space="preserve"> </w:t>
      </w:r>
      <w:r w:rsidR="0031049C" w:rsidRPr="00AF0D45">
        <w:rPr>
          <w:rFonts w:eastAsia="SimSun"/>
          <w:lang w:val="de-DE" w:eastAsia="zh-CN"/>
        </w:rPr>
        <w:t>Ferner wurde darauf hingewiesen, dass Absatz 1.1.3.6.2 nicht gestrichen werden sollte.</w:t>
      </w:r>
      <w:r w:rsidRPr="00AF0D45">
        <w:rPr>
          <w:rFonts w:eastAsia="SimSun"/>
          <w:lang w:val="de-DE" w:eastAsia="zh-CN"/>
        </w:rPr>
        <w:t xml:space="preserve"> </w:t>
      </w:r>
      <w:r w:rsidR="008D3895" w:rsidRPr="00AF0D45">
        <w:rPr>
          <w:rFonts w:eastAsia="SimSun"/>
          <w:lang w:val="de-DE" w:eastAsia="zh-CN"/>
        </w:rPr>
        <w:t>Der Sicherheitsausschuss bat die Verfasser des Vorschlags, die geäußerten Bemerkungen zu berücksichtigen und für die nächste Sitzung ein überarbeitetes Dokument vorzulegen.</w:t>
      </w:r>
    </w:p>
    <w:p w14:paraId="096433A4" w14:textId="433EB3A6" w:rsidR="009753E1" w:rsidRPr="00AF0D45" w:rsidRDefault="009753E1" w:rsidP="008D3895">
      <w:pPr>
        <w:keepNext/>
        <w:keepLines/>
        <w:tabs>
          <w:tab w:val="right" w:pos="851"/>
        </w:tabs>
        <w:spacing w:before="240" w:after="120" w:line="240" w:lineRule="exact"/>
        <w:ind w:left="1134" w:right="1134" w:hanging="1134"/>
        <w:rPr>
          <w:b/>
          <w:lang w:val="de-DE"/>
        </w:rPr>
      </w:pPr>
      <w:r w:rsidRPr="00AF0D45">
        <w:rPr>
          <w:b/>
          <w:lang w:val="de-DE"/>
        </w:rPr>
        <w:tab/>
        <w:t>15.</w:t>
      </w:r>
      <w:r w:rsidRPr="00AF0D45">
        <w:rPr>
          <w:b/>
          <w:lang w:val="de-DE"/>
        </w:rPr>
        <w:tab/>
      </w:r>
      <w:r w:rsidR="008D3895" w:rsidRPr="00AF0D45">
        <w:rPr>
          <w:b/>
          <w:lang w:val="de-DE"/>
        </w:rPr>
        <w:t>Änderung des Absatzes 7.1.0.5.0.2 und des Unterabschnitts 7.1.6.12</w:t>
      </w:r>
      <w:r w:rsidRPr="00AF0D45">
        <w:rPr>
          <w:b/>
          <w:lang w:val="de-DE"/>
        </w:rPr>
        <w:t xml:space="preserve"> </w:t>
      </w:r>
    </w:p>
    <w:p w14:paraId="641DCEE0" w14:textId="15BDB937" w:rsidR="009753E1" w:rsidRPr="00AF0D45" w:rsidRDefault="008D3895" w:rsidP="0042044F">
      <w:pPr>
        <w:spacing w:after="120"/>
        <w:ind w:left="3969" w:right="1134" w:hanging="2835"/>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ECE/TRANS/WP.15/AC.2/2018/48 (EBU, ESO)</w:t>
      </w:r>
    </w:p>
    <w:p w14:paraId="66965F55" w14:textId="59E5C5F0" w:rsidR="009753E1" w:rsidRPr="00AF0D45" w:rsidRDefault="009753E1" w:rsidP="00A27262">
      <w:pPr>
        <w:spacing w:after="120"/>
        <w:ind w:left="1134" w:right="1134"/>
        <w:jc w:val="both"/>
        <w:rPr>
          <w:rFonts w:eastAsia="SimSun"/>
          <w:lang w:val="de-DE" w:eastAsia="zh-CN"/>
        </w:rPr>
      </w:pPr>
      <w:r w:rsidRPr="00AF0D45">
        <w:rPr>
          <w:rFonts w:eastAsia="SimSun"/>
          <w:lang w:val="de-DE" w:eastAsia="zh-CN"/>
        </w:rPr>
        <w:t>61.</w:t>
      </w:r>
      <w:r w:rsidRPr="00AF0D45">
        <w:rPr>
          <w:rFonts w:eastAsia="SimSun"/>
          <w:lang w:val="de-DE" w:eastAsia="zh-CN"/>
        </w:rPr>
        <w:tab/>
      </w:r>
      <w:r w:rsidR="00553918" w:rsidRPr="00AF0D45">
        <w:rPr>
          <w:rFonts w:eastAsia="SimSun"/>
          <w:lang w:val="de-DE" w:eastAsia="zh-CN"/>
        </w:rPr>
        <w:t>Der Sicherheitsausschuss bestätigte, dass die Bestimmungen des Absatzes 7.1.5.0.2 nicht für Tankcontainer gelten.</w:t>
      </w:r>
      <w:r w:rsidRPr="00AF0D45">
        <w:rPr>
          <w:rFonts w:eastAsia="SimSun"/>
          <w:lang w:val="de-DE" w:eastAsia="zh-CN"/>
        </w:rPr>
        <w:t xml:space="preserve"> </w:t>
      </w:r>
      <w:r w:rsidR="00553918" w:rsidRPr="00AF0D45">
        <w:rPr>
          <w:rFonts w:eastAsia="SimSun"/>
          <w:lang w:val="de-DE" w:eastAsia="zh-CN"/>
        </w:rPr>
        <w:t xml:space="preserve">Er stellte fest, dass die Begriffsbestimmung für Container in Kapitel 1.2 des ADN bereits eine Bemerkung enthält, der besagt, dass der Begriff keine Tankcontainer umfasst, und hielt es nicht für angebracht, dies in allen Fällen zu präzisieren, </w:t>
      </w:r>
      <w:r w:rsidR="00553918" w:rsidRPr="00AF0D45">
        <w:rPr>
          <w:rFonts w:eastAsia="SimSun"/>
          <w:lang w:val="de-DE" w:eastAsia="zh-CN"/>
        </w:rPr>
        <w:lastRenderedPageBreak/>
        <w:t>in denen der Begriff „Container“ im Text verwendet wird.</w:t>
      </w:r>
      <w:r w:rsidRPr="00AF0D45">
        <w:rPr>
          <w:rFonts w:eastAsia="SimSun"/>
          <w:lang w:val="de-DE" w:eastAsia="zh-CN"/>
        </w:rPr>
        <w:t xml:space="preserve"> </w:t>
      </w:r>
      <w:r w:rsidR="006723CF" w:rsidRPr="00AF0D45">
        <w:rPr>
          <w:rFonts w:eastAsia="SimSun"/>
          <w:lang w:val="de-DE" w:eastAsia="zh-CN"/>
        </w:rPr>
        <w:t>Aus diesem Grund nahm er die Änderung des Absatzes 7.1.5.0.2 nicht an.</w:t>
      </w:r>
    </w:p>
    <w:p w14:paraId="31D438AA" w14:textId="59471494" w:rsidR="009753E1" w:rsidRPr="00AF0D45" w:rsidRDefault="009753E1" w:rsidP="00A27262">
      <w:pPr>
        <w:spacing w:after="120"/>
        <w:ind w:left="1134" w:right="1134"/>
        <w:jc w:val="both"/>
        <w:rPr>
          <w:rFonts w:eastAsia="SimSun"/>
          <w:lang w:val="de-DE" w:eastAsia="zh-CN"/>
        </w:rPr>
      </w:pPr>
      <w:r w:rsidRPr="00AF0D45">
        <w:rPr>
          <w:rFonts w:eastAsia="SimSun"/>
          <w:lang w:val="de-DE" w:eastAsia="zh-CN"/>
        </w:rPr>
        <w:t>62.</w:t>
      </w:r>
      <w:r w:rsidRPr="00AF0D45">
        <w:rPr>
          <w:rFonts w:eastAsia="SimSun"/>
          <w:lang w:val="de-DE" w:eastAsia="zh-CN"/>
        </w:rPr>
        <w:tab/>
      </w:r>
      <w:r w:rsidR="006723CF" w:rsidRPr="00AF0D45">
        <w:rPr>
          <w:rFonts w:eastAsia="SimSun"/>
          <w:lang w:val="de-DE" w:eastAsia="zh-CN"/>
        </w:rPr>
        <w:t>Was die Änderung des Unterabschnitts 7.1.6.12 betrifft, so vertrat der Sicherheitsausschuss die Auffassung, dass sie nicht als redaktionell zu betrachten ist, und ersuchte die Verfasser des Vorschlags, diesen unter Berücksichtigung der geäußerten Bemerkungen zu überarbeiten und für die nächste Sitzung ein neues Dokument vorzulegen, das die technische Begründung für die vorgeschlagene Änderung enthält.</w:t>
      </w:r>
      <w:r w:rsidRPr="00AF0D45">
        <w:rPr>
          <w:rFonts w:eastAsia="SimSun"/>
          <w:lang w:val="de-DE" w:eastAsia="zh-CN"/>
        </w:rPr>
        <w:t xml:space="preserve"> </w:t>
      </w:r>
    </w:p>
    <w:p w14:paraId="358EA41B" w14:textId="240D6D8A" w:rsidR="009753E1" w:rsidRPr="00AF0D45" w:rsidRDefault="009753E1" w:rsidP="00A27262">
      <w:pPr>
        <w:keepNext/>
        <w:keepLines/>
        <w:tabs>
          <w:tab w:val="right" w:pos="851"/>
        </w:tabs>
        <w:spacing w:before="240" w:after="120" w:line="240" w:lineRule="exact"/>
        <w:ind w:left="1134" w:right="1134" w:hanging="1134"/>
        <w:rPr>
          <w:b/>
          <w:lang w:val="de-DE"/>
        </w:rPr>
      </w:pPr>
      <w:r w:rsidRPr="00AF0D45">
        <w:rPr>
          <w:b/>
          <w:lang w:val="de-DE"/>
        </w:rPr>
        <w:tab/>
        <w:t>16.</w:t>
      </w:r>
      <w:r w:rsidRPr="00AF0D45">
        <w:rPr>
          <w:b/>
          <w:lang w:val="de-DE"/>
        </w:rPr>
        <w:tab/>
      </w:r>
      <w:r w:rsidR="006723CF" w:rsidRPr="00AF0D45">
        <w:rPr>
          <w:b/>
          <w:lang w:val="de-DE"/>
        </w:rPr>
        <w:t>Freistellungen in Zusammenhang mit an Bord von Schiffen beförderten Mengen in Unterabschnitt 1.1.3.6</w:t>
      </w:r>
    </w:p>
    <w:p w14:paraId="3C3A6B30" w14:textId="51337D7B" w:rsidR="009753E1" w:rsidRPr="00AF0D45" w:rsidRDefault="006723CF" w:rsidP="0042044F">
      <w:pPr>
        <w:keepNext/>
        <w:keepLines/>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ECE/TRANS/WP.15/AC.2/2018/51 (Deutschland)</w:t>
      </w:r>
    </w:p>
    <w:p w14:paraId="282EDFF0" w14:textId="30884209" w:rsidR="009753E1" w:rsidRPr="00AF0D45" w:rsidRDefault="009753E1" w:rsidP="00A27262">
      <w:pPr>
        <w:spacing w:after="120"/>
        <w:ind w:left="1134" w:right="1134"/>
        <w:jc w:val="both"/>
        <w:rPr>
          <w:rFonts w:eastAsia="SimSun"/>
          <w:lang w:val="de-DE" w:eastAsia="zh-CN"/>
        </w:rPr>
      </w:pPr>
      <w:r w:rsidRPr="00AF0D45">
        <w:rPr>
          <w:rFonts w:eastAsia="SimSun"/>
          <w:lang w:val="de-DE" w:eastAsia="zh-CN"/>
        </w:rPr>
        <w:t>63.</w:t>
      </w:r>
      <w:r w:rsidRPr="00AF0D45">
        <w:rPr>
          <w:rFonts w:eastAsia="SimSun"/>
          <w:lang w:val="de-DE" w:eastAsia="zh-CN"/>
        </w:rPr>
        <w:tab/>
      </w:r>
      <w:r w:rsidR="006723CF" w:rsidRPr="00AF0D45">
        <w:rPr>
          <w:rFonts w:eastAsia="SimSun"/>
          <w:lang w:val="de-DE" w:eastAsia="zh-CN"/>
        </w:rPr>
        <w:t>Der Sicherheitsausschuss nahm den Vorschlag in Absatz 4 des Dokuments an.</w:t>
      </w:r>
      <w:r w:rsidRPr="00AF0D45">
        <w:rPr>
          <w:rFonts w:eastAsia="SimSun"/>
          <w:lang w:val="de-DE" w:eastAsia="zh-CN"/>
        </w:rPr>
        <w:t xml:space="preserve"> </w:t>
      </w:r>
      <w:r w:rsidR="006723CF" w:rsidRPr="00AF0D45">
        <w:rPr>
          <w:rFonts w:eastAsia="SimSun"/>
          <w:lang w:val="de-DE" w:eastAsia="zh-CN"/>
        </w:rPr>
        <w:t xml:space="preserve">In Anbetracht der Tatsache, dass die Absätze 1.1.3.6.3 und 1.1.3.6.4 bereits im RID/ADR für andere Bestimmungen verwendet werden, beschloss er jedoch, diese Absätze im ADN </w:t>
      </w:r>
      <w:r w:rsidR="002E04FE" w:rsidRPr="00AF0D45">
        <w:rPr>
          <w:rFonts w:eastAsia="SimSun"/>
          <w:lang w:val="de-DE" w:eastAsia="zh-CN"/>
        </w:rPr>
        <w:t>zurück</w:t>
      </w:r>
      <w:r w:rsidR="006723CF" w:rsidRPr="00AF0D45">
        <w:rPr>
          <w:rFonts w:eastAsia="SimSun"/>
          <w:lang w:val="de-DE" w:eastAsia="zh-CN"/>
        </w:rPr>
        <w:t>zu</w:t>
      </w:r>
      <w:r w:rsidR="002E04FE" w:rsidRPr="00AF0D45">
        <w:rPr>
          <w:rFonts w:eastAsia="SimSun"/>
          <w:lang w:val="de-DE" w:eastAsia="zh-CN"/>
        </w:rPr>
        <w:t>halten</w:t>
      </w:r>
      <w:r w:rsidR="006723CF" w:rsidRPr="00AF0D45">
        <w:rPr>
          <w:rFonts w:eastAsia="SimSun"/>
          <w:lang w:val="de-DE" w:eastAsia="zh-CN"/>
        </w:rPr>
        <w:t xml:space="preserve"> und den vorgeschlagenen Text als neuen Absatz 1.1.3.6.5 aufzunehmen.</w:t>
      </w:r>
      <w:r w:rsidRPr="00AF0D45">
        <w:rPr>
          <w:rFonts w:eastAsia="SimSun"/>
          <w:lang w:val="de-DE" w:eastAsia="zh-CN"/>
        </w:rPr>
        <w:t xml:space="preserve"> </w:t>
      </w:r>
      <w:r w:rsidR="002E04FE" w:rsidRPr="00AF0D45">
        <w:rPr>
          <w:rFonts w:eastAsia="SimSun"/>
          <w:lang w:val="de-DE" w:eastAsia="zh-CN"/>
        </w:rPr>
        <w:t>Ferner wurde vereinbart, dass der Wortlaut des neuen Absatzes 1.1.3.6.5 dem des Absatzes 1.1.3.6.5 im ADR entsprechen sollte (siehe Anlage I).</w:t>
      </w:r>
    </w:p>
    <w:p w14:paraId="2951C950" w14:textId="44D42F7C" w:rsidR="009753E1" w:rsidRPr="00AF0D45" w:rsidRDefault="009753E1" w:rsidP="00A27262">
      <w:pPr>
        <w:keepNext/>
        <w:keepLines/>
        <w:tabs>
          <w:tab w:val="right" w:pos="851"/>
        </w:tabs>
        <w:spacing w:before="240" w:after="120" w:line="240" w:lineRule="exact"/>
        <w:ind w:left="1134" w:right="1134" w:hanging="1134"/>
        <w:rPr>
          <w:b/>
          <w:lang w:val="de-DE"/>
        </w:rPr>
      </w:pPr>
      <w:r w:rsidRPr="00AF0D45">
        <w:rPr>
          <w:b/>
          <w:lang w:val="de-DE"/>
        </w:rPr>
        <w:tab/>
        <w:t>17.</w:t>
      </w:r>
      <w:r w:rsidRPr="00AF0D45">
        <w:rPr>
          <w:b/>
          <w:lang w:val="de-DE"/>
        </w:rPr>
        <w:tab/>
      </w:r>
      <w:r w:rsidR="002E04FE" w:rsidRPr="00AF0D45">
        <w:rPr>
          <w:b/>
          <w:lang w:val="de-DE"/>
        </w:rPr>
        <w:t>Berichtigung des Absatzes 9.3.x.52.6</w:t>
      </w:r>
    </w:p>
    <w:p w14:paraId="41A4D4B5" w14:textId="1C76EDEE" w:rsidR="009753E1" w:rsidRPr="00AF0D45" w:rsidRDefault="002E04FE" w:rsidP="0042044F">
      <w:pPr>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ECE/TRANS/WP.15/AC.2/2018/52 (ZKR)</w:t>
      </w:r>
    </w:p>
    <w:p w14:paraId="6B810B01" w14:textId="4CCA9717" w:rsidR="009753E1" w:rsidRPr="00AF0D45" w:rsidRDefault="009753E1" w:rsidP="00A27262">
      <w:pPr>
        <w:spacing w:after="120"/>
        <w:ind w:left="1134" w:right="1134"/>
        <w:jc w:val="both"/>
        <w:rPr>
          <w:rFonts w:eastAsia="SimSun"/>
          <w:lang w:val="de-DE" w:eastAsia="zh-CN"/>
        </w:rPr>
      </w:pPr>
      <w:r w:rsidRPr="00AF0D45">
        <w:rPr>
          <w:rFonts w:eastAsia="SimSun"/>
          <w:lang w:val="de-DE" w:eastAsia="zh-CN"/>
        </w:rPr>
        <w:t>64.</w:t>
      </w:r>
      <w:r w:rsidRPr="00AF0D45">
        <w:rPr>
          <w:rFonts w:eastAsia="SimSun"/>
          <w:lang w:val="de-DE" w:eastAsia="zh-CN"/>
        </w:rPr>
        <w:tab/>
      </w:r>
      <w:r w:rsidR="002E04FE" w:rsidRPr="00AF0D45">
        <w:rPr>
          <w:rFonts w:eastAsia="SimSun"/>
          <w:lang w:val="de-DE" w:eastAsia="zh-CN"/>
        </w:rPr>
        <w:t>Der Sicherheitsausschuss nahm die Korrekturvorschläge zu Absatz 9.3.x.52.6 für ein Inkrafttreten am 1. Januar 2019 als Korrektur der Änderungsliste in Dokument ECE/ADN/45 an (siehe Anlage III).</w:t>
      </w:r>
    </w:p>
    <w:p w14:paraId="50900ABE" w14:textId="65741EE8" w:rsidR="009753E1" w:rsidRPr="00AF0D45" w:rsidRDefault="009753E1" w:rsidP="002E04FE">
      <w:pPr>
        <w:keepNext/>
        <w:keepLines/>
        <w:tabs>
          <w:tab w:val="right" w:pos="851"/>
        </w:tabs>
        <w:spacing w:before="240" w:after="120" w:line="240" w:lineRule="exact"/>
        <w:ind w:left="1134" w:right="1134" w:hanging="1134"/>
        <w:rPr>
          <w:b/>
          <w:lang w:val="de-DE"/>
        </w:rPr>
      </w:pPr>
      <w:r w:rsidRPr="00AF0D45">
        <w:rPr>
          <w:b/>
          <w:lang w:val="de-DE"/>
        </w:rPr>
        <w:tab/>
        <w:t>18.</w:t>
      </w:r>
      <w:r w:rsidRPr="00AF0D45">
        <w:rPr>
          <w:b/>
          <w:lang w:val="de-DE"/>
        </w:rPr>
        <w:tab/>
      </w:r>
      <w:r w:rsidR="002E04FE" w:rsidRPr="00AF0D45">
        <w:rPr>
          <w:b/>
          <w:lang w:val="de-DE"/>
        </w:rPr>
        <w:t>Neueinstufung der Explosionsgruppen für weitere UN-Nummern</w:t>
      </w:r>
    </w:p>
    <w:p w14:paraId="40F8EBB9" w14:textId="46D18058" w:rsidR="009753E1" w:rsidRPr="00AF0D45" w:rsidRDefault="002E04FE" w:rsidP="0042044F">
      <w:pPr>
        <w:tabs>
          <w:tab w:val="left" w:pos="3969"/>
        </w:tabs>
        <w:spacing w:after="120"/>
        <w:ind w:left="1134" w:right="1134"/>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ECE/TRANS/WP.15/AC.2/2018/50 (CEFIC)</w:t>
      </w:r>
    </w:p>
    <w:p w14:paraId="2877E3BD" w14:textId="60B1F77E" w:rsidR="009753E1" w:rsidRPr="00AF0D45" w:rsidRDefault="002E04FE" w:rsidP="0042044F">
      <w:pPr>
        <w:tabs>
          <w:tab w:val="left" w:pos="3969"/>
        </w:tabs>
        <w:spacing w:after="120"/>
        <w:ind w:left="1134" w:right="1134"/>
        <w:jc w:val="both"/>
        <w:rPr>
          <w:rFonts w:eastAsia="SimSun"/>
          <w:lang w:val="de-DE" w:eastAsia="zh-CN"/>
        </w:rPr>
      </w:pPr>
      <w:r w:rsidRPr="00AF0D45">
        <w:rPr>
          <w:rFonts w:eastAsia="SimSun"/>
          <w:i/>
          <w:iCs/>
          <w:lang w:val="de-DE" w:eastAsia="zh-CN"/>
        </w:rPr>
        <w:t>Informelles Dokument:</w:t>
      </w:r>
      <w:r w:rsidR="009753E1" w:rsidRPr="00AF0D45">
        <w:rPr>
          <w:rFonts w:eastAsia="SimSun"/>
          <w:i/>
          <w:iCs/>
          <w:lang w:val="de-DE" w:eastAsia="zh-CN"/>
        </w:rPr>
        <w:tab/>
      </w:r>
      <w:r w:rsidR="009753E1" w:rsidRPr="00AF0D45">
        <w:rPr>
          <w:rFonts w:eastAsia="SimSun"/>
          <w:lang w:val="de-DE" w:eastAsia="zh-CN"/>
        </w:rPr>
        <w:t>INF.23 (CEFIC)</w:t>
      </w:r>
    </w:p>
    <w:p w14:paraId="361F732E" w14:textId="5919C192" w:rsidR="009753E1" w:rsidRPr="00AF0D45" w:rsidRDefault="009753E1" w:rsidP="00A27262">
      <w:pPr>
        <w:spacing w:after="120"/>
        <w:ind w:left="1134" w:right="1134"/>
        <w:jc w:val="both"/>
        <w:rPr>
          <w:rFonts w:eastAsia="SimSun"/>
          <w:lang w:val="de-DE" w:eastAsia="zh-CN"/>
        </w:rPr>
      </w:pPr>
      <w:r w:rsidRPr="00AF0D45">
        <w:rPr>
          <w:rFonts w:eastAsia="SimSun"/>
          <w:lang w:val="de-DE" w:eastAsia="zh-CN"/>
        </w:rPr>
        <w:t>65</w:t>
      </w:r>
      <w:r w:rsidRPr="00AF0D45">
        <w:rPr>
          <w:lang w:val="de-DE"/>
        </w:rPr>
        <w:t>.</w:t>
      </w:r>
      <w:r w:rsidRPr="00AF0D45">
        <w:rPr>
          <w:lang w:val="de-DE"/>
        </w:rPr>
        <w:tab/>
      </w:r>
      <w:r w:rsidR="002E04FE" w:rsidRPr="00AF0D45">
        <w:rPr>
          <w:lang w:val="de-DE"/>
        </w:rPr>
        <w:t>Der Sicherheitsausschuss beschloss, die Frage zu UN-Nummer 3295 im informellen Dokument INF.23 an die informelle Arbeitsgruppe „Stoffe“ weiterzuleiten, und nahm die Änderungen an Tabelle C Spalte (16) für die UN-Nummern 1179, 1216 und 3256 mit einigen zusätzlichen Änderungen für ein Inkrafttreten am 1. Januar 2021 an (siehe Anlage I).</w:t>
      </w:r>
      <w:r w:rsidRPr="00AF0D45">
        <w:rPr>
          <w:lang w:val="de-DE"/>
        </w:rPr>
        <w:t xml:space="preserve"> </w:t>
      </w:r>
      <w:r w:rsidR="004B0545" w:rsidRPr="00AF0D45">
        <w:rPr>
          <w:lang w:val="de-DE"/>
        </w:rPr>
        <w:t>Der CEFIC-Vertreter erklärte sich bereit, die Option eines zusätzlichen Eintrags für die UN-Nummer 2395 in Tabelle C zu prüfen und der informellen Arbeitsgruppe „Stoffe“ Bericht zu erstatten.</w:t>
      </w:r>
      <w:r w:rsidRPr="00AF0D45">
        <w:rPr>
          <w:lang w:val="de-DE"/>
        </w:rPr>
        <w:t xml:space="preserve"> </w:t>
      </w:r>
    </w:p>
    <w:p w14:paraId="6F927F1B" w14:textId="763B5809" w:rsidR="009753E1" w:rsidRPr="00AF0D45" w:rsidRDefault="009753E1" w:rsidP="004B0545">
      <w:pPr>
        <w:keepNext/>
        <w:keepLines/>
        <w:tabs>
          <w:tab w:val="right" w:pos="851"/>
        </w:tabs>
        <w:spacing w:before="240" w:after="120" w:line="240" w:lineRule="exact"/>
        <w:ind w:left="1134" w:right="1134" w:hanging="1134"/>
        <w:rPr>
          <w:b/>
          <w:lang w:val="de-DE"/>
        </w:rPr>
      </w:pPr>
      <w:r w:rsidRPr="00AF0D45">
        <w:rPr>
          <w:b/>
          <w:lang w:val="de-DE"/>
        </w:rPr>
        <w:tab/>
        <w:t>19.</w:t>
      </w:r>
      <w:r w:rsidRPr="00AF0D45">
        <w:rPr>
          <w:b/>
          <w:lang w:val="de-DE"/>
        </w:rPr>
        <w:tab/>
      </w:r>
      <w:r w:rsidR="004B0545" w:rsidRPr="00AF0D45">
        <w:rPr>
          <w:b/>
          <w:lang w:val="de-DE"/>
        </w:rPr>
        <w:t>Prüfergebnisse zu Normspaltweiten und multilaterale Vereinbarung M 018</w:t>
      </w:r>
    </w:p>
    <w:p w14:paraId="62230F04" w14:textId="15040095" w:rsidR="009753E1" w:rsidRPr="00AF0D45" w:rsidRDefault="004B0545" w:rsidP="0042044F">
      <w:pPr>
        <w:tabs>
          <w:tab w:val="left" w:pos="3969"/>
        </w:tabs>
        <w:spacing w:after="120"/>
        <w:ind w:left="3969" w:right="1134" w:hanging="2835"/>
        <w:jc w:val="both"/>
        <w:rPr>
          <w:rFonts w:eastAsia="SimSun"/>
          <w:lang w:val="de-DE" w:eastAsia="zh-CN"/>
        </w:rPr>
      </w:pPr>
      <w:r w:rsidRPr="00AF0D45">
        <w:rPr>
          <w:rFonts w:eastAsia="SimSun"/>
          <w:i/>
          <w:iCs/>
          <w:lang w:val="de-DE" w:eastAsia="zh-CN"/>
        </w:rPr>
        <w:t>Dokument:</w:t>
      </w:r>
      <w:r w:rsidR="009753E1" w:rsidRPr="00AF0D45">
        <w:rPr>
          <w:rFonts w:eastAsia="SimSun"/>
          <w:i/>
          <w:iCs/>
          <w:lang w:val="de-DE" w:eastAsia="zh-CN"/>
        </w:rPr>
        <w:t xml:space="preserve"> </w:t>
      </w:r>
      <w:r w:rsidR="009753E1" w:rsidRPr="00AF0D45">
        <w:rPr>
          <w:rFonts w:eastAsia="SimSun"/>
          <w:i/>
          <w:iCs/>
          <w:lang w:val="de-DE" w:eastAsia="zh-CN"/>
        </w:rPr>
        <w:tab/>
      </w:r>
      <w:r w:rsidR="009753E1" w:rsidRPr="00AF0D45">
        <w:rPr>
          <w:rFonts w:eastAsia="SimSun"/>
          <w:i/>
          <w:iCs/>
          <w:lang w:val="de-DE" w:eastAsia="zh-CN"/>
        </w:rPr>
        <w:tab/>
      </w:r>
      <w:r w:rsidRPr="00AF0D45">
        <w:rPr>
          <w:rFonts w:eastAsia="SimSun"/>
          <w:lang w:val="de-DE" w:eastAsia="zh-CN"/>
        </w:rPr>
        <w:t>ECE/TRANS/WP.15/AC.2/2018/49 (ESO, EBU, ERSTU)</w:t>
      </w:r>
    </w:p>
    <w:p w14:paraId="7603EEFB" w14:textId="371D7CA2" w:rsidR="009753E1" w:rsidRPr="00AF0D45" w:rsidRDefault="009753E1" w:rsidP="00A27262">
      <w:pPr>
        <w:spacing w:after="120"/>
        <w:ind w:left="1134" w:right="1134"/>
        <w:jc w:val="both"/>
        <w:rPr>
          <w:rFonts w:eastAsia="SimSun"/>
          <w:lang w:val="de-DE" w:eastAsia="zh-CN"/>
        </w:rPr>
      </w:pPr>
      <w:r w:rsidRPr="00AF0D45">
        <w:rPr>
          <w:rFonts w:eastAsia="SimSun"/>
          <w:lang w:val="de-DE" w:eastAsia="zh-CN"/>
        </w:rPr>
        <w:t>66.</w:t>
      </w:r>
      <w:r w:rsidRPr="00AF0D45">
        <w:rPr>
          <w:rFonts w:eastAsia="SimSun"/>
          <w:lang w:val="de-DE" w:eastAsia="zh-CN"/>
        </w:rPr>
        <w:tab/>
      </w:r>
      <w:r w:rsidR="004B0545" w:rsidRPr="00AF0D45">
        <w:rPr>
          <w:rFonts w:eastAsia="SimSun"/>
          <w:lang w:val="de-DE" w:eastAsia="zh-CN"/>
        </w:rPr>
        <w:t>Der Sicherheitsausschuss nahm die in Dokument ECE/TRANS/WP.15/AC.2/2018/49 geäußerten Bedenken zur Kenntnis; da multilaterale Vereinbarungen nur von einer Vertragspartei des ADN initiiert werden können, vertrat er jedoch die Auffassung, dass es nicht in die Zuständigkeit des Sicherheitsausschusses fällt, hierüber zu entscheiden.</w:t>
      </w:r>
      <w:r w:rsidRPr="00AF0D45">
        <w:rPr>
          <w:rFonts w:eastAsia="SimSun"/>
          <w:lang w:val="de-DE" w:eastAsia="zh-CN"/>
        </w:rPr>
        <w:t xml:space="preserve"> </w:t>
      </w:r>
    </w:p>
    <w:p w14:paraId="0FF40DEB" w14:textId="2CBA840A" w:rsidR="009753E1" w:rsidRPr="00AF0D45" w:rsidRDefault="009753E1" w:rsidP="00A27262">
      <w:pPr>
        <w:keepNext/>
        <w:keepLines/>
        <w:tabs>
          <w:tab w:val="right" w:pos="851"/>
        </w:tabs>
        <w:spacing w:before="240" w:after="120" w:line="240" w:lineRule="exact"/>
        <w:ind w:left="1134" w:right="1134" w:hanging="1134"/>
        <w:rPr>
          <w:b/>
          <w:lang w:val="de-DE"/>
        </w:rPr>
      </w:pPr>
      <w:r w:rsidRPr="00AF0D45">
        <w:rPr>
          <w:b/>
          <w:lang w:val="de-DE"/>
        </w:rPr>
        <w:tab/>
        <w:t>20.</w:t>
      </w:r>
      <w:r w:rsidRPr="00AF0D45">
        <w:rPr>
          <w:b/>
          <w:lang w:val="de-DE"/>
        </w:rPr>
        <w:tab/>
      </w:r>
      <w:r w:rsidR="00F63013" w:rsidRPr="00AF0D45">
        <w:rPr>
          <w:b/>
          <w:lang w:val="de-DE"/>
        </w:rPr>
        <w:t>Unstimmigkeiten in den Schemata A und B in Unterabschnitt 3.2.3.3 ADN</w:t>
      </w:r>
    </w:p>
    <w:p w14:paraId="20C6B83B" w14:textId="3F784EF8" w:rsidR="009753E1" w:rsidRPr="00AF0D45" w:rsidRDefault="00F63013" w:rsidP="0042044F">
      <w:pPr>
        <w:tabs>
          <w:tab w:val="left" w:pos="3969"/>
        </w:tabs>
        <w:spacing w:after="120"/>
        <w:ind w:left="1134" w:right="1134"/>
        <w:jc w:val="both"/>
        <w:rPr>
          <w:rFonts w:eastAsia="SimSun"/>
          <w:lang w:val="de-DE" w:eastAsia="zh-CN"/>
        </w:rPr>
      </w:pPr>
      <w:r w:rsidRPr="00AF0D45">
        <w:rPr>
          <w:rFonts w:eastAsia="SimSun"/>
          <w:i/>
          <w:iCs/>
          <w:lang w:val="de-DE" w:eastAsia="zh-CN"/>
        </w:rPr>
        <w:t>Informelles Dokument:</w:t>
      </w:r>
      <w:r w:rsidR="009753E1" w:rsidRPr="00AF0D45">
        <w:rPr>
          <w:rFonts w:eastAsia="SimSun"/>
          <w:i/>
          <w:iCs/>
          <w:lang w:val="de-DE" w:eastAsia="zh-CN"/>
        </w:rPr>
        <w:tab/>
      </w:r>
      <w:r w:rsidR="009753E1" w:rsidRPr="00AF0D45">
        <w:rPr>
          <w:rFonts w:eastAsia="SimSun"/>
          <w:lang w:val="de-DE" w:eastAsia="zh-CN"/>
        </w:rPr>
        <w:t>INF.9 (</w:t>
      </w:r>
      <w:proofErr w:type="spellStart"/>
      <w:r w:rsidR="009753E1" w:rsidRPr="00AF0D45">
        <w:rPr>
          <w:rFonts w:eastAsia="SimSun"/>
          <w:lang w:val="de-DE" w:eastAsia="zh-CN"/>
        </w:rPr>
        <w:t>FuelsEurope</w:t>
      </w:r>
      <w:proofErr w:type="spellEnd"/>
      <w:r w:rsidR="009753E1" w:rsidRPr="00AF0D45">
        <w:rPr>
          <w:rFonts w:eastAsia="SimSun"/>
          <w:lang w:val="de-DE" w:eastAsia="zh-CN"/>
        </w:rPr>
        <w:t>)</w:t>
      </w:r>
    </w:p>
    <w:p w14:paraId="02966A55" w14:textId="2FF409EE" w:rsidR="009753E1" w:rsidRPr="00AF0D45" w:rsidRDefault="009753E1" w:rsidP="00A27262">
      <w:pPr>
        <w:pStyle w:val="SingleTxtG"/>
        <w:rPr>
          <w:lang w:val="de-DE"/>
        </w:rPr>
      </w:pPr>
      <w:r w:rsidRPr="00AF0D45">
        <w:rPr>
          <w:lang w:val="de-DE"/>
        </w:rPr>
        <w:t>67.</w:t>
      </w:r>
      <w:r w:rsidRPr="00AF0D45">
        <w:rPr>
          <w:lang w:val="de-DE"/>
        </w:rPr>
        <w:tab/>
      </w:r>
      <w:r w:rsidR="00F63013" w:rsidRPr="00AF0D45">
        <w:rPr>
          <w:lang w:val="de-DE"/>
        </w:rPr>
        <w:t xml:space="preserve">Der Sicherheitsausschuss stellte fest, dass </w:t>
      </w:r>
      <w:proofErr w:type="spellStart"/>
      <w:r w:rsidR="00F63013" w:rsidRPr="00AF0D45">
        <w:rPr>
          <w:lang w:val="de-DE"/>
        </w:rPr>
        <w:t>FuelsEurope</w:t>
      </w:r>
      <w:proofErr w:type="spellEnd"/>
      <w:r w:rsidR="00F63013" w:rsidRPr="00AF0D45">
        <w:rPr>
          <w:lang w:val="de-DE"/>
        </w:rPr>
        <w:t xml:space="preserve"> weiterhin an einem Vorschlag zur Behebung der Unstimmigkeiten zwischen den Schemata A und B in Unterabschnitt 3.2.3.3 ADN arbeitet und in einer der nächsten Sitzungen einen Vorschlag zur Prüfung durch den Sicherheitsausschuss unterbreiten wird.</w:t>
      </w:r>
    </w:p>
    <w:p w14:paraId="5F79E983" w14:textId="21C0C91F" w:rsidR="009753E1" w:rsidRPr="00AF0D45" w:rsidRDefault="009753E1" w:rsidP="00F63013">
      <w:pPr>
        <w:pStyle w:val="HChG"/>
        <w:spacing w:before="200" w:after="200" w:line="240" w:lineRule="auto"/>
        <w:rPr>
          <w:lang w:val="de-DE"/>
        </w:rPr>
      </w:pPr>
      <w:r w:rsidRPr="00AF0D45">
        <w:rPr>
          <w:lang w:val="de-DE"/>
        </w:rPr>
        <w:lastRenderedPageBreak/>
        <w:tab/>
      </w:r>
      <w:r w:rsidR="00F63013" w:rsidRPr="00AF0D45">
        <w:rPr>
          <w:lang w:val="de-DE"/>
        </w:rPr>
        <w:t>VI.</w:t>
      </w:r>
      <w:r w:rsidRPr="00AF0D45">
        <w:rPr>
          <w:lang w:val="de-DE"/>
        </w:rPr>
        <w:tab/>
      </w:r>
      <w:r w:rsidR="00F63013" w:rsidRPr="00AF0D45">
        <w:rPr>
          <w:lang w:val="de-DE"/>
        </w:rPr>
        <w:t>Berichte informeller Arbeitsgruppen (TOP 5)</w:t>
      </w:r>
    </w:p>
    <w:p w14:paraId="63002DFE" w14:textId="7D1CB285" w:rsidR="009753E1" w:rsidRPr="00AF0D45" w:rsidRDefault="009753E1" w:rsidP="00F63013">
      <w:pPr>
        <w:pStyle w:val="H1G"/>
        <w:spacing w:before="240" w:line="240" w:lineRule="auto"/>
        <w:rPr>
          <w:lang w:val="de-DE"/>
        </w:rPr>
      </w:pPr>
      <w:r w:rsidRPr="00AF0D45">
        <w:rPr>
          <w:lang w:val="de-DE"/>
        </w:rPr>
        <w:tab/>
      </w:r>
      <w:r w:rsidR="00F63013" w:rsidRPr="00AF0D45">
        <w:rPr>
          <w:lang w:val="de-DE"/>
        </w:rPr>
        <w:t>A.</w:t>
      </w:r>
      <w:r w:rsidRPr="00AF0D45">
        <w:rPr>
          <w:lang w:val="de-DE"/>
        </w:rPr>
        <w:tab/>
      </w:r>
      <w:r w:rsidR="00F63013" w:rsidRPr="00AF0D45">
        <w:rPr>
          <w:lang w:val="de-DE"/>
        </w:rPr>
        <w:t>Informelle Arbeitsgruppe „Membrantanks“</w:t>
      </w:r>
    </w:p>
    <w:p w14:paraId="18F14D3B" w14:textId="5E952C16" w:rsidR="009753E1" w:rsidRPr="00AF0D45" w:rsidRDefault="00F63013" w:rsidP="0042044F">
      <w:pPr>
        <w:pStyle w:val="SingleTxtG"/>
        <w:tabs>
          <w:tab w:val="left" w:pos="3969"/>
        </w:tabs>
        <w:ind w:left="3969" w:hanging="2835"/>
        <w:rPr>
          <w:lang w:val="de-DE"/>
        </w:rPr>
      </w:pPr>
      <w:r w:rsidRPr="00AF0D45">
        <w:rPr>
          <w:i/>
          <w:iCs/>
          <w:lang w:val="de-DE"/>
        </w:rPr>
        <w:t>Dokument:</w:t>
      </w:r>
      <w:r w:rsidR="009753E1" w:rsidRPr="00AF0D45">
        <w:rPr>
          <w:i/>
          <w:iCs/>
          <w:lang w:val="de-DE"/>
        </w:rPr>
        <w:t xml:space="preserve"> </w:t>
      </w:r>
      <w:r w:rsidR="009753E1" w:rsidRPr="00AF0D45">
        <w:rPr>
          <w:i/>
          <w:iCs/>
          <w:lang w:val="de-DE"/>
        </w:rPr>
        <w:tab/>
      </w:r>
      <w:r w:rsidR="009753E1" w:rsidRPr="00AF0D45">
        <w:rPr>
          <w:i/>
          <w:iCs/>
          <w:lang w:val="de-DE"/>
        </w:rPr>
        <w:tab/>
      </w:r>
      <w:r w:rsidRPr="00AF0D45">
        <w:rPr>
          <w:lang w:val="de-DE"/>
        </w:rPr>
        <w:t>ECE/TRANS/WP.15/AC.2/2018/35 (Belgien, Frankreich und Niederlande)</w:t>
      </w:r>
    </w:p>
    <w:p w14:paraId="7C2C8FBF" w14:textId="039EC4A8" w:rsidR="009753E1" w:rsidRPr="00AF0D45" w:rsidRDefault="00F63013" w:rsidP="00F63013">
      <w:pPr>
        <w:pStyle w:val="SingleTxtG"/>
        <w:spacing w:after="80" w:line="240" w:lineRule="auto"/>
        <w:rPr>
          <w:lang w:val="de-DE"/>
        </w:rPr>
      </w:pPr>
      <w:r w:rsidRPr="00AF0D45">
        <w:rPr>
          <w:i/>
          <w:iCs/>
          <w:lang w:val="de-DE"/>
        </w:rPr>
        <w:t>Informelles Dokument:</w:t>
      </w:r>
      <w:r w:rsidR="009753E1" w:rsidRPr="00AF0D45">
        <w:rPr>
          <w:i/>
          <w:iCs/>
          <w:lang w:val="de-DE"/>
        </w:rPr>
        <w:tab/>
      </w:r>
      <w:r w:rsidRPr="00AF0D45">
        <w:rPr>
          <w:lang w:val="de-DE"/>
        </w:rPr>
        <w:t>INF.25 (Frankreich)</w:t>
      </w:r>
    </w:p>
    <w:p w14:paraId="54937EE2" w14:textId="0F011234" w:rsidR="009753E1" w:rsidRPr="00AF0D45" w:rsidRDefault="009753E1" w:rsidP="007D6D0A">
      <w:pPr>
        <w:pStyle w:val="SingleTxtG"/>
        <w:rPr>
          <w:lang w:val="de-DE"/>
        </w:rPr>
      </w:pPr>
      <w:r w:rsidRPr="00AF0D45">
        <w:rPr>
          <w:lang w:val="de-DE"/>
        </w:rPr>
        <w:t>68.</w:t>
      </w:r>
      <w:r w:rsidRPr="00AF0D45">
        <w:rPr>
          <w:lang w:val="de-DE"/>
        </w:rPr>
        <w:tab/>
      </w:r>
      <w:r w:rsidR="003125F1" w:rsidRPr="00AF0D45">
        <w:rPr>
          <w:lang w:val="de-DE"/>
        </w:rPr>
        <w:t>Der Sicherheitsausschuss vereinbarte, dass die informelle Arbeitsgruppe an diesem Thema weiterarbeiten und Bestimmungen für das ADN entwickeln sollte, um den Einsatz dieser Technologie zu ermöglichen.</w:t>
      </w:r>
      <w:r w:rsidRPr="00AF0D45">
        <w:rPr>
          <w:lang w:val="de-DE"/>
        </w:rPr>
        <w:t xml:space="preserve"> </w:t>
      </w:r>
      <w:r w:rsidR="00577152" w:rsidRPr="00AF0D45">
        <w:rPr>
          <w:lang w:val="de-DE"/>
        </w:rPr>
        <w:t>Diese Bestimmungen sollten sich nicht nur auf die Konstruktion des Schiffes, sondern auch auf die Betriebs- und Ausbildungsanforderungen erstrecken.</w:t>
      </w:r>
      <w:r w:rsidRPr="00AF0D45">
        <w:rPr>
          <w:lang w:val="de-DE"/>
        </w:rPr>
        <w:t xml:space="preserve"> </w:t>
      </w:r>
      <w:r w:rsidR="00BB666E" w:rsidRPr="00AF0D45">
        <w:rPr>
          <w:lang w:val="de-DE"/>
        </w:rPr>
        <w:t xml:space="preserve">Es wurde darauf hingewiesen, dass die neuen Bestimmungen Membrantanks als Alternative zu herkömmlichen Drucktanks und nicht als Ersatz </w:t>
      </w:r>
      <w:r w:rsidR="00E03535" w:rsidRPr="00AF0D45">
        <w:rPr>
          <w:lang w:val="de-DE"/>
        </w:rPr>
        <w:t>vorsehen</w:t>
      </w:r>
      <w:r w:rsidR="00BB666E" w:rsidRPr="00AF0D45">
        <w:rPr>
          <w:lang w:val="de-DE"/>
        </w:rPr>
        <w:t xml:space="preserve"> sollten, </w:t>
      </w:r>
      <w:r w:rsidR="00E03535" w:rsidRPr="00AF0D45">
        <w:rPr>
          <w:lang w:val="de-DE"/>
        </w:rPr>
        <w:t>ohne dadurch das derzeitige Sicherheitsniveau zu beeinträchtigen</w:t>
      </w:r>
      <w:r w:rsidR="00BB666E" w:rsidRPr="00AF0D45">
        <w:rPr>
          <w:lang w:val="de-DE"/>
        </w:rPr>
        <w:t>.</w:t>
      </w:r>
      <w:r w:rsidRPr="00AF0D45">
        <w:rPr>
          <w:lang w:val="de-DE"/>
        </w:rPr>
        <w:t xml:space="preserve"> </w:t>
      </w:r>
      <w:r w:rsidR="00E03535" w:rsidRPr="00AF0D45">
        <w:rPr>
          <w:lang w:val="de-DE"/>
        </w:rPr>
        <w:t>Herkömmliche Drucktanks, die derzeit für die Beförderung von LNG verwendet werden, sollen weiterhin zulässig sein.</w:t>
      </w:r>
    </w:p>
    <w:p w14:paraId="39777E8A" w14:textId="6E997BD4" w:rsidR="009753E1" w:rsidRPr="00AF0D45" w:rsidRDefault="009753E1" w:rsidP="007D6D0A">
      <w:pPr>
        <w:pStyle w:val="SingleTxtG"/>
        <w:rPr>
          <w:lang w:val="de-DE"/>
        </w:rPr>
      </w:pPr>
      <w:r w:rsidRPr="00AF0D45">
        <w:rPr>
          <w:lang w:val="de-DE"/>
        </w:rPr>
        <w:t>69.</w:t>
      </w:r>
      <w:r w:rsidRPr="00AF0D45">
        <w:rPr>
          <w:lang w:val="de-DE"/>
        </w:rPr>
        <w:tab/>
      </w:r>
      <w:r w:rsidR="006B3918" w:rsidRPr="00AF0D45">
        <w:rPr>
          <w:lang w:val="de-DE"/>
        </w:rPr>
        <w:t>Der Sicherheitsausschuss stimmte den in Absatz 15 des Dokuments ECE/TRANS/WP.15/AC.2/2018/35 aufgeführten Möglichkeiten zu und ersuchte die informelle Arbeitsgruppe ferner um</w:t>
      </w:r>
    </w:p>
    <w:p w14:paraId="383E5730" w14:textId="6AE01B95" w:rsidR="009753E1" w:rsidRPr="00AF0D45" w:rsidRDefault="006B3918" w:rsidP="007D6D0A">
      <w:pPr>
        <w:pStyle w:val="SingleTxtG"/>
        <w:tabs>
          <w:tab w:val="left" w:pos="2268"/>
        </w:tabs>
        <w:ind w:firstLine="567"/>
        <w:rPr>
          <w:lang w:val="de-DE"/>
        </w:rPr>
      </w:pPr>
      <w:r w:rsidRPr="00AF0D45">
        <w:rPr>
          <w:lang w:val="de-DE"/>
        </w:rPr>
        <w:t>a)</w:t>
      </w:r>
      <w:r w:rsidR="009753E1" w:rsidRPr="00AF0D45">
        <w:rPr>
          <w:lang w:val="de-DE"/>
        </w:rPr>
        <w:t xml:space="preserve"> </w:t>
      </w:r>
      <w:r w:rsidR="009753E1" w:rsidRPr="00AF0D45">
        <w:rPr>
          <w:lang w:val="de-DE"/>
        </w:rPr>
        <w:tab/>
      </w:r>
      <w:r w:rsidRPr="00AF0D45">
        <w:rPr>
          <w:lang w:val="de-DE"/>
        </w:rPr>
        <w:t>relevante Informationen über die Marktentwicklung in den letzten Jahren sowie über voraussichtliche Trends und Bedürfnisse, die durch den Einsatz dieser Technologie entstehen können (z. B. Zertifizierungen);</w:t>
      </w:r>
      <w:r w:rsidR="009753E1" w:rsidRPr="00AF0D45">
        <w:rPr>
          <w:lang w:val="de-DE"/>
        </w:rPr>
        <w:t xml:space="preserve"> </w:t>
      </w:r>
    </w:p>
    <w:p w14:paraId="4AA3AB39" w14:textId="43D33107" w:rsidR="009753E1" w:rsidRPr="00AF0D45" w:rsidRDefault="006B3918" w:rsidP="007D6D0A">
      <w:pPr>
        <w:pStyle w:val="SingleTxtG"/>
        <w:tabs>
          <w:tab w:val="left" w:pos="2268"/>
        </w:tabs>
        <w:ind w:firstLine="567"/>
        <w:rPr>
          <w:lang w:val="de-DE"/>
        </w:rPr>
      </w:pPr>
      <w:r w:rsidRPr="00AF0D45">
        <w:rPr>
          <w:lang w:val="de-DE"/>
        </w:rPr>
        <w:t>b)</w:t>
      </w:r>
      <w:r w:rsidR="009753E1" w:rsidRPr="00AF0D45">
        <w:rPr>
          <w:lang w:val="de-DE"/>
        </w:rPr>
        <w:t xml:space="preserve"> </w:t>
      </w:r>
      <w:r w:rsidR="009753E1" w:rsidRPr="00AF0D45">
        <w:rPr>
          <w:lang w:val="de-DE"/>
        </w:rPr>
        <w:tab/>
      </w:r>
      <w:r w:rsidRPr="00AF0D45">
        <w:rPr>
          <w:lang w:val="de-DE"/>
        </w:rPr>
        <w:t>weitere Definition der Liste von Stoffen oder Stoffarten, die in Membrantanks befördert werden dürfen;</w:t>
      </w:r>
    </w:p>
    <w:p w14:paraId="2234D268" w14:textId="711EB380" w:rsidR="009753E1" w:rsidRPr="00AF0D45" w:rsidRDefault="006B3918" w:rsidP="007D6D0A">
      <w:pPr>
        <w:pStyle w:val="SingleTxtG"/>
        <w:tabs>
          <w:tab w:val="left" w:pos="2268"/>
        </w:tabs>
        <w:ind w:firstLine="567"/>
        <w:rPr>
          <w:lang w:val="de-DE"/>
        </w:rPr>
      </w:pPr>
      <w:r w:rsidRPr="00AF0D45">
        <w:rPr>
          <w:lang w:val="de-DE"/>
        </w:rPr>
        <w:t>c)</w:t>
      </w:r>
      <w:r w:rsidR="009753E1" w:rsidRPr="00AF0D45">
        <w:rPr>
          <w:lang w:val="de-DE"/>
        </w:rPr>
        <w:t xml:space="preserve"> </w:t>
      </w:r>
      <w:r w:rsidR="009753E1" w:rsidRPr="00AF0D45">
        <w:rPr>
          <w:lang w:val="de-DE"/>
        </w:rPr>
        <w:tab/>
      </w:r>
      <w:r w:rsidRPr="00AF0D45">
        <w:rPr>
          <w:lang w:val="de-DE"/>
        </w:rPr>
        <w:t>Prüfung der Ausarbeitung einer Sondervorschrift über die Beförderung in Membrantanks oder alternativ Entwicklung einer allgemeine</w:t>
      </w:r>
      <w:r w:rsidR="00D636C1" w:rsidRPr="00AF0D45">
        <w:rPr>
          <w:lang w:val="de-DE"/>
        </w:rPr>
        <w:t>n</w:t>
      </w:r>
      <w:r w:rsidRPr="00AF0D45">
        <w:rPr>
          <w:lang w:val="de-DE"/>
        </w:rPr>
        <w:t xml:space="preserve"> Begriffsbestimmung für „Membrantanks“ zur Aufnahme in Kapitel 1.2 des ADN.</w:t>
      </w:r>
      <w:r w:rsidR="009753E1" w:rsidRPr="00AF0D45">
        <w:rPr>
          <w:lang w:val="de-DE"/>
        </w:rPr>
        <w:t xml:space="preserve"> </w:t>
      </w:r>
      <w:r w:rsidR="00D636C1" w:rsidRPr="00AF0D45">
        <w:rPr>
          <w:lang w:val="de-DE"/>
        </w:rPr>
        <w:t>Die Begriffsbestimmung sollte keine Verweise auf bestimmte Technologien enthalten.</w:t>
      </w:r>
    </w:p>
    <w:p w14:paraId="31AD2604" w14:textId="50853745" w:rsidR="009753E1" w:rsidRPr="00AF0D45" w:rsidRDefault="009753E1" w:rsidP="00564813">
      <w:pPr>
        <w:pStyle w:val="SingleTxtG"/>
        <w:rPr>
          <w:lang w:val="de-DE"/>
        </w:rPr>
      </w:pPr>
      <w:r w:rsidRPr="00AF0D45">
        <w:rPr>
          <w:lang w:val="de-DE"/>
        </w:rPr>
        <w:t>70.</w:t>
      </w:r>
      <w:r w:rsidRPr="00AF0D45">
        <w:rPr>
          <w:lang w:val="de-DE"/>
        </w:rPr>
        <w:tab/>
      </w:r>
      <w:r w:rsidR="00D636C1" w:rsidRPr="00AF0D45">
        <w:rPr>
          <w:lang w:val="de-DE"/>
        </w:rPr>
        <w:t>Der Vertreter der Niederlande teilte dem Sicherheitsausschuss mit, dass die informelle Arbeitsgruppe beabsichtige, am 11. und 12. Oktober 2018 in Den Haag erneut zusammenzutreten.</w:t>
      </w:r>
      <w:r w:rsidRPr="00AF0D45">
        <w:rPr>
          <w:lang w:val="de-DE"/>
        </w:rPr>
        <w:t xml:space="preserve"> </w:t>
      </w:r>
      <w:r w:rsidR="00D636C1" w:rsidRPr="00AF0D45">
        <w:rPr>
          <w:lang w:val="de-DE"/>
        </w:rPr>
        <w:t>Er rief alle Delegationen, die an einer Teilnahme an dieser Sitzung interessiert sind, auf, sich mit ihm oder dem Vertreter Frankreichs in Verbindung zu setzen.</w:t>
      </w:r>
    </w:p>
    <w:p w14:paraId="5A98488F" w14:textId="0A1EE663" w:rsidR="009753E1" w:rsidRPr="00AF0D45" w:rsidRDefault="009753E1" w:rsidP="00564813">
      <w:pPr>
        <w:pStyle w:val="H1G"/>
        <w:spacing w:before="240" w:line="240" w:lineRule="auto"/>
        <w:rPr>
          <w:lang w:val="de-DE"/>
        </w:rPr>
      </w:pPr>
      <w:r w:rsidRPr="00AF0D45">
        <w:rPr>
          <w:lang w:val="de-DE"/>
        </w:rPr>
        <w:tab/>
      </w:r>
      <w:r w:rsidR="00D636C1" w:rsidRPr="00AF0D45">
        <w:rPr>
          <w:lang w:val="de-DE"/>
        </w:rPr>
        <w:t>B.</w:t>
      </w:r>
      <w:r w:rsidRPr="00AF0D45">
        <w:rPr>
          <w:lang w:val="de-DE"/>
        </w:rPr>
        <w:tab/>
      </w:r>
      <w:r w:rsidR="00D636C1" w:rsidRPr="00AF0D45">
        <w:rPr>
          <w:lang w:val="de-DE"/>
        </w:rPr>
        <w:t>Zweite Sitzung der informellen Arbeitsgruppe „Load-on-Top“</w:t>
      </w:r>
    </w:p>
    <w:p w14:paraId="1F247F60" w14:textId="15B1984D" w:rsidR="009753E1" w:rsidRPr="00AF0D45" w:rsidRDefault="00D636C1" w:rsidP="0042044F">
      <w:pPr>
        <w:pStyle w:val="SingleTxtG"/>
        <w:ind w:left="3969" w:hanging="2835"/>
        <w:rPr>
          <w:lang w:val="de-DE"/>
        </w:rPr>
      </w:pPr>
      <w:r w:rsidRPr="00AF0D45">
        <w:rPr>
          <w:i/>
          <w:iCs/>
          <w:lang w:val="de-DE"/>
        </w:rPr>
        <w:t>Dokument:</w:t>
      </w:r>
      <w:r w:rsidR="009753E1" w:rsidRPr="00AF0D45">
        <w:rPr>
          <w:i/>
          <w:iCs/>
          <w:lang w:val="de-DE"/>
        </w:rPr>
        <w:t xml:space="preserve"> </w:t>
      </w:r>
      <w:r w:rsidR="009753E1" w:rsidRPr="00AF0D45">
        <w:rPr>
          <w:i/>
          <w:iCs/>
          <w:lang w:val="de-DE"/>
        </w:rPr>
        <w:tab/>
      </w:r>
      <w:r w:rsidR="009753E1" w:rsidRPr="00AF0D45">
        <w:rPr>
          <w:i/>
          <w:iCs/>
          <w:lang w:val="de-DE"/>
        </w:rPr>
        <w:tab/>
      </w:r>
      <w:r w:rsidR="009753E1" w:rsidRPr="00AF0D45">
        <w:rPr>
          <w:lang w:val="de-DE"/>
        </w:rPr>
        <w:t xml:space="preserve">ECE/TRANS/WP.15/AC.2/2018/39 (FETSA, EBU, ESO, EBOTA, </w:t>
      </w:r>
      <w:proofErr w:type="spellStart"/>
      <w:r w:rsidR="009753E1" w:rsidRPr="00AF0D45">
        <w:rPr>
          <w:lang w:val="de-DE"/>
        </w:rPr>
        <w:t>FuelsEurope</w:t>
      </w:r>
      <w:proofErr w:type="spellEnd"/>
      <w:r w:rsidR="009753E1" w:rsidRPr="00AF0D45">
        <w:rPr>
          <w:lang w:val="de-DE"/>
        </w:rPr>
        <w:t>)</w:t>
      </w:r>
    </w:p>
    <w:p w14:paraId="56374F27" w14:textId="374E67A4" w:rsidR="009753E1" w:rsidRPr="00AF0D45" w:rsidRDefault="00AD611B" w:rsidP="0042044F">
      <w:pPr>
        <w:pStyle w:val="SingleTxtG"/>
        <w:spacing w:line="240" w:lineRule="auto"/>
        <w:ind w:left="3969" w:hanging="2835"/>
        <w:rPr>
          <w:lang w:val="de-DE"/>
        </w:rPr>
      </w:pPr>
      <w:r w:rsidRPr="00AF0D45">
        <w:rPr>
          <w:i/>
          <w:iCs/>
          <w:lang w:val="de-DE"/>
        </w:rPr>
        <w:t>Informelles Dokument:</w:t>
      </w:r>
      <w:r w:rsidR="009753E1" w:rsidRPr="00AF0D45">
        <w:rPr>
          <w:i/>
          <w:iCs/>
          <w:lang w:val="de-DE"/>
        </w:rPr>
        <w:tab/>
      </w:r>
      <w:r w:rsidR="009753E1" w:rsidRPr="00AF0D45">
        <w:rPr>
          <w:lang w:val="de-DE"/>
        </w:rPr>
        <w:t>INF.17</w:t>
      </w:r>
      <w:r w:rsidR="00FC6064" w:rsidRPr="00AF0D45">
        <w:rPr>
          <w:lang w:val="de-DE"/>
        </w:rPr>
        <w:t xml:space="preserve"> (FETSA, EBU, ESO, EBOTA, </w:t>
      </w:r>
      <w:proofErr w:type="spellStart"/>
      <w:r w:rsidR="00FC6064" w:rsidRPr="00AF0D45">
        <w:rPr>
          <w:lang w:val="de-DE"/>
        </w:rPr>
        <w:t>Fuels</w:t>
      </w:r>
      <w:r w:rsidR="009753E1" w:rsidRPr="00AF0D45">
        <w:rPr>
          <w:lang w:val="de-DE"/>
        </w:rPr>
        <w:t>Europe</w:t>
      </w:r>
      <w:proofErr w:type="spellEnd"/>
      <w:r w:rsidR="009753E1" w:rsidRPr="00AF0D45">
        <w:rPr>
          <w:lang w:val="de-DE"/>
        </w:rPr>
        <w:t>)</w:t>
      </w:r>
    </w:p>
    <w:p w14:paraId="22E47DBC" w14:textId="6092C475" w:rsidR="009753E1" w:rsidRPr="00AF0D45" w:rsidRDefault="009753E1" w:rsidP="00564813">
      <w:pPr>
        <w:pStyle w:val="SingleTxtG"/>
        <w:rPr>
          <w:lang w:val="de-DE"/>
        </w:rPr>
      </w:pPr>
      <w:r w:rsidRPr="00AF0D45">
        <w:rPr>
          <w:lang w:val="de-DE"/>
        </w:rPr>
        <w:t>71.</w:t>
      </w:r>
      <w:r w:rsidRPr="00AF0D45">
        <w:rPr>
          <w:lang w:val="de-DE"/>
        </w:rPr>
        <w:tab/>
      </w:r>
      <w:r w:rsidR="00AD611B" w:rsidRPr="00AF0D45">
        <w:rPr>
          <w:lang w:val="de-DE"/>
        </w:rPr>
        <w:t xml:space="preserve">Der Sicherheitsausschuss sprach sich gegen die Fortsetzung der </w:t>
      </w:r>
      <w:r w:rsidR="00C85769" w:rsidRPr="00AF0D45">
        <w:rPr>
          <w:lang w:val="de-DE"/>
        </w:rPr>
        <w:t>in Dokument ECE/TRANS/WP.15/AC.2/2018/39 beschriebenen Arbeiten aus</w:t>
      </w:r>
      <w:r w:rsidR="00AD611B" w:rsidRPr="00AF0D45">
        <w:rPr>
          <w:lang w:val="de-DE"/>
        </w:rPr>
        <w:t>. Er vertrat die Auffassung, dass die Festle</w:t>
      </w:r>
      <w:r w:rsidR="006A25B9" w:rsidRPr="00AF0D45">
        <w:rPr>
          <w:lang w:val="de-DE"/>
        </w:rPr>
        <w:t>gung von Bestimmungen für Mischarbeiten</w:t>
      </w:r>
      <w:r w:rsidR="00AD611B" w:rsidRPr="00AF0D45">
        <w:rPr>
          <w:lang w:val="de-DE"/>
        </w:rPr>
        <w:t xml:space="preserve"> an Bord von Binnenschiffen nicht in den Anwendungsbereich des ADN fällt.</w:t>
      </w:r>
      <w:r w:rsidRPr="00AF0D45">
        <w:rPr>
          <w:lang w:val="de-DE"/>
        </w:rPr>
        <w:t xml:space="preserve"> </w:t>
      </w:r>
      <w:r w:rsidR="00D8059C" w:rsidRPr="00AF0D45">
        <w:rPr>
          <w:lang w:val="de-DE"/>
        </w:rPr>
        <w:t xml:space="preserve">Es wurde festgestellt, dass solche Arbeiten </w:t>
      </w:r>
      <w:r w:rsidR="00D574E0" w:rsidRPr="00AF0D45">
        <w:rPr>
          <w:lang w:val="de-DE"/>
        </w:rPr>
        <w:t>üblicherweise</w:t>
      </w:r>
      <w:r w:rsidR="00D8059C" w:rsidRPr="00AF0D45">
        <w:rPr>
          <w:lang w:val="de-DE"/>
        </w:rPr>
        <w:t xml:space="preserve"> in Anlagen durchgeführt werden, die unter andere Vorschriften wie die SEVESO-Richtlinie</w:t>
      </w:r>
      <w:r w:rsidR="0069046B" w:rsidRPr="00AF0D45">
        <w:rPr>
          <w:rStyle w:val="FootnoteReference"/>
          <w:lang w:val="de-DE"/>
        </w:rPr>
        <w:footnoteReference w:id="3"/>
      </w:r>
      <w:r w:rsidR="00D8059C" w:rsidRPr="00AF0D45">
        <w:rPr>
          <w:lang w:val="de-DE"/>
        </w:rPr>
        <w:t xml:space="preserve"> oder nationale </w:t>
      </w:r>
      <w:r w:rsidR="00D574E0" w:rsidRPr="00AF0D45">
        <w:rPr>
          <w:lang w:val="de-DE"/>
        </w:rPr>
        <w:t xml:space="preserve">Vorschriften </w:t>
      </w:r>
      <w:r w:rsidR="00D8059C" w:rsidRPr="00AF0D45">
        <w:rPr>
          <w:lang w:val="de-DE"/>
        </w:rPr>
        <w:t>für Häfen fallen</w:t>
      </w:r>
      <w:r w:rsidR="0069046B" w:rsidRPr="00AF0D45">
        <w:rPr>
          <w:lang w:val="de-DE"/>
        </w:rPr>
        <w:t>;</w:t>
      </w:r>
      <w:r w:rsidR="00D8059C" w:rsidRPr="00AF0D45">
        <w:rPr>
          <w:lang w:val="de-DE"/>
        </w:rPr>
        <w:t xml:space="preserve"> einige Delegationen bezweifelten, dass bei Durchführung dieser Arbeiten an Bord </w:t>
      </w:r>
      <w:r w:rsidR="0069046B" w:rsidRPr="00AF0D45">
        <w:rPr>
          <w:lang w:val="de-DE"/>
        </w:rPr>
        <w:t>ein gleichwertiges</w:t>
      </w:r>
      <w:r w:rsidR="00D8059C" w:rsidRPr="00AF0D45">
        <w:rPr>
          <w:lang w:val="de-DE"/>
        </w:rPr>
        <w:t xml:space="preserve"> Sicherheitsniveau erreicht werden kann.</w:t>
      </w:r>
      <w:r w:rsidRPr="00AF0D45">
        <w:rPr>
          <w:lang w:val="de-DE"/>
        </w:rPr>
        <w:t xml:space="preserve"> </w:t>
      </w:r>
      <w:r w:rsidR="00877AD5" w:rsidRPr="00AF0D45">
        <w:rPr>
          <w:lang w:val="de-DE"/>
        </w:rPr>
        <w:t>Ferner wurde festgestellt, dass Mischarbeiten auf Seeschiffen auf See verboten sind und die Überwachung dieser und anderer Tätigkeiten in Seehäfen durch nationale Rechtsvorschriften geregelt ist.</w:t>
      </w:r>
      <w:r w:rsidRPr="00AF0D45">
        <w:rPr>
          <w:lang w:val="de-DE"/>
        </w:rPr>
        <w:t xml:space="preserve"> </w:t>
      </w:r>
      <w:r w:rsidR="00877AD5" w:rsidRPr="00AF0D45">
        <w:rPr>
          <w:lang w:val="de-DE"/>
        </w:rPr>
        <w:t>Die Regierungsdelegationen, die sich dazu äußerten, vertraten die Auffassung, dass „Load-on-Top“ im Rahmen des ADN derzeit nicht als ein rechtlich zulässiges Verfahren angesehen werden kann.</w:t>
      </w:r>
      <w:r w:rsidRPr="00AF0D45">
        <w:rPr>
          <w:lang w:val="de-DE"/>
        </w:rPr>
        <w:t xml:space="preserve"> </w:t>
      </w:r>
    </w:p>
    <w:p w14:paraId="32B864B9" w14:textId="66126748" w:rsidR="009753E1" w:rsidRPr="00AF0D45" w:rsidRDefault="009753E1" w:rsidP="00564813">
      <w:pPr>
        <w:pStyle w:val="SingleTxtG"/>
        <w:rPr>
          <w:lang w:val="de-DE"/>
        </w:rPr>
      </w:pPr>
      <w:r w:rsidRPr="00AF0D45">
        <w:rPr>
          <w:lang w:val="de-DE"/>
        </w:rPr>
        <w:lastRenderedPageBreak/>
        <w:t>72.</w:t>
      </w:r>
      <w:r w:rsidRPr="00AF0D45">
        <w:rPr>
          <w:lang w:val="de-DE"/>
        </w:rPr>
        <w:tab/>
      </w:r>
      <w:r w:rsidR="00801E4A" w:rsidRPr="00AF0D45">
        <w:rPr>
          <w:lang w:val="de-DE"/>
        </w:rPr>
        <w:t xml:space="preserve">Sollte eine Änderung in der Praxis </w:t>
      </w:r>
      <w:r w:rsidR="00162138" w:rsidRPr="00AF0D45">
        <w:rPr>
          <w:lang w:val="de-DE"/>
        </w:rPr>
        <w:t>in Bezug auf</w:t>
      </w:r>
      <w:r w:rsidR="00801E4A" w:rsidRPr="00AF0D45">
        <w:rPr>
          <w:lang w:val="de-DE"/>
        </w:rPr>
        <w:t xml:space="preserve"> Mischarbeiten an Bord gerechtfertigt sein, wie </w:t>
      </w:r>
      <w:r w:rsidR="00162138" w:rsidRPr="00AF0D45">
        <w:rPr>
          <w:lang w:val="de-DE"/>
        </w:rPr>
        <w:t>von Gewerbe</w:t>
      </w:r>
      <w:r w:rsidR="00801E4A" w:rsidRPr="00AF0D45">
        <w:rPr>
          <w:lang w:val="de-DE"/>
        </w:rPr>
        <w:t>vertreter</w:t>
      </w:r>
      <w:r w:rsidR="00162138" w:rsidRPr="00AF0D45">
        <w:rPr>
          <w:lang w:val="de-DE"/>
        </w:rPr>
        <w:t>n</w:t>
      </w:r>
      <w:r w:rsidR="00801E4A" w:rsidRPr="00AF0D45">
        <w:rPr>
          <w:lang w:val="de-DE"/>
        </w:rPr>
        <w:t xml:space="preserve"> </w:t>
      </w:r>
      <w:r w:rsidR="00162138" w:rsidRPr="00AF0D45">
        <w:rPr>
          <w:lang w:val="de-DE"/>
        </w:rPr>
        <w:t>angegeben, vertrat d</w:t>
      </w:r>
      <w:r w:rsidR="00A84CEE" w:rsidRPr="00AF0D45">
        <w:rPr>
          <w:lang w:val="de-DE"/>
        </w:rPr>
        <w:t xml:space="preserve">er Sicherheitsausschuss </w:t>
      </w:r>
      <w:r w:rsidR="00162138" w:rsidRPr="00AF0D45">
        <w:rPr>
          <w:lang w:val="de-DE"/>
        </w:rPr>
        <w:t>die Ansicht</w:t>
      </w:r>
      <w:r w:rsidR="00A84CEE" w:rsidRPr="00AF0D45">
        <w:rPr>
          <w:lang w:val="de-DE"/>
        </w:rPr>
        <w:t>, dass die informelle Arbeitsgruppe die anwendbaren spezifischen Verfahren erläutern und eine klare Beschreibung aller betrieblichen Einzelheiten (z.</w:t>
      </w:r>
      <w:r w:rsidR="00801E4A" w:rsidRPr="00AF0D45">
        <w:rPr>
          <w:lang w:val="de-DE"/>
        </w:rPr>
        <w:t> </w:t>
      </w:r>
      <w:r w:rsidR="00A84CEE" w:rsidRPr="00AF0D45">
        <w:rPr>
          <w:lang w:val="de-DE"/>
        </w:rPr>
        <w:t>B. Menge und Art der beteiligten Stoffe, Sicherheits</w:t>
      </w:r>
      <w:r w:rsidR="00801E4A" w:rsidRPr="00AF0D45">
        <w:rPr>
          <w:lang w:val="de-DE"/>
        </w:rPr>
        <w:t>aspekt</w:t>
      </w:r>
      <w:r w:rsidR="00A84CEE" w:rsidRPr="00AF0D45">
        <w:rPr>
          <w:lang w:val="de-DE"/>
        </w:rPr>
        <w:t xml:space="preserve">e, Bedarf an spezifischer Ausrüstung wie Flammendurchschlagsicherungen, Ausbildungsanforderungen) sowie aller mit diesen </w:t>
      </w:r>
      <w:r w:rsidR="00801E4A" w:rsidRPr="00AF0D45">
        <w:rPr>
          <w:lang w:val="de-DE"/>
        </w:rPr>
        <w:t>Arbeiten</w:t>
      </w:r>
      <w:r w:rsidR="00A84CEE" w:rsidRPr="00AF0D45">
        <w:rPr>
          <w:lang w:val="de-DE"/>
        </w:rPr>
        <w:t xml:space="preserve"> verbundenen Pflichten, wie die </w:t>
      </w:r>
      <w:r w:rsidR="00801E4A" w:rsidRPr="00AF0D45">
        <w:rPr>
          <w:lang w:val="de-DE"/>
        </w:rPr>
        <w:t>Unterrichtung</w:t>
      </w:r>
      <w:r w:rsidR="00A84CEE" w:rsidRPr="00AF0D45">
        <w:rPr>
          <w:lang w:val="de-DE"/>
        </w:rPr>
        <w:t xml:space="preserve"> de</w:t>
      </w:r>
      <w:r w:rsidR="00801E4A" w:rsidRPr="00AF0D45">
        <w:rPr>
          <w:lang w:val="de-DE"/>
        </w:rPr>
        <w:t>r</w:t>
      </w:r>
      <w:r w:rsidR="00A84CEE" w:rsidRPr="00AF0D45">
        <w:rPr>
          <w:lang w:val="de-DE"/>
        </w:rPr>
        <w:t xml:space="preserve"> zuständigen Behörden und Maßnahmen zur Ver</w:t>
      </w:r>
      <w:r w:rsidR="00801E4A" w:rsidRPr="00AF0D45">
        <w:rPr>
          <w:lang w:val="de-DE"/>
        </w:rPr>
        <w:t>hinder</w:t>
      </w:r>
      <w:r w:rsidR="00A84CEE" w:rsidRPr="00AF0D45">
        <w:rPr>
          <w:lang w:val="de-DE"/>
        </w:rPr>
        <w:t>ung von Missbrauch der Vorschriften (z.</w:t>
      </w:r>
      <w:r w:rsidR="00801E4A" w:rsidRPr="00AF0D45">
        <w:rPr>
          <w:lang w:val="de-DE"/>
        </w:rPr>
        <w:t> </w:t>
      </w:r>
      <w:r w:rsidR="00A84CEE" w:rsidRPr="00AF0D45">
        <w:rPr>
          <w:lang w:val="de-DE"/>
        </w:rPr>
        <w:t>B. Misch</w:t>
      </w:r>
      <w:r w:rsidR="00801E4A" w:rsidRPr="00AF0D45">
        <w:rPr>
          <w:lang w:val="de-DE"/>
        </w:rPr>
        <w:t>e</w:t>
      </w:r>
      <w:r w:rsidR="00A84CEE" w:rsidRPr="00AF0D45">
        <w:rPr>
          <w:lang w:val="de-DE"/>
        </w:rPr>
        <w:t>n</w:t>
      </w:r>
      <w:r w:rsidR="00801E4A" w:rsidRPr="00AF0D45">
        <w:rPr>
          <w:lang w:val="de-DE"/>
        </w:rPr>
        <w:t xml:space="preserve"> von Abfallprodukten), vo</w:t>
      </w:r>
      <w:r w:rsidR="00162138" w:rsidRPr="00AF0D45">
        <w:rPr>
          <w:lang w:val="de-DE"/>
        </w:rPr>
        <w:t>rlegen sollte</w:t>
      </w:r>
      <w:r w:rsidR="00A84CEE" w:rsidRPr="00AF0D45">
        <w:rPr>
          <w:lang w:val="de-DE"/>
        </w:rPr>
        <w:t>.</w:t>
      </w:r>
      <w:r w:rsidRPr="00AF0D45">
        <w:rPr>
          <w:lang w:val="de-DE"/>
        </w:rPr>
        <w:t xml:space="preserve"> </w:t>
      </w:r>
    </w:p>
    <w:p w14:paraId="66FCD55C" w14:textId="2B545D1F" w:rsidR="009753E1" w:rsidRPr="00AF0D45" w:rsidRDefault="009753E1" w:rsidP="00564813">
      <w:pPr>
        <w:pStyle w:val="SingleTxtG"/>
        <w:rPr>
          <w:lang w:val="de-DE"/>
        </w:rPr>
      </w:pPr>
      <w:r w:rsidRPr="00AF0D45">
        <w:rPr>
          <w:lang w:val="de-DE"/>
        </w:rPr>
        <w:t>73.</w:t>
      </w:r>
      <w:r w:rsidRPr="00AF0D45">
        <w:rPr>
          <w:lang w:val="de-DE"/>
        </w:rPr>
        <w:tab/>
      </w:r>
      <w:r w:rsidR="00162138" w:rsidRPr="00AF0D45">
        <w:rPr>
          <w:lang w:val="de-DE"/>
        </w:rPr>
        <w:t>Der Vertreter der Niederlande erklärte sich bereit, einen Fahrplan für die künftigen Arbeiten zu entwickeln, der dem Sicherheitsausschuss in seiner nächsten Sitzung zur Prüfung vorgelegt werden soll.</w:t>
      </w:r>
    </w:p>
    <w:p w14:paraId="0C92278E" w14:textId="57CEC488" w:rsidR="009753E1" w:rsidRPr="00AF0D45" w:rsidRDefault="009753E1" w:rsidP="00162138">
      <w:pPr>
        <w:pStyle w:val="H1G"/>
        <w:rPr>
          <w:lang w:val="de-DE"/>
        </w:rPr>
      </w:pPr>
      <w:r w:rsidRPr="00AF0D45">
        <w:rPr>
          <w:lang w:val="de-DE"/>
        </w:rPr>
        <w:tab/>
      </w:r>
      <w:r w:rsidR="00162138" w:rsidRPr="00AF0D45">
        <w:rPr>
          <w:lang w:val="de-DE"/>
        </w:rPr>
        <w:t>C.</w:t>
      </w:r>
      <w:r w:rsidRPr="00AF0D45">
        <w:rPr>
          <w:lang w:val="de-DE"/>
        </w:rPr>
        <w:tab/>
      </w:r>
      <w:r w:rsidR="00162138" w:rsidRPr="00AF0D45">
        <w:rPr>
          <w:lang w:val="de-DE"/>
        </w:rPr>
        <w:t>Informelle Arbeitsgruppe „Stoffe“</w:t>
      </w:r>
    </w:p>
    <w:p w14:paraId="5E043319" w14:textId="2EF54217" w:rsidR="009753E1" w:rsidRPr="00AF0D45" w:rsidRDefault="00162138" w:rsidP="0042044F">
      <w:pPr>
        <w:pStyle w:val="SingleTxtG"/>
        <w:tabs>
          <w:tab w:val="left" w:pos="3969"/>
        </w:tabs>
        <w:rPr>
          <w:lang w:val="de-DE"/>
        </w:rPr>
      </w:pPr>
      <w:r w:rsidRPr="00AF0D45">
        <w:rPr>
          <w:i/>
          <w:iCs/>
          <w:lang w:val="de-DE"/>
        </w:rPr>
        <w:t>Dokument:</w:t>
      </w:r>
      <w:r w:rsidR="009753E1" w:rsidRPr="00AF0D45">
        <w:rPr>
          <w:lang w:val="de-DE"/>
        </w:rPr>
        <w:t xml:space="preserve"> </w:t>
      </w:r>
      <w:r w:rsidR="009753E1" w:rsidRPr="00AF0D45">
        <w:rPr>
          <w:lang w:val="de-DE"/>
        </w:rPr>
        <w:tab/>
      </w:r>
      <w:r w:rsidRPr="00AF0D45">
        <w:rPr>
          <w:lang w:val="de-DE"/>
        </w:rPr>
        <w:t>ECE/TRANS/WP.15/AC.2/2018/44 (Deutschland)</w:t>
      </w:r>
    </w:p>
    <w:p w14:paraId="62292EFB" w14:textId="11EB643E" w:rsidR="009753E1" w:rsidRPr="00AF0D45" w:rsidRDefault="009753E1" w:rsidP="00564813">
      <w:pPr>
        <w:pStyle w:val="SingleTxtG"/>
        <w:rPr>
          <w:lang w:val="de-DE"/>
        </w:rPr>
      </w:pPr>
      <w:r w:rsidRPr="00AF0D45">
        <w:rPr>
          <w:lang w:val="de-DE"/>
        </w:rPr>
        <w:t>74.</w:t>
      </w:r>
      <w:r w:rsidRPr="00AF0D45">
        <w:rPr>
          <w:lang w:val="de-DE"/>
        </w:rPr>
        <w:tab/>
      </w:r>
      <w:r w:rsidR="00162138" w:rsidRPr="00AF0D45">
        <w:rPr>
          <w:lang w:val="de-DE"/>
        </w:rPr>
        <w:t>Der Sicherheitsausschuss stimmte dem Vorschlag der informellen Arbeitsgruppe in Absatz 10 des Dokuments zur Notwendigkeit einer Überarbeitung der Beispiele in Absatz 3.1.2.8.1.4 zu und nahm die Änderungen in den Absätzen 5 bis 9, 12 bis 18, 21, 23, 24, 30, 31 und 38 für die Ausgabe 2021 des ADN an (siehe Anlage I).</w:t>
      </w:r>
      <w:r w:rsidRPr="00AF0D45">
        <w:rPr>
          <w:lang w:val="de-DE"/>
        </w:rPr>
        <w:t xml:space="preserve"> </w:t>
      </w:r>
      <w:r w:rsidR="00162138" w:rsidRPr="00AF0D45">
        <w:rPr>
          <w:lang w:val="de-DE"/>
        </w:rPr>
        <w:t>Der Vorschlag in Absatz 17, der nur die deutsche Fassung betrifft, wurde ebenfalls angenommen.</w:t>
      </w:r>
    </w:p>
    <w:p w14:paraId="60FC3869" w14:textId="39659418" w:rsidR="009753E1" w:rsidRPr="00AF0D45" w:rsidRDefault="009753E1" w:rsidP="00564813">
      <w:pPr>
        <w:pStyle w:val="SingleTxtG"/>
        <w:rPr>
          <w:lang w:val="de-DE"/>
        </w:rPr>
      </w:pPr>
      <w:r w:rsidRPr="00AF0D45">
        <w:rPr>
          <w:lang w:val="de-DE"/>
        </w:rPr>
        <w:t>75.</w:t>
      </w:r>
      <w:r w:rsidRPr="00AF0D45">
        <w:rPr>
          <w:lang w:val="de-DE"/>
        </w:rPr>
        <w:tab/>
      </w:r>
      <w:r w:rsidR="00162138" w:rsidRPr="00AF0D45">
        <w:rPr>
          <w:lang w:val="de-DE"/>
        </w:rPr>
        <w:t>Zu dem Vorschlag in Absatz 8 des Dokuments stellte der Sicherheitsausschuss</w:t>
      </w:r>
      <w:r w:rsidR="00CB0C2F" w:rsidRPr="00AF0D45">
        <w:rPr>
          <w:lang w:val="de-DE"/>
        </w:rPr>
        <w:t xml:space="preserve"> fest, dass die Streichung von „</w:t>
      </w:r>
      <w:r w:rsidR="00162138" w:rsidRPr="00AF0D45">
        <w:rPr>
          <w:lang w:val="de-DE"/>
        </w:rPr>
        <w:t>wasserfrei</w:t>
      </w:r>
      <w:r w:rsidR="00CB0C2F" w:rsidRPr="00AF0D45">
        <w:rPr>
          <w:lang w:val="de-DE"/>
        </w:rPr>
        <w:t>“</w:t>
      </w:r>
      <w:r w:rsidR="00162138" w:rsidRPr="00AF0D45">
        <w:rPr>
          <w:lang w:val="de-DE"/>
        </w:rPr>
        <w:t xml:space="preserve"> aus de</w:t>
      </w:r>
      <w:r w:rsidR="00CB0C2F" w:rsidRPr="00AF0D45">
        <w:rPr>
          <w:lang w:val="de-DE"/>
        </w:rPr>
        <w:t>r Benennung</w:t>
      </w:r>
      <w:r w:rsidR="00162138" w:rsidRPr="00AF0D45">
        <w:rPr>
          <w:lang w:val="de-DE"/>
        </w:rPr>
        <w:t xml:space="preserve"> </w:t>
      </w:r>
      <w:r w:rsidR="00CB0C2F" w:rsidRPr="00AF0D45">
        <w:rPr>
          <w:lang w:val="de-DE"/>
        </w:rPr>
        <w:t>des Stoffes mit der Stoffnummer 9000 keine sicherheitsrelevant</w:t>
      </w:r>
      <w:r w:rsidR="00162138" w:rsidRPr="00AF0D45">
        <w:rPr>
          <w:lang w:val="de-DE"/>
        </w:rPr>
        <w:t xml:space="preserve">en Auswirkungen hat und gerechtfertigt ist, da tiefgekühlte Flüssigkeiten </w:t>
      </w:r>
      <w:r w:rsidR="00564813" w:rsidRPr="00AF0D45">
        <w:rPr>
          <w:lang w:val="de-DE"/>
        </w:rPr>
        <w:t>stets</w:t>
      </w:r>
      <w:r w:rsidR="00162138" w:rsidRPr="00AF0D45">
        <w:rPr>
          <w:lang w:val="de-DE"/>
        </w:rPr>
        <w:t xml:space="preserve"> </w:t>
      </w:r>
      <w:r w:rsidR="00CB0C2F" w:rsidRPr="00AF0D45">
        <w:rPr>
          <w:lang w:val="de-DE"/>
        </w:rPr>
        <w:t>w</w:t>
      </w:r>
      <w:r w:rsidR="00162138" w:rsidRPr="00AF0D45">
        <w:rPr>
          <w:lang w:val="de-DE"/>
        </w:rPr>
        <w:t>asserfrei sind und die</w:t>
      </w:r>
      <w:r w:rsidR="00CB0C2F" w:rsidRPr="00AF0D45">
        <w:rPr>
          <w:lang w:val="de-DE"/>
        </w:rPr>
        <w:t>se</w:t>
      </w:r>
      <w:r w:rsidR="00162138" w:rsidRPr="00AF0D45">
        <w:rPr>
          <w:lang w:val="de-DE"/>
        </w:rPr>
        <w:t xml:space="preserve"> Angabe </w:t>
      </w:r>
      <w:r w:rsidR="00CB0C2F" w:rsidRPr="00AF0D45">
        <w:rPr>
          <w:lang w:val="de-DE"/>
        </w:rPr>
        <w:t xml:space="preserve">daher </w:t>
      </w:r>
      <w:r w:rsidR="00162138" w:rsidRPr="00AF0D45">
        <w:rPr>
          <w:lang w:val="de-DE"/>
        </w:rPr>
        <w:t>überflüssig ist.</w:t>
      </w:r>
    </w:p>
    <w:p w14:paraId="470CFD32" w14:textId="39411334" w:rsidR="009753E1" w:rsidRPr="00AF0D45" w:rsidRDefault="009753E1" w:rsidP="00564813">
      <w:pPr>
        <w:pStyle w:val="SingleTxtG"/>
        <w:rPr>
          <w:lang w:val="de-DE"/>
        </w:rPr>
      </w:pPr>
      <w:r w:rsidRPr="00AF0D45">
        <w:rPr>
          <w:lang w:val="de-DE"/>
        </w:rPr>
        <w:t>76.</w:t>
      </w:r>
      <w:r w:rsidRPr="00AF0D45">
        <w:rPr>
          <w:lang w:val="de-DE"/>
        </w:rPr>
        <w:tab/>
      </w:r>
      <w:r w:rsidR="002E0D90" w:rsidRPr="00AF0D45">
        <w:rPr>
          <w:lang w:val="de-DE"/>
        </w:rPr>
        <w:t xml:space="preserve">Der Sicherheitsausschuss ersuchte die informelle Arbeitsgruppe, eine Übergangsfrist für Ölschlamm zu prüfen und Vorschläge zur Lösung der in Absatz 28 des Dokuments </w:t>
      </w:r>
      <w:r w:rsidR="00A004BE" w:rsidRPr="00AF0D45">
        <w:rPr>
          <w:lang w:val="de-DE"/>
        </w:rPr>
        <w:t>angesprochenen</w:t>
      </w:r>
      <w:r w:rsidR="002E0D90" w:rsidRPr="00AF0D45">
        <w:rPr>
          <w:lang w:val="de-DE"/>
        </w:rPr>
        <w:t xml:space="preserve"> </w:t>
      </w:r>
      <w:r w:rsidR="00A004BE" w:rsidRPr="00AF0D45">
        <w:rPr>
          <w:lang w:val="de-DE"/>
        </w:rPr>
        <w:t>Problems</w:t>
      </w:r>
      <w:r w:rsidR="002E0D90" w:rsidRPr="00AF0D45">
        <w:rPr>
          <w:lang w:val="de-DE"/>
        </w:rPr>
        <w:t xml:space="preserve"> in Bezug a</w:t>
      </w:r>
      <w:r w:rsidR="006A6108" w:rsidRPr="00AF0D45">
        <w:rPr>
          <w:lang w:val="de-DE"/>
        </w:rPr>
        <w:t>uf die Verwendung des Begriffs „</w:t>
      </w:r>
      <w:r w:rsidR="002E0D90" w:rsidRPr="00AF0D45">
        <w:rPr>
          <w:lang w:val="de-DE"/>
        </w:rPr>
        <w:t>Schlamm</w:t>
      </w:r>
      <w:r w:rsidR="006A6108" w:rsidRPr="00AF0D45">
        <w:rPr>
          <w:lang w:val="de-DE"/>
        </w:rPr>
        <w:t>“</w:t>
      </w:r>
      <w:r w:rsidR="002E0D90" w:rsidRPr="00AF0D45">
        <w:rPr>
          <w:lang w:val="de-DE"/>
        </w:rPr>
        <w:t xml:space="preserve"> vorzulegen.</w:t>
      </w:r>
    </w:p>
    <w:p w14:paraId="585A33F7" w14:textId="50B4DCC6" w:rsidR="009753E1" w:rsidRPr="00AF0D45" w:rsidRDefault="009753E1" w:rsidP="00564813">
      <w:pPr>
        <w:pStyle w:val="SingleTxtG"/>
        <w:rPr>
          <w:lang w:val="de-DE"/>
        </w:rPr>
      </w:pPr>
      <w:r w:rsidRPr="00AF0D45">
        <w:rPr>
          <w:lang w:val="de-DE"/>
        </w:rPr>
        <w:t>77.</w:t>
      </w:r>
      <w:r w:rsidRPr="00AF0D45">
        <w:rPr>
          <w:lang w:val="de-DE"/>
        </w:rPr>
        <w:tab/>
      </w:r>
      <w:r w:rsidR="00B31695" w:rsidRPr="00AF0D45">
        <w:rPr>
          <w:lang w:val="de-DE"/>
        </w:rPr>
        <w:t>Der Vorschlag in Absatz 38 und die Bemerkung in Absatz 44 wurden für die Ausgabe 2021 des ADN angenommen (siehe Anlage I).</w:t>
      </w:r>
      <w:r w:rsidRPr="00AF0D45">
        <w:rPr>
          <w:lang w:val="de-DE"/>
        </w:rPr>
        <w:t xml:space="preserve"> </w:t>
      </w:r>
      <w:r w:rsidR="00AD2C84" w:rsidRPr="00AF0D45">
        <w:rPr>
          <w:lang w:val="de-DE"/>
        </w:rPr>
        <w:t>Der Sicherheitsausschuss bestätigte, dass für die ADN-Ausgabe 2019 die gleiche Auslegung gilt, d.</w:t>
      </w:r>
      <w:r w:rsidR="00870BA4" w:rsidRPr="00AF0D45">
        <w:rPr>
          <w:lang w:val="de-DE"/>
        </w:rPr>
        <w:t> </w:t>
      </w:r>
      <w:r w:rsidR="00AD2C84" w:rsidRPr="00AF0D45">
        <w:rPr>
          <w:lang w:val="de-DE"/>
        </w:rPr>
        <w:t>h. eine Unterscheidung zwischen den Untergruppen II B3, II B2 oder II B1 der Explosionsgruppe II B oder II A aufgrund von Messdaten oder verifizierten Informationen gemäß IEC 60079-20-1 oder vergleichbar möglich</w:t>
      </w:r>
      <w:r w:rsidR="00564813" w:rsidRPr="00AF0D45">
        <w:rPr>
          <w:lang w:val="de-DE"/>
        </w:rPr>
        <w:t xml:space="preserve"> ist</w:t>
      </w:r>
      <w:r w:rsidR="00AD2C84" w:rsidRPr="00AF0D45">
        <w:rPr>
          <w:lang w:val="de-DE"/>
        </w:rPr>
        <w:t>.</w:t>
      </w:r>
    </w:p>
    <w:p w14:paraId="17886B8A" w14:textId="61445C03" w:rsidR="009753E1" w:rsidRPr="00AF0D45" w:rsidRDefault="009753E1" w:rsidP="00564813">
      <w:pPr>
        <w:pStyle w:val="HChG"/>
        <w:rPr>
          <w:lang w:val="de-DE"/>
        </w:rPr>
      </w:pPr>
      <w:r w:rsidRPr="00AF0D45">
        <w:rPr>
          <w:lang w:val="de-DE"/>
        </w:rPr>
        <w:tab/>
      </w:r>
      <w:r w:rsidR="00AD2C84" w:rsidRPr="00AF0D45">
        <w:rPr>
          <w:lang w:val="de-DE"/>
        </w:rPr>
        <w:t>VII.</w:t>
      </w:r>
      <w:r w:rsidRPr="00AF0D45">
        <w:rPr>
          <w:lang w:val="de-DE"/>
        </w:rPr>
        <w:tab/>
      </w:r>
      <w:r w:rsidR="00AD2C84" w:rsidRPr="00AF0D45">
        <w:rPr>
          <w:lang w:val="de-DE"/>
        </w:rPr>
        <w:t>Arbeitsprogramm und Sitzungsplan (TOP 6)</w:t>
      </w:r>
    </w:p>
    <w:p w14:paraId="67925AAE" w14:textId="0306C3B3" w:rsidR="009753E1" w:rsidRPr="00AF0D45" w:rsidRDefault="009753E1" w:rsidP="00564813">
      <w:pPr>
        <w:pStyle w:val="SingleTxtG"/>
        <w:rPr>
          <w:lang w:val="de-DE"/>
        </w:rPr>
      </w:pPr>
      <w:r w:rsidRPr="00AF0D45">
        <w:rPr>
          <w:lang w:val="de-DE"/>
        </w:rPr>
        <w:t>78.</w:t>
      </w:r>
      <w:r w:rsidRPr="00AF0D45">
        <w:rPr>
          <w:lang w:val="de-DE"/>
        </w:rPr>
        <w:tab/>
      </w:r>
      <w:r w:rsidR="007A4A1B" w:rsidRPr="00AF0D45">
        <w:rPr>
          <w:lang w:val="de-DE"/>
        </w:rPr>
        <w:t xml:space="preserve">Der Sicherheitsausschuss nahm zur Kenntnis, dass seine nächste (vierunddreißigste) Sitzung </w:t>
      </w:r>
      <w:r w:rsidR="001F16D7" w:rsidRPr="00AF0D45">
        <w:rPr>
          <w:lang w:val="de-DE"/>
        </w:rPr>
        <w:t xml:space="preserve">voraussichtlich </w:t>
      </w:r>
      <w:r w:rsidR="007A4A1B" w:rsidRPr="00AF0D45">
        <w:rPr>
          <w:lang w:val="de-DE"/>
        </w:rPr>
        <w:t>vom 21. bis 25. Januar 2019 in Genf stattfinde</w:t>
      </w:r>
      <w:r w:rsidR="001F16D7" w:rsidRPr="00AF0D45">
        <w:rPr>
          <w:lang w:val="de-DE"/>
        </w:rPr>
        <w:t>t</w:t>
      </w:r>
      <w:r w:rsidR="007A4A1B" w:rsidRPr="00AF0D45">
        <w:rPr>
          <w:lang w:val="de-DE"/>
        </w:rPr>
        <w:t xml:space="preserve">, und die zweiundzwanzigste Sitzung des ADN-Verwaltungsausschusses </w:t>
      </w:r>
      <w:r w:rsidR="001F16D7" w:rsidRPr="00AF0D45">
        <w:rPr>
          <w:lang w:val="de-DE"/>
        </w:rPr>
        <w:t>für den</w:t>
      </w:r>
      <w:r w:rsidR="007A4A1B" w:rsidRPr="00AF0D45">
        <w:rPr>
          <w:lang w:val="de-DE"/>
        </w:rPr>
        <w:t xml:space="preserve"> 25. Januar 2019 </w:t>
      </w:r>
      <w:r w:rsidR="001F16D7" w:rsidRPr="00AF0D45">
        <w:rPr>
          <w:lang w:val="de-DE"/>
        </w:rPr>
        <w:t>anberaumt ist</w:t>
      </w:r>
      <w:r w:rsidR="007A4A1B" w:rsidRPr="00AF0D45">
        <w:rPr>
          <w:lang w:val="de-DE"/>
        </w:rPr>
        <w:t xml:space="preserve">. </w:t>
      </w:r>
      <w:r w:rsidR="001F16D7" w:rsidRPr="00AF0D45">
        <w:rPr>
          <w:lang w:val="de-DE"/>
        </w:rPr>
        <w:t>Letzter</w:t>
      </w:r>
      <w:r w:rsidR="007A4A1B" w:rsidRPr="00AF0D45">
        <w:rPr>
          <w:lang w:val="de-DE"/>
        </w:rPr>
        <w:t xml:space="preserve"> </w:t>
      </w:r>
      <w:r w:rsidR="001F16D7" w:rsidRPr="00AF0D45">
        <w:rPr>
          <w:lang w:val="de-DE"/>
        </w:rPr>
        <w:t>Termin</w:t>
      </w:r>
      <w:r w:rsidR="007A4A1B" w:rsidRPr="00AF0D45">
        <w:rPr>
          <w:lang w:val="de-DE"/>
        </w:rPr>
        <w:t xml:space="preserve"> für die Einreichung </w:t>
      </w:r>
      <w:r w:rsidR="001F16D7" w:rsidRPr="00AF0D45">
        <w:rPr>
          <w:lang w:val="de-DE"/>
        </w:rPr>
        <w:t>von Dokumenten</w:t>
      </w:r>
      <w:r w:rsidR="007A4A1B" w:rsidRPr="00AF0D45">
        <w:rPr>
          <w:lang w:val="de-DE"/>
        </w:rPr>
        <w:t xml:space="preserve"> für diese Sitzungen ist der 26. Oktober 2018.</w:t>
      </w:r>
    </w:p>
    <w:p w14:paraId="74ADC556" w14:textId="65512E57" w:rsidR="009753E1" w:rsidRPr="00AF0D45" w:rsidRDefault="009753E1" w:rsidP="00564813">
      <w:pPr>
        <w:pStyle w:val="SingleTxtG"/>
        <w:rPr>
          <w:snapToGrid w:val="0"/>
          <w:lang w:val="de-DE"/>
        </w:rPr>
      </w:pPr>
      <w:r w:rsidRPr="00AF0D45">
        <w:rPr>
          <w:lang w:val="de-DE"/>
        </w:rPr>
        <w:t>79.</w:t>
      </w:r>
      <w:r w:rsidRPr="00AF0D45">
        <w:rPr>
          <w:lang w:val="de-DE"/>
        </w:rPr>
        <w:tab/>
      </w:r>
      <w:r w:rsidR="00C8690F" w:rsidRPr="00AF0D45">
        <w:rPr>
          <w:lang w:val="de-DE"/>
        </w:rPr>
        <w:t>Der Vertreter Deutschlands teilte dem Sicherheitsausschuss mit, dass im nächsten Zweijahreszeitraum nach Inkrafttreten der neuen Bestimmungen zum Explosionsschutz mit einer erheblichen Anzahl von Fragen zu rechnen sei.</w:t>
      </w:r>
      <w:r w:rsidRPr="00AF0D45">
        <w:rPr>
          <w:lang w:val="de-DE"/>
        </w:rPr>
        <w:t xml:space="preserve"> </w:t>
      </w:r>
      <w:r w:rsidR="00C8690F" w:rsidRPr="00AF0D45">
        <w:rPr>
          <w:lang w:val="de-DE"/>
        </w:rPr>
        <w:t>In Anbetracht der Tatsache, dass die informelle Arbeitsgruppe, die diese Bestimmungen entwickelt hat, nicht mehr besteht, ersuchte der Sicherheitsausschuss die informelle Arbeitsgruppe „Stoffe“, die Aufnahme dieses Punktes in ihr Arbeitsprogramm für den nächsten Zweijahreszeitraum zu prüfen, und ermunterte die Sachverständigen auf diesem Gebiet, sich der informellen Arbeitsgruppe anzuschließen.</w:t>
      </w:r>
      <w:r w:rsidRPr="00AF0D45">
        <w:rPr>
          <w:lang w:val="de-DE"/>
        </w:rPr>
        <w:t xml:space="preserve"> </w:t>
      </w:r>
      <w:r w:rsidR="00C8690F" w:rsidRPr="00AF0D45">
        <w:rPr>
          <w:lang w:val="de-DE"/>
        </w:rPr>
        <w:t xml:space="preserve">Der Vorsitzende der informellen Arbeitsgruppe erklärte, dass die Gruppe ihr Bestes tun werde, um diese neuen Aufgaben zu bewältigen, stellte jedoch fest, dass sie </w:t>
      </w:r>
      <w:r w:rsidR="00870BA4" w:rsidRPr="00AF0D45">
        <w:rPr>
          <w:lang w:val="de-DE"/>
        </w:rPr>
        <w:t>das</w:t>
      </w:r>
      <w:r w:rsidR="00C8690F" w:rsidRPr="00AF0D45">
        <w:rPr>
          <w:lang w:val="de-DE"/>
        </w:rPr>
        <w:t xml:space="preserve"> </w:t>
      </w:r>
      <w:r w:rsidR="00564813" w:rsidRPr="00AF0D45">
        <w:rPr>
          <w:lang w:val="de-DE"/>
        </w:rPr>
        <w:t>Betätigungsfeld</w:t>
      </w:r>
      <w:r w:rsidR="00C8690F" w:rsidRPr="00AF0D45">
        <w:rPr>
          <w:lang w:val="de-DE"/>
        </w:rPr>
        <w:t xml:space="preserve"> und d</w:t>
      </w:r>
      <w:r w:rsidR="00C5253A" w:rsidRPr="00AF0D45">
        <w:rPr>
          <w:lang w:val="de-DE"/>
        </w:rPr>
        <w:t>i</w:t>
      </w:r>
      <w:r w:rsidR="00C8690F" w:rsidRPr="00AF0D45">
        <w:rPr>
          <w:lang w:val="de-DE"/>
        </w:rPr>
        <w:t xml:space="preserve">e Arbeitsbelastung der Gruppe </w:t>
      </w:r>
      <w:r w:rsidR="00870BA4" w:rsidRPr="00AF0D45">
        <w:rPr>
          <w:lang w:val="de-DE"/>
        </w:rPr>
        <w:t>erheblich vergrößern</w:t>
      </w:r>
      <w:r w:rsidR="00C8690F" w:rsidRPr="00AF0D45">
        <w:rPr>
          <w:lang w:val="de-DE"/>
        </w:rPr>
        <w:t xml:space="preserve"> und längere </w:t>
      </w:r>
      <w:r w:rsidR="00C8690F" w:rsidRPr="00AF0D45">
        <w:rPr>
          <w:lang w:val="de-DE"/>
        </w:rPr>
        <w:lastRenderedPageBreak/>
        <w:t xml:space="preserve">und/oder häufigere Sitzungen </w:t>
      </w:r>
      <w:r w:rsidR="002B4853" w:rsidRPr="00AF0D45">
        <w:rPr>
          <w:lang w:val="de-DE"/>
        </w:rPr>
        <w:t>erforder</w:t>
      </w:r>
      <w:r w:rsidR="000753C6" w:rsidRPr="00AF0D45">
        <w:rPr>
          <w:lang w:val="de-DE"/>
        </w:rPr>
        <w:t>lich mache</w:t>
      </w:r>
      <w:r w:rsidR="002B4853" w:rsidRPr="00AF0D45">
        <w:rPr>
          <w:lang w:val="de-DE"/>
        </w:rPr>
        <w:t>n</w:t>
      </w:r>
      <w:r w:rsidR="00C8690F" w:rsidRPr="00AF0D45">
        <w:rPr>
          <w:lang w:val="de-DE"/>
        </w:rPr>
        <w:t xml:space="preserve"> könnte</w:t>
      </w:r>
      <w:r w:rsidR="002B4853" w:rsidRPr="00AF0D45">
        <w:rPr>
          <w:lang w:val="de-DE"/>
        </w:rPr>
        <w:t>n</w:t>
      </w:r>
      <w:r w:rsidR="00C8690F" w:rsidRPr="00AF0D45">
        <w:rPr>
          <w:lang w:val="de-DE"/>
        </w:rPr>
        <w:t>.</w:t>
      </w:r>
      <w:r w:rsidRPr="00AF0D45">
        <w:rPr>
          <w:lang w:val="de-DE"/>
        </w:rPr>
        <w:t xml:space="preserve"> </w:t>
      </w:r>
      <w:r w:rsidR="000753C6" w:rsidRPr="00AF0D45">
        <w:rPr>
          <w:lang w:val="de-DE"/>
        </w:rPr>
        <w:t>Es wurde vorgeschlagen, dass sich eine Untergruppe innerhalb der informellen Arbeitsgruppe „Stoffe“ ausschließlich mit Fragen des Explosionsschutzes befassen könnte.</w:t>
      </w:r>
      <w:r w:rsidRPr="00AF0D45">
        <w:rPr>
          <w:lang w:val="de-DE"/>
        </w:rPr>
        <w:t xml:space="preserve"> </w:t>
      </w:r>
    </w:p>
    <w:p w14:paraId="4978654F" w14:textId="43AA731D" w:rsidR="009753E1" w:rsidRPr="00AF0D45" w:rsidRDefault="009753E1" w:rsidP="00FB6798">
      <w:pPr>
        <w:pStyle w:val="HChG"/>
        <w:rPr>
          <w:lang w:val="de-DE"/>
        </w:rPr>
      </w:pPr>
      <w:r w:rsidRPr="00AF0D45">
        <w:rPr>
          <w:lang w:val="de-DE"/>
        </w:rPr>
        <w:tab/>
      </w:r>
      <w:bookmarkStart w:id="16" w:name="_Hlk518306883"/>
      <w:r w:rsidR="00FB6798" w:rsidRPr="00AF0D45">
        <w:rPr>
          <w:lang w:val="de-DE"/>
        </w:rPr>
        <w:t>VIII.</w:t>
      </w:r>
      <w:r w:rsidRPr="00AF0D45">
        <w:rPr>
          <w:lang w:val="de-DE"/>
        </w:rPr>
        <w:t xml:space="preserve"> </w:t>
      </w:r>
      <w:r w:rsidRPr="00AF0D45">
        <w:rPr>
          <w:lang w:val="de-DE"/>
        </w:rPr>
        <w:tab/>
      </w:r>
      <w:r w:rsidR="00FB6798" w:rsidRPr="00AF0D45">
        <w:rPr>
          <w:lang w:val="de-DE"/>
        </w:rPr>
        <w:t>Verschiedenes (TOP 7)</w:t>
      </w:r>
    </w:p>
    <w:p w14:paraId="2AD36549" w14:textId="7F3BB254" w:rsidR="009753E1" w:rsidRPr="00AF0D45" w:rsidRDefault="009753E1" w:rsidP="00FB6798">
      <w:pPr>
        <w:pStyle w:val="H1G"/>
        <w:rPr>
          <w:lang w:val="de-DE"/>
        </w:rPr>
      </w:pPr>
      <w:r w:rsidRPr="00AF0D45">
        <w:rPr>
          <w:lang w:val="de-DE"/>
        </w:rPr>
        <w:tab/>
      </w:r>
      <w:r w:rsidR="00FB6798" w:rsidRPr="00AF0D45">
        <w:rPr>
          <w:lang w:val="de-DE"/>
        </w:rPr>
        <w:t>A.</w:t>
      </w:r>
      <w:r w:rsidRPr="00AF0D45">
        <w:rPr>
          <w:lang w:val="de-DE"/>
        </w:rPr>
        <w:tab/>
      </w:r>
      <w:r w:rsidR="00FB6798" w:rsidRPr="00AF0D45">
        <w:rPr>
          <w:lang w:val="de-DE"/>
        </w:rPr>
        <w:t xml:space="preserve">Best Practices für </w:t>
      </w:r>
      <w:r w:rsidR="00C4340D" w:rsidRPr="00AF0D45">
        <w:rPr>
          <w:lang w:val="de-DE"/>
        </w:rPr>
        <w:t xml:space="preserve">die </w:t>
      </w:r>
      <w:r w:rsidR="00FB6798" w:rsidRPr="00AF0D45">
        <w:rPr>
          <w:lang w:val="de-DE"/>
        </w:rPr>
        <w:t>Probeentnahme auf Binnenschiffen</w:t>
      </w:r>
    </w:p>
    <w:p w14:paraId="0AE17658" w14:textId="6D373871" w:rsidR="009753E1" w:rsidRPr="00AF0D45" w:rsidRDefault="009753E1" w:rsidP="00DA057F">
      <w:pPr>
        <w:pStyle w:val="SingleTxtG"/>
        <w:rPr>
          <w:lang w:val="de-DE"/>
        </w:rPr>
      </w:pPr>
      <w:r w:rsidRPr="00AF0D45">
        <w:rPr>
          <w:lang w:val="de-DE"/>
        </w:rPr>
        <w:t>80.</w:t>
      </w:r>
      <w:r w:rsidRPr="00AF0D45">
        <w:rPr>
          <w:lang w:val="de-DE"/>
        </w:rPr>
        <w:tab/>
      </w:r>
      <w:r w:rsidR="00C4340D" w:rsidRPr="00AF0D45">
        <w:rPr>
          <w:lang w:val="de-DE"/>
        </w:rPr>
        <w:t xml:space="preserve">Der </w:t>
      </w:r>
      <w:r w:rsidR="00480DC6" w:rsidRPr="00AF0D45">
        <w:rPr>
          <w:lang w:val="de-DE"/>
        </w:rPr>
        <w:t>CEFIC-</w:t>
      </w:r>
      <w:r w:rsidR="00C4340D" w:rsidRPr="00AF0D45">
        <w:rPr>
          <w:lang w:val="de-DE"/>
        </w:rPr>
        <w:t>Vertreter hielt einen Vortrag über Best Practices für die Probeentnahme auf Binnenschiffen.</w:t>
      </w:r>
      <w:r w:rsidRPr="00AF0D45">
        <w:rPr>
          <w:lang w:val="de-DE"/>
        </w:rPr>
        <w:t xml:space="preserve"> </w:t>
      </w:r>
      <w:r w:rsidR="00480DC6" w:rsidRPr="00AF0D45">
        <w:rPr>
          <w:lang w:val="de-DE"/>
        </w:rPr>
        <w:t>Der Sicherheitsausschuss begrüßte die Weiterführung der Arbeiten zu diesem Thema in einer von Deutschland geleiteten Korrespondenzarbeitsgruppe.</w:t>
      </w:r>
      <w:r w:rsidRPr="00AF0D45">
        <w:rPr>
          <w:lang w:val="de-DE"/>
        </w:rPr>
        <w:t xml:space="preserve"> </w:t>
      </w:r>
      <w:r w:rsidR="00480DC6" w:rsidRPr="00AF0D45">
        <w:rPr>
          <w:lang w:val="de-DE"/>
        </w:rPr>
        <w:t xml:space="preserve">Interessierte Delegationen wurden gebeten, sich mit dem Vertreter Deutschlands in Verbindung zu setzen und Feedback zu den vom CEFIC vorgelegten Fragen und </w:t>
      </w:r>
      <w:r w:rsidR="002663F9" w:rsidRPr="00AF0D45">
        <w:rPr>
          <w:lang w:val="de-DE"/>
        </w:rPr>
        <w:t>Erstv</w:t>
      </w:r>
      <w:r w:rsidR="00480DC6" w:rsidRPr="00AF0D45">
        <w:rPr>
          <w:lang w:val="de-DE"/>
        </w:rPr>
        <w:t>orschlägen zu geben.</w:t>
      </w:r>
    </w:p>
    <w:p w14:paraId="0685B2C3" w14:textId="55D21E93" w:rsidR="009753E1" w:rsidRPr="00AF0D45" w:rsidRDefault="009753E1" w:rsidP="002663F9">
      <w:pPr>
        <w:pStyle w:val="H1G"/>
        <w:rPr>
          <w:lang w:val="de-DE"/>
        </w:rPr>
      </w:pPr>
      <w:r w:rsidRPr="00AF0D45">
        <w:rPr>
          <w:lang w:val="de-DE"/>
        </w:rPr>
        <w:tab/>
      </w:r>
      <w:r w:rsidR="002663F9" w:rsidRPr="00AF0D45">
        <w:rPr>
          <w:lang w:val="de-DE"/>
        </w:rPr>
        <w:t>B.</w:t>
      </w:r>
      <w:r w:rsidRPr="00AF0D45">
        <w:rPr>
          <w:lang w:val="de-DE"/>
        </w:rPr>
        <w:tab/>
      </w:r>
      <w:r w:rsidR="002663F9" w:rsidRPr="00AF0D45">
        <w:rPr>
          <w:lang w:val="de-DE"/>
        </w:rPr>
        <w:t>Danksagun</w:t>
      </w:r>
      <w:r w:rsidR="00DA057F" w:rsidRPr="00AF0D45">
        <w:rPr>
          <w:lang w:val="de-DE"/>
        </w:rPr>
        <w:t>gen</w:t>
      </w:r>
    </w:p>
    <w:bookmarkEnd w:id="16"/>
    <w:p w14:paraId="52279D6F" w14:textId="6DBE84F1" w:rsidR="009753E1" w:rsidRPr="00AF0D45" w:rsidRDefault="009753E1" w:rsidP="00DA057F">
      <w:pPr>
        <w:pStyle w:val="SingleTxtG"/>
        <w:rPr>
          <w:lang w:val="de-DE"/>
        </w:rPr>
      </w:pPr>
      <w:r w:rsidRPr="00AF0D45">
        <w:rPr>
          <w:lang w:val="de-DE"/>
        </w:rPr>
        <w:t>81.</w:t>
      </w:r>
      <w:r w:rsidRPr="00AF0D45">
        <w:rPr>
          <w:lang w:val="de-DE"/>
        </w:rPr>
        <w:tab/>
      </w:r>
      <w:r w:rsidR="002663F9" w:rsidRPr="00AF0D45">
        <w:rPr>
          <w:lang w:val="de-DE"/>
        </w:rPr>
        <w:t>Der Sicherheitsausschuss wurde darüber informiert, dass Herr H. Rein (Deutschland) zum letzten Mal an einer Sitzung des Sicherheitsausschusses teiln</w:t>
      </w:r>
      <w:r w:rsidR="00865A26" w:rsidRPr="00AF0D45">
        <w:rPr>
          <w:lang w:val="de-DE"/>
        </w:rPr>
        <w:t>ahm</w:t>
      </w:r>
      <w:r w:rsidR="002663F9" w:rsidRPr="00AF0D45">
        <w:rPr>
          <w:lang w:val="de-DE"/>
        </w:rPr>
        <w:t>, da er bald in den Ruhestand treten wird.</w:t>
      </w:r>
      <w:r w:rsidRPr="00AF0D45">
        <w:rPr>
          <w:lang w:val="de-DE"/>
        </w:rPr>
        <w:t xml:space="preserve"> </w:t>
      </w:r>
      <w:r w:rsidR="002663F9" w:rsidRPr="00AF0D45">
        <w:rPr>
          <w:lang w:val="de-DE"/>
        </w:rPr>
        <w:t>Herr Rein war Vorsitzender des ADN-Sicherheitsausschusses seit 2000, des ADN-Verwaltungsausschusses seit dessen erster Sitzung im Jahr 2008 und des RID-Fachausschusses von 1999 bis 2016.</w:t>
      </w:r>
      <w:r w:rsidRPr="00AF0D45">
        <w:rPr>
          <w:lang w:val="de-DE"/>
        </w:rPr>
        <w:t xml:space="preserve"> </w:t>
      </w:r>
      <w:r w:rsidR="006E1353" w:rsidRPr="00AF0D45">
        <w:rPr>
          <w:lang w:val="de-DE"/>
        </w:rPr>
        <w:t>Zudem war er seit 1996 stellvertretender Vorsitzender der Gemeinsamen RID/ADR/ADN-Tagung.</w:t>
      </w:r>
      <w:r w:rsidRPr="00AF0D45">
        <w:rPr>
          <w:lang w:val="de-DE"/>
        </w:rPr>
        <w:t xml:space="preserve"> </w:t>
      </w:r>
      <w:r w:rsidR="006E1353" w:rsidRPr="00AF0D45">
        <w:rPr>
          <w:lang w:val="de-DE"/>
        </w:rPr>
        <w:t>Der Sicherheitsausschuss dankte ihm herzlich für seinen herausragenden Beitrag zur sicheren Beförderung gefährlicher Güter im Allgemeinen und auf Binnenwasserstraßen im Besonderen und wünschte ihm einen langen und glücklichen Ruhestand.</w:t>
      </w:r>
    </w:p>
    <w:p w14:paraId="54CF86D0" w14:textId="310AA4DC" w:rsidR="009753E1" w:rsidRPr="00AF0D45" w:rsidRDefault="009753E1" w:rsidP="00DA057F">
      <w:pPr>
        <w:pStyle w:val="SingleTxtG"/>
        <w:rPr>
          <w:lang w:val="de-DE"/>
        </w:rPr>
      </w:pPr>
      <w:r w:rsidRPr="00AF0D45">
        <w:rPr>
          <w:lang w:val="de-DE"/>
        </w:rPr>
        <w:t>82.</w:t>
      </w:r>
      <w:r w:rsidRPr="00AF0D45">
        <w:rPr>
          <w:lang w:val="de-DE"/>
        </w:rPr>
        <w:tab/>
      </w:r>
      <w:r w:rsidR="00865A26" w:rsidRPr="00AF0D45">
        <w:rPr>
          <w:lang w:val="de-DE"/>
        </w:rPr>
        <w:t>In Anbetracht der Tatsache, dass Herr K. Ackermann nach achtjähriger Vertretung des CEFIC in eine neue Position wechselt und ebenfalls zum letzten Mal an der Sitzung teilnahm, dankte ihm der Sicherheitsausschuss für dessen Beitrag und Unterstützung seiner Arbeit und wünschte ihm viel Erfolg bei seinen künftigen Aufgaben.</w:t>
      </w:r>
      <w:r w:rsidRPr="00AF0D45">
        <w:rPr>
          <w:lang w:val="de-DE"/>
        </w:rPr>
        <w:t xml:space="preserve"> </w:t>
      </w:r>
    </w:p>
    <w:p w14:paraId="3873AB16" w14:textId="178DEED7" w:rsidR="009753E1" w:rsidRPr="00AF0D45" w:rsidRDefault="009753E1" w:rsidP="00DA057F">
      <w:pPr>
        <w:pStyle w:val="HChG"/>
        <w:rPr>
          <w:lang w:val="de-DE"/>
        </w:rPr>
      </w:pPr>
      <w:r w:rsidRPr="00AF0D45">
        <w:rPr>
          <w:lang w:val="de-DE"/>
        </w:rPr>
        <w:tab/>
      </w:r>
      <w:r w:rsidR="00FB6798" w:rsidRPr="00AF0D45">
        <w:rPr>
          <w:lang w:val="de-DE"/>
        </w:rPr>
        <w:t>IX.</w:t>
      </w:r>
      <w:r w:rsidRPr="00AF0D45">
        <w:rPr>
          <w:lang w:val="de-DE"/>
        </w:rPr>
        <w:tab/>
      </w:r>
      <w:r w:rsidR="00FB6798" w:rsidRPr="00AF0D45">
        <w:rPr>
          <w:lang w:val="de-DE"/>
        </w:rPr>
        <w:t>Genehmigung des Sitzungsprotokolls (TOP 8)</w:t>
      </w:r>
    </w:p>
    <w:p w14:paraId="48773672" w14:textId="492BF198" w:rsidR="009753E1" w:rsidRPr="00AF0D45" w:rsidRDefault="009753E1" w:rsidP="00DA057F">
      <w:pPr>
        <w:pStyle w:val="SingleTxtG"/>
        <w:rPr>
          <w:lang w:val="de-DE"/>
        </w:rPr>
      </w:pPr>
      <w:r w:rsidRPr="00AF0D45">
        <w:rPr>
          <w:lang w:val="de-DE"/>
        </w:rPr>
        <w:t>83.</w:t>
      </w:r>
      <w:r w:rsidRPr="00AF0D45">
        <w:rPr>
          <w:lang w:val="de-DE"/>
        </w:rPr>
        <w:tab/>
      </w:r>
      <w:r w:rsidR="00FB6798" w:rsidRPr="00AF0D45">
        <w:rPr>
          <w:lang w:val="de-DE"/>
        </w:rPr>
        <w:t>Der Sicherheitsausschuss genehmigte das Protokoll seiner dreiunddreißigsten Sitzung und dessen Anlagen auf der Grundlage eines Sekretariatsentwurfs.</w:t>
      </w:r>
    </w:p>
    <w:p w14:paraId="207089E2" w14:textId="2890D533" w:rsidR="009753E1" w:rsidRPr="00AF0D45" w:rsidRDefault="009753E1" w:rsidP="00EA2459">
      <w:pPr>
        <w:pStyle w:val="HChG"/>
        <w:rPr>
          <w:lang w:val="de-DE"/>
        </w:rPr>
      </w:pPr>
      <w:r w:rsidRPr="00AF0D45">
        <w:rPr>
          <w:lang w:val="de-DE"/>
        </w:rPr>
        <w:br w:type="page"/>
      </w:r>
      <w:bookmarkStart w:id="17" w:name="_Toc397351336"/>
      <w:r w:rsidR="00C95FDF" w:rsidRPr="00AF0D45">
        <w:rPr>
          <w:lang w:val="de-DE"/>
        </w:rPr>
        <w:lastRenderedPageBreak/>
        <w:t>Anlage</w:t>
      </w:r>
      <w:r w:rsidRPr="00AF0D45">
        <w:rPr>
          <w:lang w:val="de-DE"/>
        </w:rPr>
        <w:t xml:space="preserve"> I</w:t>
      </w:r>
      <w:bookmarkEnd w:id="17"/>
    </w:p>
    <w:p w14:paraId="0E7FC197" w14:textId="77777777" w:rsidR="00C95FDF" w:rsidRPr="00AF0D45" w:rsidRDefault="00C95FDF" w:rsidP="00C95FDF">
      <w:pPr>
        <w:pStyle w:val="SingleTxtG"/>
        <w:jc w:val="right"/>
        <w:rPr>
          <w:lang w:val="de-DE"/>
        </w:rPr>
      </w:pPr>
      <w:r w:rsidRPr="00AF0D45">
        <w:rPr>
          <w:lang w:val="de-DE"/>
        </w:rPr>
        <w:t>[Original: Englisch und Französisch]</w:t>
      </w:r>
    </w:p>
    <w:p w14:paraId="56328809" w14:textId="77777777" w:rsidR="00C95FDF" w:rsidRPr="00AF0D45" w:rsidRDefault="00C95FDF" w:rsidP="00C95FDF">
      <w:pPr>
        <w:pStyle w:val="SingleTxtG"/>
        <w:rPr>
          <w:lang w:val="de-DE"/>
        </w:rPr>
      </w:pPr>
    </w:p>
    <w:p w14:paraId="18666E1C" w14:textId="2FC72349" w:rsidR="009753E1" w:rsidRPr="00AF0D45" w:rsidRDefault="009753E1" w:rsidP="00AF0D45">
      <w:pPr>
        <w:pStyle w:val="HChG"/>
        <w:spacing w:line="240" w:lineRule="atLeast"/>
        <w:rPr>
          <w:lang w:val="de-DE"/>
        </w:rPr>
      </w:pPr>
      <w:r w:rsidRPr="00AF0D45">
        <w:rPr>
          <w:lang w:val="de-DE"/>
        </w:rPr>
        <w:tab/>
      </w:r>
      <w:r w:rsidRPr="00AF0D45">
        <w:rPr>
          <w:lang w:val="de-DE"/>
        </w:rPr>
        <w:tab/>
      </w:r>
      <w:bookmarkStart w:id="18" w:name="_Toc397351337"/>
      <w:r w:rsidR="00C95FDF" w:rsidRPr="00AF0D45">
        <w:rPr>
          <w:lang w:val="de-DE"/>
        </w:rPr>
        <w:t>Änderungsentwürfe zu der dem ADN beigefügten Verordnung, die am 1. Januar 2021 in Kraft treten sollen</w:t>
      </w:r>
      <w:bookmarkEnd w:id="18"/>
    </w:p>
    <w:p w14:paraId="2C9AD4D5" w14:textId="692BD12B" w:rsidR="009753E1" w:rsidRPr="00AF0D45" w:rsidRDefault="009753E1" w:rsidP="007B0D0B">
      <w:pPr>
        <w:keepNext/>
        <w:keepLines/>
        <w:tabs>
          <w:tab w:val="right" w:pos="851"/>
        </w:tabs>
        <w:spacing w:before="240" w:after="120" w:line="240" w:lineRule="exact"/>
        <w:ind w:left="1134" w:right="1134" w:hanging="1134"/>
        <w:rPr>
          <w:b/>
          <w:lang w:val="de-DE"/>
        </w:rPr>
      </w:pPr>
      <w:r w:rsidRPr="00AF0D45">
        <w:rPr>
          <w:b/>
          <w:lang w:val="de-DE"/>
        </w:rPr>
        <w:tab/>
      </w:r>
      <w:r w:rsidRPr="00AF0D45">
        <w:rPr>
          <w:b/>
          <w:lang w:val="de-DE"/>
        </w:rPr>
        <w:tab/>
      </w:r>
      <w:r w:rsidR="00817513" w:rsidRPr="00AF0D45">
        <w:rPr>
          <w:b/>
          <w:lang w:val="de-DE"/>
        </w:rPr>
        <w:t>Kapitel</w:t>
      </w:r>
      <w:r w:rsidRPr="00AF0D45">
        <w:rPr>
          <w:b/>
          <w:lang w:val="de-DE"/>
        </w:rPr>
        <w:t xml:space="preserve"> 1.2</w:t>
      </w:r>
    </w:p>
    <w:p w14:paraId="2B7CFDB9" w14:textId="1833A8C5" w:rsidR="003B0FD8" w:rsidRPr="00AF0D45" w:rsidRDefault="009753E1" w:rsidP="003B0FD8">
      <w:pPr>
        <w:tabs>
          <w:tab w:val="left" w:pos="2268"/>
        </w:tabs>
        <w:spacing w:before="240"/>
        <w:ind w:left="1134" w:right="1134"/>
        <w:jc w:val="both"/>
        <w:rPr>
          <w:iCs/>
          <w:lang w:val="de-DE" w:bidi="de-DE"/>
        </w:rPr>
      </w:pPr>
      <w:r w:rsidRPr="00AF0D45">
        <w:rPr>
          <w:lang w:val="de-DE"/>
        </w:rPr>
        <w:t>1.2.1</w:t>
      </w:r>
      <w:r w:rsidRPr="00AF0D45">
        <w:rPr>
          <w:lang w:val="de-DE"/>
        </w:rPr>
        <w:tab/>
      </w:r>
      <w:r w:rsidR="003B0FD8" w:rsidRPr="00AF0D45">
        <w:rPr>
          <w:iCs/>
          <w:lang w:val="de-DE" w:bidi="de-DE"/>
        </w:rPr>
        <w:t>Die Begriffsbestimmung für „</w:t>
      </w:r>
      <w:r w:rsidR="003B0FD8" w:rsidRPr="00AF0D45">
        <w:rPr>
          <w:b/>
          <w:i/>
          <w:iCs/>
          <w:lang w:val="de-DE"/>
        </w:rPr>
        <w:t>Explosionsgruppe</w:t>
      </w:r>
      <w:r w:rsidR="003B0FD8" w:rsidRPr="00AF0D45">
        <w:rPr>
          <w:iCs/>
          <w:lang w:val="de-DE" w:bidi="de-DE"/>
        </w:rPr>
        <w:t>“ erhält folgenden Wortlaut:</w:t>
      </w:r>
    </w:p>
    <w:p w14:paraId="403E5C45" w14:textId="75BE1B34" w:rsidR="003B0FD8" w:rsidRPr="00AF0D45" w:rsidRDefault="003B0FD8" w:rsidP="003B0FD8">
      <w:pPr>
        <w:pStyle w:val="SingleTxtG"/>
        <w:spacing w:before="120" w:line="220" w:lineRule="exact"/>
        <w:rPr>
          <w:i/>
          <w:iCs/>
          <w:lang w:val="de-DE"/>
        </w:rPr>
      </w:pPr>
      <w:r w:rsidRPr="00AF0D45">
        <w:rPr>
          <w:iCs/>
          <w:lang w:val="de-DE"/>
        </w:rPr>
        <w:t>„</w:t>
      </w:r>
      <w:r w:rsidRPr="00AF0D45">
        <w:rPr>
          <w:b/>
          <w:i/>
          <w:iCs/>
          <w:lang w:val="de-DE"/>
        </w:rPr>
        <w:t>Explosionsgruppe/Untergruppe</w:t>
      </w:r>
      <w:r w:rsidRPr="00AF0D45">
        <w:rPr>
          <w:b/>
          <w:iCs/>
          <w:lang w:val="de-DE"/>
        </w:rPr>
        <w:t>:</w:t>
      </w:r>
      <w:r w:rsidRPr="00AF0D45">
        <w:rPr>
          <w:iCs/>
          <w:lang w:val="de-DE"/>
        </w:rPr>
        <w:t xml:space="preserve"> Einteilung der brennbaren Gase und Dämpfe nach ihrer Zünddurchschlagfähigkeit durch Spalte (Normspaltweite, bestimmt nach festgelegten Bedingungen) und/oder nach dem Mindestzündstromverhältnis sowie der zum Einsatz in explosionsgefährdeten Bereichen zugelassenen Betriebsmitteln (siehe EN IEC 60079-0:2012), Anlagen, Geräte und autonomen Schutzsysteme. Für autonome Schutzsysteme erfolgt eine Unterteilung der Explosionsgruppe II B in Untergruppen</w:t>
      </w:r>
      <w:r w:rsidRPr="00AF0D45">
        <w:rPr>
          <w:i/>
          <w:iCs/>
          <w:lang w:val="de-DE"/>
        </w:rPr>
        <w:t>.“.</w:t>
      </w:r>
    </w:p>
    <w:p w14:paraId="567EB364" w14:textId="7A25EE8D" w:rsidR="009753E1" w:rsidRPr="00AF0D45" w:rsidRDefault="009753E1" w:rsidP="003B6FFA">
      <w:pPr>
        <w:pStyle w:val="SingleTxtG"/>
        <w:spacing w:line="220" w:lineRule="exact"/>
        <w:rPr>
          <w:i/>
          <w:lang w:val="de-DE"/>
        </w:rPr>
      </w:pPr>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p>
    <w:p w14:paraId="78D2E790" w14:textId="02242FA4" w:rsidR="003E2CEA" w:rsidRPr="00AF0D45" w:rsidRDefault="003E2CEA" w:rsidP="00C04B1D">
      <w:pPr>
        <w:tabs>
          <w:tab w:val="left" w:pos="2268"/>
          <w:tab w:val="left" w:pos="8505"/>
        </w:tabs>
        <w:spacing w:before="240" w:line="240" w:lineRule="auto"/>
        <w:ind w:left="1134" w:right="1134"/>
        <w:jc w:val="both"/>
        <w:rPr>
          <w:snapToGrid w:val="0"/>
          <w:lang w:val="de-DE" w:bidi="de-DE"/>
        </w:rPr>
      </w:pPr>
      <w:r w:rsidRPr="00AF0D45">
        <w:rPr>
          <w:snapToGrid w:val="0"/>
          <w:lang w:val="de-DE" w:bidi="de-DE"/>
        </w:rPr>
        <w:t>1.2.1</w:t>
      </w:r>
      <w:r w:rsidRPr="00AF0D45">
        <w:rPr>
          <w:snapToGrid w:val="0"/>
          <w:lang w:val="de-DE" w:bidi="de-DE"/>
        </w:rPr>
        <w:tab/>
        <w:t>Folgende neue Begriffsbestimmung in alphabetischer Reihenfolge einfügen:</w:t>
      </w:r>
    </w:p>
    <w:p w14:paraId="76D0BE64" w14:textId="5458F139" w:rsidR="003E2CEA" w:rsidRPr="00AF0D45" w:rsidRDefault="003E2CEA" w:rsidP="00C04B1D">
      <w:pPr>
        <w:tabs>
          <w:tab w:val="left" w:pos="8505"/>
        </w:tabs>
        <w:suppressAutoHyphens w:val="0"/>
        <w:spacing w:before="120" w:after="120"/>
        <w:ind w:left="1134" w:right="1134"/>
        <w:jc w:val="both"/>
        <w:rPr>
          <w:lang w:val="de-DE"/>
        </w:rPr>
      </w:pPr>
      <w:r w:rsidRPr="00AF0D45">
        <w:rPr>
          <w:b/>
          <w:i/>
          <w:lang w:val="de-DE"/>
        </w:rPr>
        <w:t>„Ölschlamm:</w:t>
      </w:r>
      <w:r w:rsidRPr="00AF0D45">
        <w:rPr>
          <w:lang w:val="de-DE"/>
        </w:rPr>
        <w:t xml:space="preserve"> Restölprodukte, die während des normalen Betriebs von Seeschiffen anfallen, z. B. die Rückstände bei der Aufbereitung von Brennstoff und Schmierölen für die Haupt- oder Hilfsantriebsanlage, getrennte Ölrückstände aus den Ölfilteranlagen, in Auffangwannen aufgefangene Ölrückstände und Hydraulik- und Schmierölrückstände.</w:t>
      </w:r>
    </w:p>
    <w:p w14:paraId="4246BF84" w14:textId="77777777" w:rsidR="003E2CEA" w:rsidRPr="00AF0D45" w:rsidRDefault="003E2CEA" w:rsidP="00C04B1D">
      <w:pPr>
        <w:tabs>
          <w:tab w:val="left" w:pos="1701"/>
          <w:tab w:val="left" w:pos="8505"/>
        </w:tabs>
        <w:suppressAutoHyphens w:val="0"/>
        <w:spacing w:after="120"/>
        <w:ind w:left="1701" w:right="1134" w:hanging="567"/>
        <w:jc w:val="both"/>
        <w:rPr>
          <w:lang w:val="de-DE"/>
        </w:rPr>
      </w:pPr>
      <w:r w:rsidRPr="00AF0D45">
        <w:rPr>
          <w:b/>
          <w:lang w:val="de-DE"/>
        </w:rPr>
        <w:t>Bem.</w:t>
      </w:r>
      <w:r w:rsidRPr="00AF0D45">
        <w:rPr>
          <w:lang w:val="de-DE"/>
        </w:rPr>
        <w:tab/>
        <w:t>In Erweiterung der Definition aus MARPOL werden im ADN die Rückstände aus der Aufbereitung von Bilgenwasser an Bord von Seeschiffen mit eingeschlossen.“.</w:t>
      </w:r>
    </w:p>
    <w:p w14:paraId="06D9F406" w14:textId="55DB7787" w:rsidR="009753E1" w:rsidRPr="00AF0D45" w:rsidRDefault="009753E1" w:rsidP="00C04B1D">
      <w:pPr>
        <w:pStyle w:val="SingleTxtG"/>
        <w:tabs>
          <w:tab w:val="left" w:pos="8505"/>
        </w:tabs>
        <w:spacing w:before="120" w:line="220" w:lineRule="exact"/>
        <w:rPr>
          <w:lang w:val="de-DE"/>
        </w:rPr>
      </w:pPr>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p>
    <w:p w14:paraId="7273484B" w14:textId="2B330A51" w:rsidR="009753E1" w:rsidRPr="00AF0D45" w:rsidRDefault="009753E1" w:rsidP="003B6FFA">
      <w:pPr>
        <w:keepNext/>
        <w:keepLines/>
        <w:tabs>
          <w:tab w:val="right" w:pos="851"/>
        </w:tabs>
        <w:spacing w:before="240" w:after="120" w:line="220" w:lineRule="exact"/>
        <w:ind w:left="1134" w:right="1134" w:hanging="1134"/>
        <w:rPr>
          <w:b/>
          <w:lang w:val="de-DE"/>
        </w:rPr>
      </w:pPr>
      <w:r w:rsidRPr="00AF0D45">
        <w:rPr>
          <w:b/>
          <w:lang w:val="de-DE"/>
        </w:rPr>
        <w:tab/>
      </w:r>
      <w:r w:rsidRPr="00AF0D45">
        <w:rPr>
          <w:b/>
          <w:lang w:val="de-DE"/>
        </w:rPr>
        <w:tab/>
      </w:r>
      <w:r w:rsidR="00817513" w:rsidRPr="00AF0D45">
        <w:rPr>
          <w:b/>
          <w:lang w:val="de-DE"/>
        </w:rPr>
        <w:t>Kapitel</w:t>
      </w:r>
      <w:r w:rsidRPr="00AF0D45">
        <w:rPr>
          <w:b/>
          <w:lang w:val="de-DE"/>
        </w:rPr>
        <w:t xml:space="preserve"> 1.1</w:t>
      </w:r>
    </w:p>
    <w:p w14:paraId="4BA95557" w14:textId="33B5471F" w:rsidR="009753E1" w:rsidRPr="00AF0D45" w:rsidRDefault="009753E1" w:rsidP="003B6FFA">
      <w:pPr>
        <w:pStyle w:val="SingleTxtG"/>
        <w:spacing w:line="220" w:lineRule="exact"/>
        <w:rPr>
          <w:lang w:val="de-DE"/>
        </w:rPr>
      </w:pPr>
      <w:r w:rsidRPr="00AF0D45">
        <w:rPr>
          <w:lang w:val="de-DE"/>
        </w:rPr>
        <w:t>1.1.3.6</w:t>
      </w:r>
      <w:r w:rsidRPr="00AF0D45">
        <w:rPr>
          <w:lang w:val="de-DE"/>
        </w:rPr>
        <w:tab/>
      </w:r>
      <w:r w:rsidR="003B6FFA" w:rsidRPr="00AF0D45">
        <w:rPr>
          <w:lang w:val="de-DE"/>
        </w:rPr>
        <w:tab/>
      </w:r>
      <w:r w:rsidR="006C5C0D" w:rsidRPr="00AF0D45">
        <w:rPr>
          <w:lang w:val="de-DE"/>
        </w:rPr>
        <w:t>Einfügen: „</w:t>
      </w:r>
      <w:r w:rsidRPr="00AF0D45">
        <w:rPr>
          <w:lang w:val="de-DE"/>
        </w:rPr>
        <w:t xml:space="preserve">1.1.3.6.3 </w:t>
      </w:r>
      <w:r w:rsidR="006C5C0D" w:rsidRPr="00AF0D45">
        <w:rPr>
          <w:lang w:val="de-DE"/>
        </w:rPr>
        <w:t>und</w:t>
      </w:r>
      <w:r w:rsidRPr="00AF0D45">
        <w:rPr>
          <w:lang w:val="de-DE"/>
        </w:rPr>
        <w:t xml:space="preserve"> 1.1.3.6.4</w:t>
      </w:r>
      <w:r w:rsidRPr="00AF0D45">
        <w:rPr>
          <w:lang w:val="de-DE"/>
        </w:rPr>
        <w:tab/>
      </w:r>
      <w:r w:rsidR="006C5C0D" w:rsidRPr="00AF0D45">
        <w:rPr>
          <w:lang w:val="de-DE"/>
        </w:rPr>
        <w:tab/>
        <w:t>(</w:t>
      </w:r>
      <w:r w:rsidR="006C5C0D" w:rsidRPr="00AF0D45">
        <w:rPr>
          <w:iCs/>
          <w:lang w:val="de-DE"/>
        </w:rPr>
        <w:t>bleibt offen)“</w:t>
      </w:r>
      <w:r w:rsidRPr="00AF0D45">
        <w:rPr>
          <w:lang w:val="de-DE"/>
        </w:rPr>
        <w:t>.</w:t>
      </w:r>
    </w:p>
    <w:p w14:paraId="3A3BBA41" w14:textId="73046D1D" w:rsidR="009753E1" w:rsidRPr="00AF0D45" w:rsidRDefault="009753E1" w:rsidP="003B6FFA">
      <w:pPr>
        <w:pStyle w:val="SingleTxtG"/>
        <w:spacing w:line="220" w:lineRule="exact"/>
        <w:rPr>
          <w:i/>
          <w:iCs/>
          <w:lang w:val="de-DE"/>
        </w:rPr>
      </w:pPr>
      <w:r w:rsidRPr="00AF0D45">
        <w:rPr>
          <w:i/>
          <w:iCs/>
          <w:lang w:val="de-DE"/>
        </w:rPr>
        <w:t>(</w:t>
      </w:r>
      <w:r w:rsidR="00817513" w:rsidRPr="00AF0D45">
        <w:rPr>
          <w:i/>
          <w:iCs/>
          <w:lang w:val="de-DE"/>
        </w:rPr>
        <w:t>Referenzdokument</w:t>
      </w:r>
      <w:r w:rsidR="006C5C0D" w:rsidRPr="00AF0D45">
        <w:rPr>
          <w:i/>
          <w:iCs/>
          <w:lang w:val="de-DE"/>
        </w:rPr>
        <w:t>: ECE/TRANS/WP.15/AC.2/2018/51, wie geändert</w:t>
      </w:r>
      <w:r w:rsidRPr="00AF0D45">
        <w:rPr>
          <w:i/>
          <w:iCs/>
          <w:lang w:val="de-DE"/>
        </w:rPr>
        <w:t>)</w:t>
      </w:r>
    </w:p>
    <w:p w14:paraId="00652FF0" w14:textId="21D638C6" w:rsidR="00EE2144" w:rsidRPr="00AF0D45" w:rsidRDefault="009753E1" w:rsidP="00EE2144">
      <w:pPr>
        <w:kinsoku w:val="0"/>
        <w:overflowPunct w:val="0"/>
        <w:autoSpaceDE w:val="0"/>
        <w:autoSpaceDN w:val="0"/>
        <w:adjustRightInd w:val="0"/>
        <w:snapToGrid w:val="0"/>
        <w:spacing w:before="120" w:after="120"/>
        <w:ind w:left="1134" w:right="1134"/>
        <w:jc w:val="both"/>
        <w:rPr>
          <w:rFonts w:eastAsiaTheme="minorHAnsi"/>
          <w:lang w:val="de-DE"/>
        </w:rPr>
      </w:pPr>
      <w:bookmarkStart w:id="19" w:name="_Hlk523244948"/>
      <w:r w:rsidRPr="00AF0D45">
        <w:rPr>
          <w:lang w:val="de-DE"/>
        </w:rPr>
        <w:t>1.1.3.6</w:t>
      </w:r>
      <w:bookmarkEnd w:id="19"/>
      <w:r w:rsidRPr="00AF0D45">
        <w:rPr>
          <w:lang w:val="de-DE"/>
        </w:rPr>
        <w:tab/>
      </w:r>
      <w:r w:rsidR="003B6FFA" w:rsidRPr="00AF0D45">
        <w:rPr>
          <w:lang w:val="de-DE"/>
        </w:rPr>
        <w:tab/>
      </w:r>
      <w:r w:rsidR="00EE2144" w:rsidRPr="00AF0D45">
        <w:rPr>
          <w:rFonts w:eastAsiaTheme="minorHAnsi"/>
          <w:lang w:val="de-DE"/>
        </w:rPr>
        <w:t xml:space="preserve">Einen neuen Absatz </w:t>
      </w:r>
      <w:r w:rsidR="00EE2144" w:rsidRPr="00AF0D45">
        <w:rPr>
          <w:lang w:val="de-DE"/>
        </w:rPr>
        <w:t xml:space="preserve">1.1.3.6.5 </w:t>
      </w:r>
      <w:r w:rsidR="00EE2144" w:rsidRPr="00AF0D45">
        <w:rPr>
          <w:rFonts w:eastAsiaTheme="minorHAnsi"/>
          <w:lang w:val="de-DE"/>
        </w:rPr>
        <w:t>mit folgendem Wortlaut einfügen:</w:t>
      </w:r>
    </w:p>
    <w:p w14:paraId="5B51518D" w14:textId="5062D3B5" w:rsidR="00EE2144" w:rsidRPr="00AF0D45" w:rsidRDefault="00EE2144" w:rsidP="00EE2144">
      <w:pPr>
        <w:pStyle w:val="SingleTxtG"/>
        <w:spacing w:line="220" w:lineRule="exact"/>
        <w:rPr>
          <w:lang w:val="de-DE"/>
        </w:rPr>
      </w:pPr>
      <w:r w:rsidRPr="00AF0D45">
        <w:rPr>
          <w:lang w:val="de-DE"/>
        </w:rPr>
        <w:t>„</w:t>
      </w:r>
      <w:r w:rsidR="009753E1" w:rsidRPr="00AF0D45">
        <w:rPr>
          <w:lang w:val="de-DE"/>
        </w:rPr>
        <w:t>1.1.3.6.5</w:t>
      </w:r>
      <w:r w:rsidR="009753E1" w:rsidRPr="00AF0D45">
        <w:rPr>
          <w:lang w:val="de-DE"/>
        </w:rPr>
        <w:tab/>
      </w:r>
      <w:r w:rsidRPr="00AF0D45">
        <w:rPr>
          <w:lang w:val="de-DE"/>
        </w:rPr>
        <w:t>Bezüglich dieses Unterabschnitts bleiben gefährliche Güter, die gemäß den Unterabschnitten 1.1.3.1 a), b) und d) bis f), 1.1.3.2 bis 1.1.3.5 und 1.1.3.7, 1.1.3.9 und 1.1.3.10 freigestellt sind, unberücksichtigt.“.</w:t>
      </w:r>
    </w:p>
    <w:p w14:paraId="2C3C8641" w14:textId="0F5E049E" w:rsidR="009753E1" w:rsidRPr="00AF0D45" w:rsidRDefault="009753E1" w:rsidP="003B6FFA">
      <w:pPr>
        <w:pStyle w:val="SingleTxtG"/>
        <w:spacing w:line="220" w:lineRule="exact"/>
        <w:rPr>
          <w:b/>
          <w:lang w:val="de-DE"/>
        </w:rPr>
      </w:pPr>
      <w:r w:rsidRPr="00AF0D45">
        <w:rPr>
          <w:i/>
          <w:iCs/>
          <w:lang w:val="de-DE"/>
        </w:rPr>
        <w:t>(</w:t>
      </w:r>
      <w:r w:rsidR="00817513" w:rsidRPr="00AF0D45">
        <w:rPr>
          <w:i/>
          <w:iCs/>
          <w:lang w:val="de-DE"/>
        </w:rPr>
        <w:t>Referenzdokument</w:t>
      </w:r>
      <w:r w:rsidRPr="00AF0D45">
        <w:rPr>
          <w:i/>
          <w:iCs/>
          <w:lang w:val="de-DE"/>
        </w:rPr>
        <w:t>: ECE/TRANS/WP.15/AC.2/2018/51</w:t>
      </w:r>
      <w:r w:rsidR="0068679C">
        <w:rPr>
          <w:i/>
          <w:iCs/>
          <w:lang w:val="de-DE"/>
        </w:rPr>
        <w:t>, wie geändert</w:t>
      </w:r>
      <w:r w:rsidRPr="00AF0D45">
        <w:rPr>
          <w:i/>
          <w:iCs/>
          <w:lang w:val="de-DE"/>
        </w:rPr>
        <w:t>)</w:t>
      </w:r>
    </w:p>
    <w:p w14:paraId="6E42BC0E" w14:textId="77777777" w:rsidR="00F1602A" w:rsidRPr="00AF0D45" w:rsidRDefault="00F1602A">
      <w:pPr>
        <w:suppressAutoHyphens w:val="0"/>
        <w:spacing w:line="240" w:lineRule="auto"/>
        <w:rPr>
          <w:b/>
          <w:lang w:val="de-DE"/>
        </w:rPr>
      </w:pPr>
      <w:r w:rsidRPr="00AF0D45">
        <w:rPr>
          <w:b/>
          <w:lang w:val="de-DE"/>
        </w:rPr>
        <w:br w:type="page"/>
      </w:r>
    </w:p>
    <w:p w14:paraId="28F72396" w14:textId="6CA76E63" w:rsidR="009753E1" w:rsidRPr="00AF0D45" w:rsidRDefault="009753E1" w:rsidP="003B6FFA">
      <w:pPr>
        <w:keepNext/>
        <w:keepLines/>
        <w:tabs>
          <w:tab w:val="right" w:pos="851"/>
        </w:tabs>
        <w:spacing w:before="240" w:after="120" w:line="220" w:lineRule="exact"/>
        <w:ind w:left="1134" w:right="1134" w:hanging="1134"/>
        <w:rPr>
          <w:b/>
          <w:lang w:val="de-DE"/>
        </w:rPr>
      </w:pPr>
      <w:r w:rsidRPr="00AF0D45">
        <w:rPr>
          <w:b/>
          <w:lang w:val="de-DE"/>
        </w:rPr>
        <w:lastRenderedPageBreak/>
        <w:tab/>
      </w:r>
      <w:r w:rsidRPr="00AF0D45">
        <w:rPr>
          <w:b/>
          <w:lang w:val="de-DE"/>
        </w:rPr>
        <w:tab/>
      </w:r>
      <w:r w:rsidR="00817513" w:rsidRPr="00AF0D45">
        <w:rPr>
          <w:b/>
          <w:lang w:val="de-DE"/>
        </w:rPr>
        <w:t>Kapitel</w:t>
      </w:r>
      <w:r w:rsidRPr="00AF0D45">
        <w:rPr>
          <w:b/>
          <w:lang w:val="de-DE"/>
        </w:rPr>
        <w:t xml:space="preserve"> 1.6</w:t>
      </w:r>
    </w:p>
    <w:p w14:paraId="21412BAE" w14:textId="073D461B" w:rsidR="00F1602A" w:rsidRDefault="009753E1" w:rsidP="00F1602A">
      <w:pPr>
        <w:suppressAutoHyphens w:val="0"/>
        <w:spacing w:before="240" w:after="120"/>
        <w:ind w:left="1134"/>
        <w:rPr>
          <w:lang w:val="de-DE"/>
        </w:rPr>
      </w:pPr>
      <w:r w:rsidRPr="00AF0D45">
        <w:rPr>
          <w:rFonts w:asciiTheme="majorBidi" w:hAnsiTheme="majorBidi" w:cstheme="majorBidi"/>
          <w:lang w:val="de-DE"/>
        </w:rPr>
        <w:t xml:space="preserve">1.6.7.2.2.2 </w:t>
      </w:r>
      <w:r w:rsidRPr="00AF0D45">
        <w:rPr>
          <w:rFonts w:asciiTheme="majorBidi" w:hAnsiTheme="majorBidi" w:cstheme="majorBidi"/>
          <w:lang w:val="de-DE"/>
        </w:rPr>
        <w:tab/>
      </w:r>
      <w:r w:rsidR="00F1602A" w:rsidRPr="00AF0D45">
        <w:rPr>
          <w:lang w:val="de-DE"/>
        </w:rPr>
        <w:t>Folgende neue Übergangsvorschrift hinzufügen:</w:t>
      </w:r>
    </w:p>
    <w:p w14:paraId="490FF262" w14:textId="7D51784A" w:rsidR="00B403C0" w:rsidRPr="00AF0D45" w:rsidRDefault="00B403C0" w:rsidP="00F1602A">
      <w:pPr>
        <w:suppressAutoHyphens w:val="0"/>
        <w:spacing w:before="240" w:after="120"/>
        <w:ind w:left="1134"/>
        <w:rPr>
          <w:lang w:val="de-DE"/>
        </w:rPr>
      </w:pPr>
      <w:r>
        <w:rPr>
          <w:lang w:val="de-DE"/>
        </w:rPr>
        <w:t>„</w:t>
      </w:r>
    </w:p>
    <w:tbl>
      <w:tblPr>
        <w:tblStyle w:val="Grilledutableau6"/>
        <w:tblW w:w="8795" w:type="dxa"/>
        <w:tblInd w:w="0" w:type="dxa"/>
        <w:tblLayout w:type="fixed"/>
        <w:tblLook w:val="04A0" w:firstRow="1" w:lastRow="0" w:firstColumn="1" w:lastColumn="0" w:noHBand="0" w:noVBand="1"/>
      </w:tblPr>
      <w:tblGrid>
        <w:gridCol w:w="716"/>
        <w:gridCol w:w="3503"/>
        <w:gridCol w:w="4576"/>
      </w:tblGrid>
      <w:tr w:rsidR="00F1602A" w:rsidRPr="00AF0D45" w14:paraId="6B089289" w14:textId="77777777" w:rsidTr="00F1602A">
        <w:trPr>
          <w:cantSplit/>
          <w:trHeight w:val="283"/>
        </w:trPr>
        <w:tc>
          <w:tcPr>
            <w:tcW w:w="716" w:type="dxa"/>
            <w:tcBorders>
              <w:top w:val="single" w:sz="4" w:space="0" w:color="auto"/>
              <w:left w:val="single" w:sz="4" w:space="0" w:color="auto"/>
              <w:bottom w:val="single" w:sz="4" w:space="0" w:color="auto"/>
              <w:right w:val="single" w:sz="4" w:space="0" w:color="auto"/>
            </w:tcBorders>
            <w:hideMark/>
          </w:tcPr>
          <w:p w14:paraId="2EA1B253" w14:textId="77777777" w:rsidR="00F1602A" w:rsidRPr="00AF0D45" w:rsidRDefault="00F1602A" w:rsidP="00B403C0">
            <w:pPr>
              <w:spacing w:before="60" w:after="60" w:line="276" w:lineRule="auto"/>
              <w:rPr>
                <w:rFonts w:ascii="Times New Roman" w:hAnsi="Times New Roman"/>
                <w:szCs w:val="20"/>
              </w:rPr>
            </w:pPr>
            <w:r w:rsidRPr="00AF0D45">
              <w:rPr>
                <w:rFonts w:ascii="Times New Roman" w:hAnsi="Times New Roman"/>
                <w:szCs w:val="20"/>
              </w:rPr>
              <w:t>1.2.1</w:t>
            </w:r>
          </w:p>
        </w:tc>
        <w:tc>
          <w:tcPr>
            <w:tcW w:w="3503" w:type="dxa"/>
            <w:tcBorders>
              <w:top w:val="single" w:sz="4" w:space="0" w:color="auto"/>
              <w:left w:val="single" w:sz="4" w:space="0" w:color="auto"/>
              <w:bottom w:val="single" w:sz="4" w:space="0" w:color="auto"/>
              <w:right w:val="single" w:sz="4" w:space="0" w:color="auto"/>
            </w:tcBorders>
            <w:hideMark/>
          </w:tcPr>
          <w:p w14:paraId="0C42F92A" w14:textId="77777777" w:rsidR="00F1602A" w:rsidRPr="00AF0D45" w:rsidRDefault="00F1602A" w:rsidP="00B403C0">
            <w:pPr>
              <w:spacing w:line="276" w:lineRule="auto"/>
              <w:rPr>
                <w:rFonts w:ascii="Times New Roman" w:hAnsi="Times New Roman"/>
                <w:szCs w:val="20"/>
              </w:rPr>
            </w:pPr>
            <w:r w:rsidRPr="00AF0D45">
              <w:rPr>
                <w:rFonts w:ascii="Times New Roman" w:hAnsi="Times New Roman"/>
                <w:szCs w:val="20"/>
              </w:rPr>
              <w:t>Unterdruckventil</w:t>
            </w:r>
          </w:p>
          <w:p w14:paraId="005D8007" w14:textId="77777777" w:rsidR="00F1602A" w:rsidRPr="00AF0D45" w:rsidRDefault="00F1602A" w:rsidP="00B403C0">
            <w:pPr>
              <w:spacing w:line="276" w:lineRule="auto"/>
              <w:rPr>
                <w:rFonts w:ascii="Times New Roman" w:hAnsi="Times New Roman"/>
                <w:szCs w:val="20"/>
              </w:rPr>
            </w:pPr>
            <w:r w:rsidRPr="00AF0D45">
              <w:rPr>
                <w:rFonts w:ascii="Times New Roman" w:hAnsi="Times New Roman"/>
                <w:szCs w:val="20"/>
              </w:rPr>
              <w:t>Deflagrationssicherheit</w:t>
            </w:r>
          </w:p>
          <w:p w14:paraId="1E052FC3" w14:textId="77777777" w:rsidR="00F1602A" w:rsidRPr="00AF0D45" w:rsidRDefault="00F1602A" w:rsidP="00B403C0">
            <w:pPr>
              <w:spacing w:line="276" w:lineRule="auto"/>
              <w:ind w:left="33"/>
              <w:rPr>
                <w:rFonts w:ascii="Times New Roman" w:hAnsi="Times New Roman"/>
                <w:szCs w:val="20"/>
              </w:rPr>
            </w:pPr>
            <w:r w:rsidRPr="00AF0D45">
              <w:rPr>
                <w:rFonts w:ascii="Times New Roman" w:hAnsi="Times New Roman"/>
                <w:szCs w:val="20"/>
              </w:rPr>
              <w:t>Prüfung nach der Norm ISO 16852:2016</w:t>
            </w:r>
          </w:p>
          <w:p w14:paraId="48060D8E" w14:textId="77777777" w:rsidR="00F1602A" w:rsidRPr="00AF0D45" w:rsidRDefault="00F1602A" w:rsidP="00B403C0">
            <w:pPr>
              <w:spacing w:line="276" w:lineRule="auto"/>
              <w:ind w:left="33"/>
              <w:rPr>
                <w:rFonts w:ascii="Times New Roman" w:hAnsi="Times New Roman"/>
                <w:szCs w:val="20"/>
              </w:rPr>
            </w:pPr>
            <w:r w:rsidRPr="00AF0D45">
              <w:rPr>
                <w:rFonts w:ascii="Times New Roman" w:hAnsi="Times New Roman"/>
                <w:szCs w:val="20"/>
              </w:rPr>
              <w:t>Nachweis: „entspricht anwendbaren Anforderungen“</w:t>
            </w:r>
          </w:p>
        </w:tc>
        <w:tc>
          <w:tcPr>
            <w:tcW w:w="4576" w:type="dxa"/>
            <w:tcBorders>
              <w:top w:val="single" w:sz="4" w:space="0" w:color="auto"/>
              <w:left w:val="single" w:sz="4" w:space="0" w:color="auto"/>
              <w:bottom w:val="single" w:sz="4" w:space="0" w:color="auto"/>
              <w:right w:val="single" w:sz="4" w:space="0" w:color="auto"/>
            </w:tcBorders>
            <w:hideMark/>
          </w:tcPr>
          <w:p w14:paraId="2B42CDEA" w14:textId="77777777" w:rsidR="00F1602A" w:rsidRPr="00AF0D45" w:rsidRDefault="00F1602A" w:rsidP="00B403C0">
            <w:pPr>
              <w:spacing w:line="276" w:lineRule="auto"/>
              <w:jc w:val="center"/>
              <w:rPr>
                <w:rFonts w:ascii="Times New Roman" w:hAnsi="Times New Roman"/>
                <w:szCs w:val="20"/>
              </w:rPr>
            </w:pPr>
            <w:r w:rsidRPr="00AF0D45">
              <w:rPr>
                <w:rFonts w:ascii="Times New Roman" w:hAnsi="Times New Roman"/>
                <w:szCs w:val="20"/>
              </w:rPr>
              <w:t>N.E.U. ab 1. Januar 2019</w:t>
            </w:r>
          </w:p>
          <w:p w14:paraId="3CE24EDE" w14:textId="77777777" w:rsidR="00F1602A" w:rsidRPr="00AF0D45" w:rsidRDefault="00F1602A" w:rsidP="00B403C0">
            <w:pPr>
              <w:spacing w:line="276" w:lineRule="auto"/>
              <w:rPr>
                <w:rFonts w:ascii="Times New Roman" w:hAnsi="Times New Roman"/>
                <w:szCs w:val="20"/>
              </w:rPr>
            </w:pPr>
            <w:r w:rsidRPr="00AF0D45">
              <w:rPr>
                <w:rFonts w:ascii="Times New Roman" w:hAnsi="Times New Roman"/>
                <w:szCs w:val="20"/>
              </w:rPr>
              <w:t>Erneuerung des Zulassungszeugnisses nach dem 31. Dezember 2034</w:t>
            </w:r>
          </w:p>
          <w:p w14:paraId="50F871B7" w14:textId="77777777" w:rsidR="00F1602A" w:rsidRPr="00AF0D45" w:rsidRDefault="00F1602A" w:rsidP="00B403C0">
            <w:pPr>
              <w:spacing w:line="276" w:lineRule="auto"/>
              <w:rPr>
                <w:rFonts w:ascii="Times New Roman" w:hAnsi="Times New Roman"/>
                <w:szCs w:val="20"/>
              </w:rPr>
            </w:pPr>
          </w:p>
          <w:p w14:paraId="662F55DD" w14:textId="36A1535F" w:rsidR="00F1602A" w:rsidRPr="00AF0D45" w:rsidRDefault="00F1602A" w:rsidP="00B403C0">
            <w:pPr>
              <w:spacing w:line="276" w:lineRule="auto"/>
              <w:ind w:left="33"/>
              <w:rPr>
                <w:rFonts w:ascii="Times New Roman" w:hAnsi="Times New Roman"/>
                <w:szCs w:val="20"/>
              </w:rPr>
            </w:pPr>
            <w:r w:rsidRPr="00AF0D45">
              <w:rPr>
                <w:rFonts w:ascii="Times New Roman" w:hAnsi="Times New Roman"/>
                <w:szCs w:val="20"/>
              </w:rPr>
              <w:t>Die Deflagrationssicherheit muss auf Schiffen, die ab dem 1. Januar 2001 neugebaut oder umgebaut wurden, oder wenn das Unterdruckventil</w:t>
            </w:r>
            <w:r w:rsidRPr="00AF0D45" w:rsidDel="005255FE">
              <w:rPr>
                <w:rFonts w:ascii="Times New Roman" w:hAnsi="Times New Roman"/>
                <w:szCs w:val="20"/>
              </w:rPr>
              <w:t xml:space="preserve"> </w:t>
            </w:r>
            <w:r w:rsidRPr="00AF0D45">
              <w:rPr>
                <w:rFonts w:ascii="Times New Roman" w:hAnsi="Times New Roman"/>
                <w:szCs w:val="20"/>
              </w:rPr>
              <w:t>ab dem 1.</w:t>
            </w:r>
            <w:r w:rsidR="00C04B1D">
              <w:rPr>
                <w:rFonts w:ascii="Times New Roman" w:hAnsi="Times New Roman"/>
                <w:szCs w:val="20"/>
              </w:rPr>
              <w:t> </w:t>
            </w:r>
            <w:r w:rsidRPr="00AF0D45">
              <w:rPr>
                <w:rFonts w:ascii="Times New Roman" w:hAnsi="Times New Roman"/>
                <w:szCs w:val="20"/>
              </w:rPr>
              <w:t>Januar 2001 ersetzt wurde, nach der Norm EN</w:t>
            </w:r>
            <w:r w:rsidR="00C04B1D">
              <w:rPr>
                <w:rFonts w:ascii="Times New Roman" w:hAnsi="Times New Roman"/>
                <w:szCs w:val="20"/>
              </w:rPr>
              <w:t> </w:t>
            </w:r>
            <w:r w:rsidRPr="00AF0D45">
              <w:rPr>
                <w:rFonts w:ascii="Times New Roman" w:hAnsi="Times New Roman"/>
                <w:szCs w:val="20"/>
              </w:rPr>
              <w:t>12874:2001 geprüft sein einschließlich des Nachweises des Herstellers nach Richtlinie 94/9/EG oder gleichwertig.</w:t>
            </w:r>
          </w:p>
          <w:p w14:paraId="40FDFE10" w14:textId="77777777" w:rsidR="00F1602A" w:rsidRPr="00AF0D45" w:rsidRDefault="00F1602A" w:rsidP="00B403C0">
            <w:pPr>
              <w:spacing w:line="276" w:lineRule="auto"/>
              <w:ind w:left="33"/>
              <w:rPr>
                <w:rFonts w:ascii="Times New Roman" w:hAnsi="Times New Roman"/>
                <w:szCs w:val="20"/>
              </w:rPr>
            </w:pPr>
            <w:r w:rsidRPr="00AF0D45">
              <w:rPr>
                <w:rFonts w:ascii="Times New Roman" w:hAnsi="Times New Roman"/>
                <w:szCs w:val="20"/>
              </w:rPr>
              <w:t>In den anderen Fällen müssen sie von einem von der zuständigen Behörde für den vorgesehenen Zweck zugelassenen Typ sein.</w:t>
            </w:r>
          </w:p>
        </w:tc>
      </w:tr>
    </w:tbl>
    <w:p w14:paraId="01BC8C12" w14:textId="2CA80DE5" w:rsidR="00B403C0" w:rsidRDefault="00B403C0" w:rsidP="007B0D0B">
      <w:pPr>
        <w:pStyle w:val="SingleTxtG"/>
        <w:spacing w:before="120"/>
        <w:rPr>
          <w:i/>
          <w:lang w:val="de-DE"/>
        </w:rPr>
      </w:pPr>
      <w:r w:rsidRPr="00AF0D45">
        <w:rPr>
          <w:lang w:val="de-DE"/>
        </w:rPr>
        <w:t>“</w:t>
      </w:r>
      <w:r>
        <w:rPr>
          <w:i/>
          <w:lang w:val="de-DE"/>
        </w:rPr>
        <w:t>.</w:t>
      </w:r>
    </w:p>
    <w:p w14:paraId="104A4DAB" w14:textId="3956484F" w:rsidR="009753E1" w:rsidRPr="00AF0D45" w:rsidRDefault="009753E1" w:rsidP="007B0D0B">
      <w:pPr>
        <w:pStyle w:val="SingleTxtG"/>
        <w:spacing w:before="120"/>
        <w:rPr>
          <w:rFonts w:asciiTheme="majorBidi" w:eastAsia="Calibri" w:hAnsiTheme="majorBidi" w:cstheme="majorBidi"/>
          <w:iCs/>
          <w:vertAlign w:val="superscript"/>
          <w:lang w:val="de-DE"/>
        </w:rPr>
      </w:pPr>
      <w:r w:rsidRPr="00AF0D45">
        <w:rPr>
          <w:i/>
          <w:lang w:val="de-DE"/>
        </w:rPr>
        <w:t>(</w:t>
      </w:r>
      <w:r w:rsidR="00817513" w:rsidRPr="00AF0D45">
        <w:rPr>
          <w:i/>
          <w:lang w:val="de-DE"/>
        </w:rPr>
        <w:t>Referenzdokument</w:t>
      </w:r>
      <w:r w:rsidRPr="00AF0D45">
        <w:rPr>
          <w:i/>
          <w:lang w:val="de-DE"/>
        </w:rPr>
        <w:t>: ECE/TRANS/WP.15/AC.2/2018/32)</w:t>
      </w:r>
    </w:p>
    <w:p w14:paraId="0D9265ED" w14:textId="1BD352CD" w:rsidR="009753E1" w:rsidRPr="00AF0D45" w:rsidRDefault="009753E1" w:rsidP="007B0D0B">
      <w:pPr>
        <w:keepNext/>
        <w:keepLines/>
        <w:tabs>
          <w:tab w:val="right" w:pos="851"/>
        </w:tabs>
        <w:spacing w:before="240" w:after="120" w:line="240" w:lineRule="exact"/>
        <w:ind w:left="1134" w:right="1134" w:hanging="1134"/>
        <w:rPr>
          <w:b/>
          <w:lang w:val="de-DE"/>
        </w:rPr>
      </w:pPr>
      <w:r w:rsidRPr="00AF0D45">
        <w:rPr>
          <w:b/>
          <w:lang w:val="de-DE"/>
        </w:rPr>
        <w:tab/>
      </w:r>
      <w:r w:rsidRPr="00AF0D45">
        <w:rPr>
          <w:b/>
          <w:lang w:val="de-DE"/>
        </w:rPr>
        <w:tab/>
      </w:r>
      <w:r w:rsidR="00817513" w:rsidRPr="00AF0D45">
        <w:rPr>
          <w:b/>
          <w:lang w:val="de-DE"/>
        </w:rPr>
        <w:t>Kapitel</w:t>
      </w:r>
      <w:r w:rsidRPr="00AF0D45">
        <w:rPr>
          <w:b/>
          <w:lang w:val="de-DE"/>
        </w:rPr>
        <w:t xml:space="preserve"> 3.2, </w:t>
      </w:r>
      <w:r w:rsidR="00817513" w:rsidRPr="00AF0D45">
        <w:rPr>
          <w:b/>
          <w:lang w:val="de-DE"/>
        </w:rPr>
        <w:t>Tabelle</w:t>
      </w:r>
      <w:r w:rsidRPr="00AF0D45">
        <w:rPr>
          <w:b/>
          <w:lang w:val="de-DE"/>
        </w:rPr>
        <w:t xml:space="preserve"> A</w:t>
      </w:r>
    </w:p>
    <w:p w14:paraId="1877EEB4" w14:textId="5C6C5FB7" w:rsidR="005968EC" w:rsidRPr="00AF0D45" w:rsidRDefault="005968EC" w:rsidP="005968EC">
      <w:pPr>
        <w:spacing w:after="120"/>
        <w:ind w:left="1134" w:right="1134"/>
        <w:jc w:val="both"/>
        <w:rPr>
          <w:lang w:val="de-DE"/>
        </w:rPr>
      </w:pPr>
      <w:r w:rsidRPr="00AF0D45">
        <w:rPr>
          <w:bCs/>
          <w:lang w:val="de-DE"/>
        </w:rPr>
        <w:t xml:space="preserve">Bei der UN-Nr. </w:t>
      </w:r>
      <w:r w:rsidRPr="00AF0D45">
        <w:rPr>
          <w:lang w:val="de-DE"/>
        </w:rPr>
        <w:t>2288, ISOHEXENE, in Spalte (8), einfügen: „T“.</w:t>
      </w:r>
    </w:p>
    <w:p w14:paraId="3C5E750C" w14:textId="67DF3A61" w:rsidR="009753E1" w:rsidRPr="00AF0D45" w:rsidRDefault="009753E1" w:rsidP="007B0D0B">
      <w:pPr>
        <w:pStyle w:val="SingleTxtG"/>
        <w:rPr>
          <w:i/>
          <w:lang w:val="de-DE"/>
        </w:rPr>
      </w:pPr>
      <w:r w:rsidRPr="00AF0D45">
        <w:rPr>
          <w:i/>
          <w:lang w:val="de-DE"/>
        </w:rPr>
        <w:t>(</w:t>
      </w:r>
      <w:r w:rsidR="00817513" w:rsidRPr="00AF0D45">
        <w:rPr>
          <w:i/>
          <w:lang w:val="de-DE"/>
        </w:rPr>
        <w:t>Referenzdokument</w:t>
      </w:r>
      <w:r w:rsidRPr="00AF0D45">
        <w:rPr>
          <w:i/>
          <w:lang w:val="de-DE"/>
        </w:rPr>
        <w:t>: ECE/TRANS/WP.15/AC.2/2018/44)</w:t>
      </w:r>
    </w:p>
    <w:p w14:paraId="0EBD2720" w14:textId="2E7186A1" w:rsidR="009753E1" w:rsidRPr="00AF0D45" w:rsidRDefault="009753E1" w:rsidP="007B0D0B">
      <w:pPr>
        <w:keepNext/>
        <w:keepLines/>
        <w:tabs>
          <w:tab w:val="right" w:pos="851"/>
        </w:tabs>
        <w:spacing w:before="240" w:after="120" w:line="240" w:lineRule="exact"/>
        <w:ind w:left="1134" w:right="1134" w:hanging="1134"/>
        <w:rPr>
          <w:b/>
          <w:lang w:val="de-DE"/>
        </w:rPr>
      </w:pPr>
      <w:r w:rsidRPr="00AF0D45">
        <w:rPr>
          <w:b/>
          <w:lang w:val="de-DE"/>
        </w:rPr>
        <w:tab/>
      </w:r>
      <w:r w:rsidRPr="00AF0D45">
        <w:rPr>
          <w:b/>
          <w:lang w:val="de-DE"/>
        </w:rPr>
        <w:tab/>
      </w:r>
      <w:r w:rsidR="00817513" w:rsidRPr="00AF0D45">
        <w:rPr>
          <w:b/>
          <w:lang w:val="de-DE"/>
        </w:rPr>
        <w:t>Kapitel</w:t>
      </w:r>
      <w:r w:rsidRPr="00AF0D45">
        <w:rPr>
          <w:b/>
          <w:lang w:val="de-DE"/>
        </w:rPr>
        <w:t xml:space="preserve"> 3.2, 3.2.3</w:t>
      </w:r>
    </w:p>
    <w:p w14:paraId="0992C155" w14:textId="71918DA6" w:rsidR="009753E1" w:rsidRPr="00AF0D45" w:rsidRDefault="009753E1" w:rsidP="00C04B1D">
      <w:pPr>
        <w:pStyle w:val="SingleTxtG"/>
        <w:rPr>
          <w:lang w:val="de-DE"/>
        </w:rPr>
      </w:pPr>
      <w:r w:rsidRPr="00AF0D45">
        <w:rPr>
          <w:lang w:val="de-DE"/>
        </w:rPr>
        <w:t xml:space="preserve">3.2.3.1, 3.2.3.3 </w:t>
      </w:r>
      <w:r w:rsidR="005968EC" w:rsidRPr="00AF0D45">
        <w:rPr>
          <w:lang w:val="de-DE"/>
        </w:rPr>
        <w:t>und</w:t>
      </w:r>
      <w:r w:rsidRPr="00AF0D45">
        <w:rPr>
          <w:lang w:val="de-DE"/>
        </w:rPr>
        <w:t xml:space="preserve"> 3.2.4.3, </w:t>
      </w:r>
      <w:r w:rsidR="005968EC" w:rsidRPr="00AF0D45">
        <w:rPr>
          <w:lang w:val="de-DE"/>
        </w:rPr>
        <w:t>Spalte</w:t>
      </w:r>
      <w:r w:rsidRPr="00AF0D45">
        <w:rPr>
          <w:lang w:val="de-DE"/>
        </w:rPr>
        <w:t xml:space="preserve"> (20)</w:t>
      </w:r>
      <w:r w:rsidRPr="00AF0D45">
        <w:rPr>
          <w:lang w:val="de-DE"/>
        </w:rPr>
        <w:tab/>
      </w:r>
      <w:r w:rsidR="005968EC" w:rsidRPr="00AF0D45">
        <w:rPr>
          <w:lang w:val="de-DE"/>
        </w:rPr>
        <w:t>Die Bemerkung 29 erhält folgenden Wortlaut: „</w:t>
      </w:r>
      <w:r w:rsidR="00AF0D45">
        <w:rPr>
          <w:lang w:val="de-DE"/>
        </w:rPr>
        <w:t>(</w:t>
      </w:r>
      <w:r w:rsidR="005968EC" w:rsidRPr="00AF0D45">
        <w:rPr>
          <w:lang w:val="de-DE"/>
        </w:rPr>
        <w:t>gestrichen</w:t>
      </w:r>
      <w:r w:rsidR="00AF0D45">
        <w:rPr>
          <w:lang w:val="de-DE"/>
        </w:rPr>
        <w:t>)</w:t>
      </w:r>
      <w:r w:rsidR="005968EC" w:rsidRPr="00AF0D45">
        <w:rPr>
          <w:lang w:val="de-DE"/>
        </w:rPr>
        <w:t>“.</w:t>
      </w:r>
    </w:p>
    <w:p w14:paraId="5E0F9106" w14:textId="46B8A053" w:rsidR="009753E1" w:rsidRPr="00AF0D45" w:rsidRDefault="009753E1" w:rsidP="00C04B1D">
      <w:pPr>
        <w:pStyle w:val="SingleTxtG"/>
        <w:rPr>
          <w:i/>
          <w:lang w:val="de-DE"/>
        </w:rPr>
      </w:pPr>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p>
    <w:p w14:paraId="2EB2388D" w14:textId="7DB60B66" w:rsidR="00875980" w:rsidRPr="00AF0D45" w:rsidRDefault="009753E1" w:rsidP="00C04B1D">
      <w:pPr>
        <w:pStyle w:val="SingleTxtG"/>
        <w:tabs>
          <w:tab w:val="left" w:pos="1985"/>
        </w:tabs>
        <w:rPr>
          <w:lang w:val="de-DE"/>
        </w:rPr>
      </w:pPr>
      <w:r w:rsidRPr="00AF0D45">
        <w:rPr>
          <w:lang w:val="de-DE"/>
        </w:rPr>
        <w:t>3.2.3.1</w:t>
      </w:r>
      <w:r w:rsidRPr="00AF0D45">
        <w:rPr>
          <w:lang w:val="de-DE"/>
        </w:rPr>
        <w:tab/>
      </w:r>
      <w:r w:rsidR="009D0034" w:rsidRPr="00AF0D45">
        <w:rPr>
          <w:lang w:val="de-DE"/>
        </w:rPr>
        <w:t>„Erläuterungen zur Tabelle C“</w:t>
      </w:r>
      <w:r w:rsidRPr="00AF0D45">
        <w:rPr>
          <w:lang w:val="de-DE"/>
        </w:rPr>
        <w:t xml:space="preserve">, </w:t>
      </w:r>
      <w:r w:rsidR="00875980" w:rsidRPr="00AF0D45">
        <w:rPr>
          <w:lang w:val="de-DE"/>
        </w:rPr>
        <w:t>Spalte</w:t>
      </w:r>
      <w:r w:rsidRPr="00AF0D45">
        <w:rPr>
          <w:lang w:val="de-DE"/>
        </w:rPr>
        <w:t xml:space="preserve"> (20) “</w:t>
      </w:r>
      <w:r w:rsidR="00875980" w:rsidRPr="00AF0D45">
        <w:rPr>
          <w:lang w:val="de-DE"/>
        </w:rPr>
        <w:t>Zusätzliche Anforderungen/Bemerkungen</w:t>
      </w:r>
      <w:r w:rsidRPr="00AF0D45">
        <w:rPr>
          <w:lang w:val="de-DE"/>
        </w:rPr>
        <w:t>”</w:t>
      </w:r>
      <w:r w:rsidR="00875980" w:rsidRPr="00AF0D45">
        <w:rPr>
          <w:lang w:val="de-DE"/>
        </w:rPr>
        <w:tab/>
        <w:t xml:space="preserve">Die Bemerkung 44. </w:t>
      </w:r>
      <w:r w:rsidR="009D0034" w:rsidRPr="00AF0D45">
        <w:rPr>
          <w:lang w:val="de-DE"/>
        </w:rPr>
        <w:t>er</w:t>
      </w:r>
      <w:r w:rsidR="00875980" w:rsidRPr="00AF0D45">
        <w:rPr>
          <w:lang w:val="de-DE"/>
        </w:rPr>
        <w:t>hält am Ende folgenden Wortlaut:</w:t>
      </w:r>
    </w:p>
    <w:p w14:paraId="0C6358CA" w14:textId="5367BA6F" w:rsidR="00875980" w:rsidRPr="00AF0D45" w:rsidRDefault="00875980" w:rsidP="00C04B1D">
      <w:pPr>
        <w:suppressAutoHyphens w:val="0"/>
        <w:spacing w:line="240" w:lineRule="auto"/>
        <w:ind w:left="1134" w:right="1134"/>
        <w:jc w:val="both"/>
        <w:rPr>
          <w:bCs/>
          <w:lang w:val="de-DE"/>
        </w:rPr>
      </w:pPr>
      <w:r w:rsidRPr="00AF0D45">
        <w:rPr>
          <w:bCs/>
          <w:lang w:val="de-DE"/>
        </w:rPr>
        <w:t>„… oder vergleichbar vorliegen, die eine Zuordnung zu den Untergruppen II B3, II B2 oder II B1 der Explosionsgruppe II B oder der Explosionsgruppe II A erlauben.“.</w:t>
      </w:r>
    </w:p>
    <w:p w14:paraId="3A867050" w14:textId="6B2571BC" w:rsidR="009753E1" w:rsidRPr="00AF0D45" w:rsidRDefault="009753E1" w:rsidP="00C04B1D">
      <w:pPr>
        <w:pStyle w:val="SingleTxtG"/>
        <w:spacing w:before="120"/>
        <w:rPr>
          <w:rFonts w:eastAsiaTheme="minorEastAsia"/>
          <w:lang w:val="de-DE"/>
        </w:rPr>
      </w:pPr>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p>
    <w:p w14:paraId="528F8C12" w14:textId="79A2C69A" w:rsidR="009753E1" w:rsidRPr="00AF0D45" w:rsidRDefault="009753E1" w:rsidP="007B0D0B">
      <w:pPr>
        <w:keepNext/>
        <w:keepLines/>
        <w:tabs>
          <w:tab w:val="right" w:pos="851"/>
        </w:tabs>
        <w:spacing w:before="240" w:after="120" w:line="240" w:lineRule="exact"/>
        <w:ind w:left="1134" w:right="1134" w:hanging="1134"/>
        <w:rPr>
          <w:b/>
          <w:lang w:val="de-DE"/>
        </w:rPr>
      </w:pPr>
      <w:r w:rsidRPr="00AF0D45">
        <w:rPr>
          <w:b/>
          <w:lang w:val="de-DE"/>
        </w:rPr>
        <w:tab/>
      </w:r>
      <w:r w:rsidRPr="00AF0D45">
        <w:rPr>
          <w:b/>
          <w:lang w:val="de-DE"/>
        </w:rPr>
        <w:tab/>
      </w:r>
      <w:r w:rsidR="00817513" w:rsidRPr="00AF0D45">
        <w:rPr>
          <w:b/>
          <w:lang w:val="de-DE"/>
        </w:rPr>
        <w:t>Kapitel</w:t>
      </w:r>
      <w:r w:rsidRPr="00AF0D45">
        <w:rPr>
          <w:b/>
          <w:lang w:val="de-DE"/>
        </w:rPr>
        <w:t xml:space="preserve"> 3.2, </w:t>
      </w:r>
      <w:r w:rsidR="00817513" w:rsidRPr="00AF0D45">
        <w:rPr>
          <w:b/>
          <w:lang w:val="de-DE"/>
        </w:rPr>
        <w:t>Tabelle</w:t>
      </w:r>
      <w:r w:rsidRPr="00AF0D45">
        <w:rPr>
          <w:b/>
          <w:lang w:val="de-DE"/>
        </w:rPr>
        <w:t xml:space="preserve"> C</w:t>
      </w:r>
    </w:p>
    <w:p w14:paraId="67FD74AA" w14:textId="53DB1D9C" w:rsidR="009753E1" w:rsidRPr="00AF0D45" w:rsidRDefault="009753E1" w:rsidP="007B0D0B">
      <w:pPr>
        <w:pStyle w:val="SingleTxtG"/>
        <w:rPr>
          <w:lang w:val="de-DE"/>
        </w:rPr>
      </w:pPr>
      <w:r w:rsidRPr="00AF0D45">
        <w:rPr>
          <w:lang w:val="de-DE"/>
        </w:rPr>
        <w:t>3.2.3.2</w:t>
      </w:r>
      <w:r w:rsidR="00D02309" w:rsidRPr="00AF0D45">
        <w:rPr>
          <w:lang w:val="de-DE"/>
        </w:rPr>
        <w:tab/>
      </w:r>
      <w:r w:rsidRPr="00AF0D45">
        <w:rPr>
          <w:lang w:val="de-DE"/>
        </w:rPr>
        <w:tab/>
      </w:r>
      <w:r w:rsidR="00285011">
        <w:rPr>
          <w:lang w:val="de-DE"/>
        </w:rPr>
        <w:t>Für</w:t>
      </w:r>
      <w:r w:rsidR="0052005F" w:rsidRPr="00AF0D45">
        <w:rPr>
          <w:lang w:val="de-DE"/>
        </w:rPr>
        <w:t xml:space="preserve"> alle</w:t>
      </w:r>
      <w:r w:rsidR="00285011">
        <w:rPr>
          <w:lang w:val="de-DE"/>
        </w:rPr>
        <w:t xml:space="preserve"> Eintragungen mit „29“ in Spalte (20)</w:t>
      </w:r>
      <w:r w:rsidR="00116114" w:rsidRPr="00AF0D45">
        <w:rPr>
          <w:lang w:val="de-DE"/>
        </w:rPr>
        <w:t xml:space="preserve">, </w:t>
      </w:r>
      <w:r w:rsidR="0052005F" w:rsidRPr="00AF0D45">
        <w:rPr>
          <w:lang w:val="de-DE"/>
        </w:rPr>
        <w:t>streichen: „29“.</w:t>
      </w:r>
    </w:p>
    <w:p w14:paraId="01718DB4" w14:textId="25D21EE4" w:rsidR="009753E1" w:rsidRPr="00AF0D45" w:rsidRDefault="009753E1" w:rsidP="007B0D0B">
      <w:pPr>
        <w:pStyle w:val="SingleTxtG"/>
        <w:rPr>
          <w:i/>
          <w:lang w:val="de-DE"/>
        </w:rPr>
      </w:pPr>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p>
    <w:p w14:paraId="08BE71B7" w14:textId="4E90C7C1" w:rsidR="005979BC" w:rsidRPr="00AF0D45" w:rsidRDefault="005979BC" w:rsidP="007B0D0B">
      <w:pPr>
        <w:pStyle w:val="SingleTxtG"/>
        <w:rPr>
          <w:lang w:val="de-DE"/>
        </w:rPr>
      </w:pPr>
      <w:r w:rsidRPr="00AF0D45">
        <w:rPr>
          <w:iCs/>
          <w:lang w:val="de-DE"/>
        </w:rPr>
        <w:t>Bei der UN-Nr.</w:t>
      </w:r>
      <w:r w:rsidRPr="00AF0D45">
        <w:rPr>
          <w:lang w:val="de-DE"/>
        </w:rPr>
        <w:t xml:space="preserve"> </w:t>
      </w:r>
      <w:r w:rsidR="009753E1" w:rsidRPr="00AF0D45">
        <w:rPr>
          <w:lang w:val="de-DE"/>
        </w:rPr>
        <w:t xml:space="preserve">1010, </w:t>
      </w:r>
      <w:r w:rsidRPr="00AF0D45">
        <w:rPr>
          <w:lang w:val="de-DE"/>
        </w:rPr>
        <w:t>BUTA-1,2-DIEN, STABILISIERT,</w:t>
      </w:r>
      <w:r w:rsidR="009753E1" w:rsidRPr="00AF0D45">
        <w:rPr>
          <w:lang w:val="de-DE"/>
        </w:rPr>
        <w:t xml:space="preserve"> </w:t>
      </w:r>
      <w:r w:rsidRPr="00AF0D45">
        <w:rPr>
          <w:lang w:val="de-DE"/>
        </w:rPr>
        <w:t>erhält die Spalte (2) folgenden Wortlaut: „BUTADIENE (BUTA-1,2-DIEN), STABILISIERT“.</w:t>
      </w:r>
    </w:p>
    <w:p w14:paraId="08826EC1" w14:textId="3AB71558" w:rsidR="009753E1" w:rsidRPr="00AF0D45" w:rsidRDefault="009753E1" w:rsidP="007B0D0B">
      <w:pPr>
        <w:pStyle w:val="SingleTxtG"/>
        <w:rPr>
          <w:i/>
          <w:lang w:val="de-DE"/>
        </w:rPr>
      </w:pPr>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p>
    <w:p w14:paraId="5192E5F6" w14:textId="608F7C7D" w:rsidR="005979BC" w:rsidRPr="00AF0D45" w:rsidRDefault="005979BC" w:rsidP="007B0D0B">
      <w:pPr>
        <w:pStyle w:val="SingleTxtG"/>
        <w:rPr>
          <w:lang w:val="de-DE"/>
        </w:rPr>
      </w:pPr>
      <w:r w:rsidRPr="00AF0D45">
        <w:rPr>
          <w:iCs/>
          <w:lang w:val="de-DE"/>
        </w:rPr>
        <w:t>Bei der UN-Nr</w:t>
      </w:r>
      <w:r w:rsidR="00D01F5A">
        <w:rPr>
          <w:iCs/>
          <w:lang w:val="de-DE"/>
        </w:rPr>
        <w:t>.</w:t>
      </w:r>
      <w:r w:rsidRPr="00AF0D45">
        <w:rPr>
          <w:lang w:val="de-DE"/>
        </w:rPr>
        <w:t xml:space="preserve"> </w:t>
      </w:r>
      <w:r w:rsidR="009753E1" w:rsidRPr="00AF0D45">
        <w:rPr>
          <w:lang w:val="de-DE"/>
        </w:rPr>
        <w:t xml:space="preserve">1010, </w:t>
      </w:r>
      <w:r w:rsidRPr="00AF0D45">
        <w:rPr>
          <w:lang w:val="de-DE"/>
        </w:rPr>
        <w:t>BUTA-1,3-DIEN, STABILISIERT, erhält die Spalte (2) folgenden Wortlaut: „BUTADIENE (BUTA-1,3-DIEN), STABILISIERT“</w:t>
      </w:r>
      <w:r w:rsidR="0058206A" w:rsidRPr="00AF0D45">
        <w:rPr>
          <w:lang w:val="de-DE"/>
        </w:rPr>
        <w:t>.</w:t>
      </w:r>
    </w:p>
    <w:p w14:paraId="31C85B8C" w14:textId="353428FE" w:rsidR="009753E1" w:rsidRPr="00AF0D45" w:rsidRDefault="009753E1" w:rsidP="007B0D0B">
      <w:pPr>
        <w:pStyle w:val="SingleTxtG"/>
        <w:rPr>
          <w:i/>
          <w:lang w:val="de-DE"/>
        </w:rPr>
      </w:pPr>
      <w:r w:rsidRPr="00AF0D45">
        <w:rPr>
          <w:i/>
          <w:iCs/>
          <w:lang w:val="de-DE"/>
        </w:rPr>
        <w:t>(</w:t>
      </w:r>
      <w:r w:rsidR="00817513" w:rsidRPr="00AF0D45">
        <w:rPr>
          <w:i/>
          <w:iCs/>
          <w:lang w:val="de-DE"/>
        </w:rPr>
        <w:t>Referenzdokument</w:t>
      </w:r>
      <w:r w:rsidRPr="00AF0D45">
        <w:rPr>
          <w:i/>
          <w:iCs/>
          <w:lang w:val="de-DE"/>
        </w:rPr>
        <w:t>: ECE/TRANS/WP.15/AC.2/2018/44)</w:t>
      </w:r>
    </w:p>
    <w:p w14:paraId="4CBF7F60" w14:textId="77777777" w:rsidR="00B403C0" w:rsidRDefault="00B403C0">
      <w:pPr>
        <w:suppressAutoHyphens w:val="0"/>
        <w:spacing w:line="240" w:lineRule="auto"/>
        <w:rPr>
          <w:iCs/>
          <w:lang w:val="de-DE"/>
        </w:rPr>
      </w:pPr>
      <w:r>
        <w:rPr>
          <w:iCs/>
          <w:lang w:val="de-DE"/>
        </w:rPr>
        <w:br w:type="page"/>
      </w:r>
    </w:p>
    <w:p w14:paraId="6B6E8C01" w14:textId="4629CD8D" w:rsidR="00BA69C9" w:rsidRPr="00AF0D45" w:rsidRDefault="0058206A" w:rsidP="007B0D0B">
      <w:pPr>
        <w:pStyle w:val="SingleTxtG"/>
        <w:rPr>
          <w:lang w:val="de-DE"/>
        </w:rPr>
      </w:pPr>
      <w:r w:rsidRPr="00AF0D45">
        <w:rPr>
          <w:iCs/>
          <w:lang w:val="de-DE"/>
        </w:rPr>
        <w:lastRenderedPageBreak/>
        <w:t>Bei der UN-Nr.</w:t>
      </w:r>
      <w:r w:rsidRPr="00AF0D45">
        <w:rPr>
          <w:lang w:val="de-DE"/>
        </w:rPr>
        <w:t xml:space="preserve"> </w:t>
      </w:r>
      <w:r w:rsidR="009753E1" w:rsidRPr="00AF0D45">
        <w:rPr>
          <w:lang w:val="de-DE"/>
        </w:rPr>
        <w:t>1020</w:t>
      </w:r>
      <w:r w:rsidR="000A69DA" w:rsidRPr="00AF0D45">
        <w:rPr>
          <w:iCs/>
          <w:lang w:val="de-DE"/>
        </w:rPr>
        <w:t xml:space="preserve"> erhält die Spalte (2) folgenden Wortlaut</w:t>
      </w:r>
      <w:r w:rsidR="009753E1" w:rsidRPr="00AF0D45">
        <w:rPr>
          <w:lang w:val="de-DE"/>
        </w:rPr>
        <w:t xml:space="preserve">: </w:t>
      </w:r>
      <w:r w:rsidR="00BA69C9" w:rsidRPr="00AF0D45">
        <w:rPr>
          <w:lang w:val="de-DE"/>
        </w:rPr>
        <w:t>„CHLORPENTAFLUORETHAN (Gas als Kältemittel R 115)“.</w:t>
      </w:r>
    </w:p>
    <w:p w14:paraId="6062B2FA" w14:textId="680D455E" w:rsidR="009753E1" w:rsidRPr="00AF0D45" w:rsidRDefault="009753E1" w:rsidP="007B0D0B">
      <w:pPr>
        <w:pStyle w:val="SingleTxtG"/>
        <w:rPr>
          <w:i/>
          <w:lang w:val="de-DE"/>
        </w:rPr>
      </w:pPr>
      <w:r w:rsidRPr="00AF0D45">
        <w:rPr>
          <w:i/>
          <w:iCs/>
          <w:lang w:val="de-DE"/>
        </w:rPr>
        <w:t>(</w:t>
      </w:r>
      <w:r w:rsidR="00817513" w:rsidRPr="00AF0D45">
        <w:rPr>
          <w:i/>
          <w:iCs/>
          <w:lang w:val="de-DE"/>
        </w:rPr>
        <w:t>Referenzdokument</w:t>
      </w:r>
      <w:r w:rsidRPr="00AF0D45">
        <w:rPr>
          <w:i/>
          <w:iCs/>
          <w:lang w:val="de-DE"/>
        </w:rPr>
        <w:t>: ECE/TRANS/WP.15/AC.2/2018/44)</w:t>
      </w:r>
    </w:p>
    <w:p w14:paraId="602B1D15" w14:textId="55609AD2" w:rsidR="00BA69C9" w:rsidRPr="00AF0D45" w:rsidRDefault="0058206A" w:rsidP="007B0D0B">
      <w:pPr>
        <w:pStyle w:val="SingleTxtG"/>
        <w:rPr>
          <w:lang w:val="de-DE"/>
        </w:rPr>
      </w:pPr>
      <w:r w:rsidRPr="00AF0D45">
        <w:rPr>
          <w:iCs/>
          <w:lang w:val="de-DE"/>
        </w:rPr>
        <w:t>Bei der UN-Nr.</w:t>
      </w:r>
      <w:r w:rsidRPr="00AF0D45">
        <w:rPr>
          <w:lang w:val="de-DE"/>
        </w:rPr>
        <w:t xml:space="preserve"> </w:t>
      </w:r>
      <w:r w:rsidR="009753E1" w:rsidRPr="00AF0D45">
        <w:rPr>
          <w:lang w:val="de-DE"/>
        </w:rPr>
        <w:t>1108</w:t>
      </w:r>
      <w:r w:rsidR="000A69DA" w:rsidRPr="00AF0D45">
        <w:rPr>
          <w:iCs/>
          <w:lang w:val="de-DE"/>
        </w:rPr>
        <w:t xml:space="preserve"> erhält die Spalte (2) folgenden Wortlaut</w:t>
      </w:r>
      <w:r w:rsidR="000A69DA" w:rsidRPr="00AF0D45">
        <w:rPr>
          <w:lang w:val="de-DE"/>
        </w:rPr>
        <w:t>:</w:t>
      </w:r>
      <w:r w:rsidR="009753E1" w:rsidRPr="00AF0D45">
        <w:rPr>
          <w:lang w:val="de-DE"/>
        </w:rPr>
        <w:t xml:space="preserve"> </w:t>
      </w:r>
      <w:r w:rsidR="00BA69C9" w:rsidRPr="00AF0D45">
        <w:rPr>
          <w:lang w:val="de-DE"/>
        </w:rPr>
        <w:t>„PENT-1-EN (n-</w:t>
      </w:r>
      <w:proofErr w:type="spellStart"/>
      <w:r w:rsidR="00BA69C9" w:rsidRPr="00AF0D45">
        <w:rPr>
          <w:lang w:val="de-DE"/>
        </w:rPr>
        <w:t>Amylen</w:t>
      </w:r>
      <w:proofErr w:type="spellEnd"/>
      <w:r w:rsidR="00BA69C9" w:rsidRPr="00AF0D45">
        <w:rPr>
          <w:lang w:val="de-DE"/>
        </w:rPr>
        <w:t>)“.</w:t>
      </w:r>
    </w:p>
    <w:p w14:paraId="4F17E157" w14:textId="4D9AC667" w:rsidR="009753E1" w:rsidRPr="00AF0D45" w:rsidRDefault="009753E1" w:rsidP="007B0D0B">
      <w:pPr>
        <w:pStyle w:val="SingleTxtG"/>
        <w:rPr>
          <w:i/>
          <w:lang w:val="de-DE"/>
        </w:rPr>
      </w:pPr>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p>
    <w:p w14:paraId="7519585E" w14:textId="5DFD1FF7" w:rsidR="00D61F94" w:rsidRDefault="00D61F94" w:rsidP="00D61F94">
      <w:pPr>
        <w:pStyle w:val="SingleTxtG"/>
        <w:rPr>
          <w:iCs/>
          <w:lang w:val="de-DE"/>
        </w:rPr>
      </w:pPr>
      <w:r w:rsidRPr="00AF0D45">
        <w:rPr>
          <w:iCs/>
          <w:lang w:val="de-DE"/>
        </w:rPr>
        <w:t>Bei der UN-Nr.</w:t>
      </w:r>
      <w:r w:rsidRPr="00AF0D45">
        <w:rPr>
          <w:lang w:val="de-DE"/>
        </w:rPr>
        <w:t xml:space="preserve"> 11</w:t>
      </w:r>
      <w:r>
        <w:rPr>
          <w:lang w:val="de-DE"/>
        </w:rPr>
        <w:t>31</w:t>
      </w:r>
      <w:r w:rsidRPr="00AF0D45">
        <w:rPr>
          <w:iCs/>
          <w:lang w:val="de-DE"/>
        </w:rPr>
        <w:t xml:space="preserve"> erhält die Spalte (2) folgenden Wortlaut</w:t>
      </w:r>
      <w:r w:rsidRPr="00AF0D45">
        <w:rPr>
          <w:lang w:val="de-DE"/>
        </w:rPr>
        <w:t>: „</w:t>
      </w:r>
      <w:r w:rsidRPr="00D61F94">
        <w:rPr>
          <w:iCs/>
          <w:lang w:val="de-DE"/>
        </w:rPr>
        <w:t xml:space="preserve">KOHLENSTOFFDISULFID </w:t>
      </w:r>
      <w:r>
        <w:rPr>
          <w:iCs/>
          <w:lang w:val="de-DE"/>
        </w:rPr>
        <w:t>(S</w:t>
      </w:r>
      <w:r w:rsidRPr="00D61F94">
        <w:rPr>
          <w:iCs/>
          <w:lang w:val="de-DE"/>
        </w:rPr>
        <w:t>chwefelkohlenstoff</w:t>
      </w:r>
      <w:r>
        <w:rPr>
          <w:iCs/>
          <w:lang w:val="de-DE"/>
        </w:rPr>
        <w:t>)“.</w:t>
      </w:r>
    </w:p>
    <w:p w14:paraId="52C02A4F" w14:textId="312401E6" w:rsidR="00D61F94" w:rsidRPr="00AF0D45" w:rsidRDefault="00D61F94" w:rsidP="00D61F94">
      <w:pPr>
        <w:pStyle w:val="SingleTxtG"/>
        <w:rPr>
          <w:lang w:val="de-DE"/>
        </w:rPr>
      </w:pPr>
      <w:r>
        <w:rPr>
          <w:iCs/>
          <w:lang w:val="de-DE"/>
        </w:rPr>
        <w:t>[Betrifft nur die deutsche Sprachfassung]</w:t>
      </w:r>
    </w:p>
    <w:p w14:paraId="68600A01" w14:textId="77777777" w:rsidR="00D61F94" w:rsidRPr="00AF0D45" w:rsidRDefault="00D61F94" w:rsidP="00D61F94">
      <w:pPr>
        <w:pStyle w:val="SingleTxtG"/>
        <w:rPr>
          <w:i/>
          <w:lang w:val="de-DE"/>
        </w:rPr>
      </w:pPr>
      <w:r w:rsidRPr="00AF0D45">
        <w:rPr>
          <w:i/>
          <w:iCs/>
          <w:lang w:val="de-DE"/>
        </w:rPr>
        <w:t>(Referenzdokument: ECE/TRANS/WP.15/AC.2/2018/44</w:t>
      </w:r>
      <w:r w:rsidRPr="00AF0D45">
        <w:rPr>
          <w:i/>
          <w:lang w:val="de-DE"/>
        </w:rPr>
        <w:t>)</w:t>
      </w:r>
    </w:p>
    <w:p w14:paraId="622C9E32" w14:textId="793916BC" w:rsidR="009753E1" w:rsidRPr="009E4303" w:rsidRDefault="0058206A" w:rsidP="007B0D0B">
      <w:pPr>
        <w:pStyle w:val="SingleTxtG"/>
        <w:rPr>
          <w:lang w:val="de-DE"/>
        </w:rPr>
      </w:pPr>
      <w:r w:rsidRPr="009E4303">
        <w:rPr>
          <w:iCs/>
          <w:lang w:val="de-DE"/>
        </w:rPr>
        <w:t>Bei der UN-Nr.</w:t>
      </w:r>
      <w:r w:rsidRPr="009E4303">
        <w:rPr>
          <w:lang w:val="de-DE"/>
        </w:rPr>
        <w:t xml:space="preserve"> </w:t>
      </w:r>
      <w:r w:rsidR="009753E1" w:rsidRPr="009E4303">
        <w:rPr>
          <w:lang w:val="de-DE"/>
        </w:rPr>
        <w:t xml:space="preserve">1179 </w:t>
      </w:r>
      <w:r w:rsidR="00D94B61" w:rsidRPr="009E4303">
        <w:rPr>
          <w:lang w:val="de-DE"/>
        </w:rPr>
        <w:t xml:space="preserve">erhält </w:t>
      </w:r>
      <w:r w:rsidR="0068679C">
        <w:rPr>
          <w:lang w:val="de-DE"/>
        </w:rPr>
        <w:t xml:space="preserve">die </w:t>
      </w:r>
      <w:r w:rsidR="0068679C" w:rsidRPr="009E4303">
        <w:rPr>
          <w:lang w:val="de-DE"/>
        </w:rPr>
        <w:t xml:space="preserve">Spalte (16) </w:t>
      </w:r>
      <w:r w:rsidR="00D94B61" w:rsidRPr="009E4303">
        <w:rPr>
          <w:lang w:val="de-DE"/>
        </w:rPr>
        <w:t>folgenden Wortlaut: „</w:t>
      </w:r>
      <w:r w:rsidR="009753E1" w:rsidRPr="009E4303">
        <w:rPr>
          <w:lang w:val="de-DE"/>
        </w:rPr>
        <w:t>II A</w:t>
      </w:r>
      <w:r w:rsidR="00D94B61" w:rsidRPr="009E4303">
        <w:rPr>
          <w:lang w:val="de-DE"/>
        </w:rPr>
        <w:t>“</w:t>
      </w:r>
      <w:r w:rsidR="009753E1" w:rsidRPr="009E4303">
        <w:rPr>
          <w:lang w:val="de-DE"/>
        </w:rPr>
        <w:t>.</w:t>
      </w:r>
    </w:p>
    <w:p w14:paraId="64BDCAF7" w14:textId="5547F23A" w:rsidR="009753E1" w:rsidRPr="009E4303" w:rsidRDefault="009753E1" w:rsidP="007B0D0B">
      <w:pPr>
        <w:pStyle w:val="SingleTxtG"/>
        <w:rPr>
          <w:i/>
          <w:lang w:val="de-DE"/>
        </w:rPr>
      </w:pPr>
      <w:r w:rsidRPr="009E4303">
        <w:rPr>
          <w:i/>
          <w:lang w:val="de-DE"/>
        </w:rPr>
        <w:t>(</w:t>
      </w:r>
      <w:r w:rsidR="00817513" w:rsidRPr="009E4303">
        <w:rPr>
          <w:i/>
          <w:lang w:val="de-DE"/>
        </w:rPr>
        <w:t>Referenzdokument</w:t>
      </w:r>
      <w:r w:rsidRPr="009E4303">
        <w:rPr>
          <w:i/>
          <w:lang w:val="de-DE"/>
        </w:rPr>
        <w:t>s: ECE/TRANS/WP.15/AC.2/2018/50</w:t>
      </w:r>
      <w:r w:rsidR="0058206A" w:rsidRPr="009E4303">
        <w:rPr>
          <w:i/>
          <w:lang w:val="de-DE"/>
        </w:rPr>
        <w:t>, wie durch informelles Dokument</w:t>
      </w:r>
      <w:r w:rsidRPr="009E4303">
        <w:rPr>
          <w:i/>
          <w:lang w:val="de-DE"/>
        </w:rPr>
        <w:t xml:space="preserve"> INF.23</w:t>
      </w:r>
      <w:r w:rsidR="0058206A" w:rsidRPr="009E4303">
        <w:rPr>
          <w:i/>
          <w:lang w:val="de-DE"/>
        </w:rPr>
        <w:t xml:space="preserve"> geändert</w:t>
      </w:r>
      <w:r w:rsidRPr="009E4303">
        <w:rPr>
          <w:i/>
          <w:lang w:val="de-DE"/>
        </w:rPr>
        <w:t>)</w:t>
      </w:r>
    </w:p>
    <w:p w14:paraId="45BA4040" w14:textId="175635F3" w:rsidR="00BA69C9" w:rsidRPr="009E4303" w:rsidRDefault="0058206A" w:rsidP="007B0D0B">
      <w:pPr>
        <w:pStyle w:val="SingleTxtG"/>
        <w:rPr>
          <w:lang w:val="de-DE"/>
        </w:rPr>
      </w:pPr>
      <w:r w:rsidRPr="009E4303">
        <w:rPr>
          <w:iCs/>
          <w:lang w:val="de-DE"/>
        </w:rPr>
        <w:t>Bei der UN-Nr.</w:t>
      </w:r>
      <w:r w:rsidR="009753E1" w:rsidRPr="009E4303">
        <w:rPr>
          <w:lang w:val="de-DE"/>
        </w:rPr>
        <w:t xml:space="preserve"> 1193 </w:t>
      </w:r>
      <w:r w:rsidR="000A69DA" w:rsidRPr="009E4303">
        <w:rPr>
          <w:iCs/>
          <w:lang w:val="de-DE"/>
        </w:rPr>
        <w:t>erhält die Spalte (2) folgenden Wortlaut</w:t>
      </w:r>
      <w:r w:rsidR="009753E1" w:rsidRPr="009E4303">
        <w:rPr>
          <w:lang w:val="de-DE"/>
        </w:rPr>
        <w:t xml:space="preserve">: </w:t>
      </w:r>
      <w:r w:rsidR="00BA69C9" w:rsidRPr="009E4303">
        <w:rPr>
          <w:lang w:val="de-DE"/>
        </w:rPr>
        <w:t>„ETHYLMETHYLKETON (Methylethylketon)“.</w:t>
      </w:r>
    </w:p>
    <w:p w14:paraId="516A07BE" w14:textId="4B282C60" w:rsidR="009753E1" w:rsidRPr="009E4303" w:rsidRDefault="009753E1" w:rsidP="007B0D0B">
      <w:pPr>
        <w:pStyle w:val="SingleTxtG"/>
        <w:rPr>
          <w:i/>
          <w:lang w:val="de-DE"/>
        </w:rPr>
      </w:pPr>
      <w:r w:rsidRPr="009E4303">
        <w:rPr>
          <w:i/>
          <w:iCs/>
          <w:lang w:val="de-DE"/>
        </w:rPr>
        <w:t>(</w:t>
      </w:r>
      <w:r w:rsidR="00817513" w:rsidRPr="009E4303">
        <w:rPr>
          <w:i/>
          <w:iCs/>
          <w:lang w:val="de-DE"/>
        </w:rPr>
        <w:t>Referenzdokument</w:t>
      </w:r>
      <w:r w:rsidRPr="009E4303">
        <w:rPr>
          <w:i/>
          <w:iCs/>
          <w:lang w:val="de-DE"/>
        </w:rPr>
        <w:t>: ECE/TRANS/WP.15/AC.2/2018/44</w:t>
      </w:r>
      <w:r w:rsidRPr="009E4303">
        <w:rPr>
          <w:i/>
          <w:lang w:val="de-DE"/>
        </w:rPr>
        <w:t>)</w:t>
      </w:r>
    </w:p>
    <w:p w14:paraId="5F3B4D9E" w14:textId="4AB36F78" w:rsidR="00BA69C9" w:rsidRPr="009E4303" w:rsidRDefault="0058206A" w:rsidP="007B0D0B">
      <w:pPr>
        <w:pStyle w:val="SingleTxtG"/>
        <w:rPr>
          <w:lang w:val="de-DE"/>
        </w:rPr>
      </w:pPr>
      <w:r w:rsidRPr="009E4303">
        <w:rPr>
          <w:iCs/>
          <w:lang w:val="de-DE"/>
        </w:rPr>
        <w:t>Bei der UN-Nr.</w:t>
      </w:r>
      <w:r w:rsidRPr="009E4303">
        <w:rPr>
          <w:lang w:val="de-DE"/>
        </w:rPr>
        <w:t xml:space="preserve"> </w:t>
      </w:r>
      <w:r w:rsidR="009753E1" w:rsidRPr="009E4303">
        <w:rPr>
          <w:lang w:val="de-DE"/>
        </w:rPr>
        <w:t xml:space="preserve">1212 </w:t>
      </w:r>
      <w:r w:rsidR="000A69DA" w:rsidRPr="009E4303">
        <w:rPr>
          <w:iCs/>
          <w:lang w:val="de-DE"/>
        </w:rPr>
        <w:t>erhält die Spalte (2) folgenden Wortlaut</w:t>
      </w:r>
      <w:r w:rsidR="000A69DA" w:rsidRPr="009E4303">
        <w:rPr>
          <w:lang w:val="de-DE"/>
        </w:rPr>
        <w:t xml:space="preserve">: </w:t>
      </w:r>
      <w:r w:rsidR="00BA69C9" w:rsidRPr="009E4303">
        <w:rPr>
          <w:lang w:val="de-DE"/>
        </w:rPr>
        <w:t>„ISOBUTANOL (Isobutylalkohol)“.</w:t>
      </w:r>
    </w:p>
    <w:p w14:paraId="0A005F5B" w14:textId="79FD7968" w:rsidR="009753E1" w:rsidRPr="009E4303" w:rsidRDefault="009753E1" w:rsidP="007B0D0B">
      <w:pPr>
        <w:pStyle w:val="SingleTxtG"/>
        <w:rPr>
          <w:i/>
          <w:lang w:val="de-DE"/>
        </w:rPr>
      </w:pPr>
      <w:r w:rsidRPr="009E4303">
        <w:rPr>
          <w:i/>
          <w:iCs/>
          <w:lang w:val="de-DE"/>
        </w:rPr>
        <w:t>(</w:t>
      </w:r>
      <w:r w:rsidR="00817513" w:rsidRPr="009E4303">
        <w:rPr>
          <w:i/>
          <w:iCs/>
          <w:lang w:val="de-DE"/>
        </w:rPr>
        <w:t>Referenzdokument</w:t>
      </w:r>
      <w:r w:rsidRPr="009E4303">
        <w:rPr>
          <w:i/>
          <w:iCs/>
          <w:lang w:val="de-DE"/>
        </w:rPr>
        <w:t>: ECE/TRANS/WP.15/AC.2/2018/44</w:t>
      </w:r>
      <w:r w:rsidRPr="009E4303">
        <w:rPr>
          <w:i/>
          <w:lang w:val="de-DE"/>
        </w:rPr>
        <w:t>)</w:t>
      </w:r>
    </w:p>
    <w:p w14:paraId="4B56CEBF" w14:textId="12C11C15" w:rsidR="009753E1" w:rsidRPr="00AF0D45" w:rsidRDefault="0058206A" w:rsidP="007B0D0B">
      <w:pPr>
        <w:pStyle w:val="SingleTxtG"/>
        <w:rPr>
          <w:lang w:val="de-DE"/>
        </w:rPr>
      </w:pPr>
      <w:r w:rsidRPr="009E4303">
        <w:rPr>
          <w:iCs/>
          <w:lang w:val="de-DE"/>
        </w:rPr>
        <w:t>Bei der UN-Nr.</w:t>
      </w:r>
      <w:r w:rsidRPr="009E4303">
        <w:rPr>
          <w:lang w:val="de-DE"/>
        </w:rPr>
        <w:t xml:space="preserve"> </w:t>
      </w:r>
      <w:r w:rsidR="009753E1" w:rsidRPr="009E4303">
        <w:rPr>
          <w:lang w:val="de-DE"/>
        </w:rPr>
        <w:t>1216</w:t>
      </w:r>
      <w:r w:rsidR="0068679C">
        <w:rPr>
          <w:lang w:val="de-DE"/>
        </w:rPr>
        <w:t xml:space="preserve"> erhält die</w:t>
      </w:r>
      <w:r w:rsidR="009753E1" w:rsidRPr="009E4303">
        <w:rPr>
          <w:lang w:val="de-DE"/>
        </w:rPr>
        <w:t xml:space="preserve"> </w:t>
      </w:r>
      <w:r w:rsidR="00D94B61" w:rsidRPr="009E4303">
        <w:rPr>
          <w:lang w:val="de-DE"/>
        </w:rPr>
        <w:t>Spalte</w:t>
      </w:r>
      <w:r w:rsidR="009753E1" w:rsidRPr="009E4303">
        <w:rPr>
          <w:lang w:val="de-DE"/>
        </w:rPr>
        <w:t xml:space="preserve"> (16) </w:t>
      </w:r>
      <w:r w:rsidR="00D94B61" w:rsidRPr="009E4303">
        <w:rPr>
          <w:lang w:val="de-DE"/>
        </w:rPr>
        <w:t>folgenden Wortlaut: „</w:t>
      </w:r>
      <w:r w:rsidR="009753E1" w:rsidRPr="009E4303">
        <w:rPr>
          <w:lang w:val="de-DE"/>
        </w:rPr>
        <w:t>II B (II B1)</w:t>
      </w:r>
      <w:r w:rsidR="00D94B61" w:rsidRPr="009E4303">
        <w:rPr>
          <w:lang w:val="de-DE"/>
        </w:rPr>
        <w:t>“</w:t>
      </w:r>
      <w:r w:rsidR="009753E1" w:rsidRPr="009E4303">
        <w:rPr>
          <w:lang w:val="de-DE"/>
        </w:rPr>
        <w:t>.</w:t>
      </w:r>
    </w:p>
    <w:p w14:paraId="5C464110" w14:textId="3A7FD772" w:rsidR="009753E1" w:rsidRPr="00AF0D45" w:rsidRDefault="009753E1" w:rsidP="007B0D0B">
      <w:pPr>
        <w:pStyle w:val="SingleTxtG"/>
        <w:rPr>
          <w:i/>
          <w:lang w:val="de-DE"/>
        </w:rPr>
      </w:pPr>
      <w:r w:rsidRPr="00AF0D45">
        <w:rPr>
          <w:i/>
          <w:lang w:val="de-DE"/>
        </w:rPr>
        <w:t>(</w:t>
      </w:r>
      <w:r w:rsidR="00817513" w:rsidRPr="00AF0D45">
        <w:rPr>
          <w:i/>
          <w:lang w:val="de-DE"/>
        </w:rPr>
        <w:t>Referenzdokument</w:t>
      </w:r>
      <w:r w:rsidRPr="00AF0D45">
        <w:rPr>
          <w:i/>
          <w:lang w:val="de-DE"/>
        </w:rPr>
        <w:t>s: ECE/TRANS/WP.15/AC.2/2018/50</w:t>
      </w:r>
      <w:r w:rsidR="0058206A" w:rsidRPr="00AF0D45">
        <w:rPr>
          <w:i/>
          <w:lang w:val="de-DE"/>
        </w:rPr>
        <w:t>,</w:t>
      </w:r>
      <w:r w:rsidRPr="00AF0D45">
        <w:rPr>
          <w:i/>
          <w:lang w:val="de-DE"/>
        </w:rPr>
        <w:t xml:space="preserve"> </w:t>
      </w:r>
      <w:r w:rsidR="0058206A" w:rsidRPr="00AF0D45">
        <w:rPr>
          <w:i/>
          <w:lang w:val="de-DE"/>
        </w:rPr>
        <w:t>wie durch informelles Dokument INF.23 geändert)</w:t>
      </w:r>
    </w:p>
    <w:p w14:paraId="0C2784D8" w14:textId="323AEDE5" w:rsidR="00BA69C9" w:rsidRPr="00AF0D45" w:rsidRDefault="0058206A" w:rsidP="00BA69C9">
      <w:pPr>
        <w:pStyle w:val="SingleTxtG"/>
        <w:rPr>
          <w:lang w:val="de-DE"/>
        </w:rPr>
      </w:pPr>
      <w:r w:rsidRPr="00AF0D45">
        <w:rPr>
          <w:iCs/>
          <w:lang w:val="de-DE"/>
        </w:rPr>
        <w:t>Bei der UN-Nr.</w:t>
      </w:r>
      <w:r w:rsidRPr="00AF0D45">
        <w:rPr>
          <w:lang w:val="de-DE"/>
        </w:rPr>
        <w:t xml:space="preserve"> </w:t>
      </w:r>
      <w:r w:rsidR="009753E1" w:rsidRPr="00AF0D45">
        <w:rPr>
          <w:lang w:val="de-DE"/>
        </w:rPr>
        <w:t xml:space="preserve">1219 </w:t>
      </w:r>
      <w:r w:rsidR="000A69DA" w:rsidRPr="00AF0D45">
        <w:rPr>
          <w:iCs/>
          <w:lang w:val="de-DE"/>
        </w:rPr>
        <w:t>erhält die Spalte (2) folgenden Wortlaut</w:t>
      </w:r>
      <w:r w:rsidR="000A69DA" w:rsidRPr="00AF0D45">
        <w:rPr>
          <w:lang w:val="de-DE"/>
        </w:rPr>
        <w:t>:</w:t>
      </w:r>
      <w:r w:rsidR="009753E1" w:rsidRPr="00AF0D45">
        <w:rPr>
          <w:lang w:val="de-DE"/>
        </w:rPr>
        <w:t xml:space="preserve"> </w:t>
      </w:r>
      <w:r w:rsidR="00BA69C9" w:rsidRPr="00AF0D45">
        <w:rPr>
          <w:lang w:val="de-DE"/>
        </w:rPr>
        <w:t xml:space="preserve">"ISOPROPANOL </w:t>
      </w:r>
      <w:r w:rsidR="009C29EB" w:rsidRPr="00AF0D45">
        <w:rPr>
          <w:lang w:val="de-DE"/>
        </w:rPr>
        <w:t>(Isopropylalkohol)“.</w:t>
      </w:r>
    </w:p>
    <w:p w14:paraId="05D06615" w14:textId="2BF8AFFE" w:rsidR="009753E1" w:rsidRPr="00AF0D45" w:rsidRDefault="009753E1" w:rsidP="007B0D0B">
      <w:pPr>
        <w:pStyle w:val="SingleTxtG"/>
        <w:rPr>
          <w:i/>
          <w:lang w:val="de-DE"/>
        </w:rPr>
      </w:pPr>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p>
    <w:p w14:paraId="26E8E169" w14:textId="25940CA4" w:rsidR="009753E1" w:rsidRPr="00AF0D45" w:rsidRDefault="0058206A" w:rsidP="008A5A0D">
      <w:pPr>
        <w:pStyle w:val="ListParagraph"/>
        <w:numPr>
          <w:ilvl w:val="0"/>
          <w:numId w:val="16"/>
        </w:numPr>
        <w:suppressAutoHyphens w:val="0"/>
        <w:spacing w:line="240" w:lineRule="auto"/>
        <w:ind w:left="1418" w:right="1134" w:hanging="284"/>
        <w:contextualSpacing w:val="0"/>
        <w:jc w:val="both"/>
        <w:rPr>
          <w:lang w:val="de-DE"/>
        </w:rPr>
      </w:pPr>
      <w:r w:rsidRPr="00AF0D45">
        <w:rPr>
          <w:iCs/>
          <w:lang w:val="de-DE"/>
        </w:rPr>
        <w:t>Bei der UN-Nr.</w:t>
      </w:r>
      <w:r w:rsidRPr="00AF0D45">
        <w:rPr>
          <w:lang w:val="de-DE"/>
        </w:rPr>
        <w:t xml:space="preserve"> </w:t>
      </w:r>
      <w:r w:rsidR="009753E1" w:rsidRPr="00AF0D45">
        <w:rPr>
          <w:lang w:val="de-DE"/>
        </w:rPr>
        <w:t xml:space="preserve">1268, (16 </w:t>
      </w:r>
      <w:r w:rsidR="00831505" w:rsidRPr="00AF0D45">
        <w:rPr>
          <w:lang w:val="de-DE"/>
        </w:rPr>
        <w:t xml:space="preserve">Eintragungen mit einem </w:t>
      </w:r>
      <w:proofErr w:type="spellStart"/>
      <w:r w:rsidR="00831505" w:rsidRPr="00AF0D45">
        <w:rPr>
          <w:lang w:val="de-DE"/>
        </w:rPr>
        <w:t>Benzen</w:t>
      </w:r>
      <w:proofErr w:type="spellEnd"/>
      <w:r w:rsidR="00831505" w:rsidRPr="00AF0D45">
        <w:rPr>
          <w:lang w:val="de-DE"/>
        </w:rPr>
        <w:t>-Gehalt von mehr als 10 %</w:t>
      </w:r>
      <w:r w:rsidR="009753E1" w:rsidRPr="00AF0D45">
        <w:rPr>
          <w:lang w:val="de-DE"/>
        </w:rPr>
        <w:t xml:space="preserve">), </w:t>
      </w:r>
      <w:r w:rsidR="00831505" w:rsidRPr="00AF0D45">
        <w:rPr>
          <w:lang w:val="de-DE"/>
        </w:rPr>
        <w:t>in Spalte</w:t>
      </w:r>
      <w:r w:rsidR="009753E1" w:rsidRPr="00AF0D45">
        <w:rPr>
          <w:lang w:val="de-DE"/>
        </w:rPr>
        <w:t xml:space="preserve"> (20) </w:t>
      </w:r>
      <w:r w:rsidR="00831505" w:rsidRPr="00AF0D45">
        <w:rPr>
          <w:lang w:val="de-DE"/>
        </w:rPr>
        <w:t>streichen: „</w:t>
      </w:r>
      <w:r w:rsidR="009753E1" w:rsidRPr="00AF0D45">
        <w:rPr>
          <w:lang w:val="de-DE"/>
        </w:rPr>
        <w:t>27</w:t>
      </w:r>
      <w:r w:rsidR="00831505" w:rsidRPr="00AF0D45">
        <w:rPr>
          <w:lang w:val="de-DE"/>
        </w:rPr>
        <w:t>“</w:t>
      </w:r>
      <w:r w:rsidR="009753E1" w:rsidRPr="00AF0D45">
        <w:rPr>
          <w:lang w:val="de-DE"/>
        </w:rPr>
        <w:t>.</w:t>
      </w:r>
    </w:p>
    <w:p w14:paraId="4F1C524F" w14:textId="3AEEBCA6" w:rsidR="009753E1" w:rsidRPr="00AF0D45" w:rsidRDefault="009753E1" w:rsidP="00AF0D45">
      <w:pPr>
        <w:pStyle w:val="SingleTxtG"/>
        <w:spacing w:before="120"/>
        <w:rPr>
          <w:i/>
          <w:lang w:val="de-DE"/>
        </w:rPr>
      </w:pPr>
      <w:r w:rsidRPr="00AF0D45">
        <w:rPr>
          <w:i/>
          <w:lang w:val="de-DE"/>
        </w:rPr>
        <w:t>(</w:t>
      </w:r>
      <w:r w:rsidR="00817513" w:rsidRPr="00AF0D45">
        <w:rPr>
          <w:i/>
          <w:lang w:val="de-DE"/>
        </w:rPr>
        <w:t>Referenzdokument</w:t>
      </w:r>
      <w:r w:rsidRPr="00AF0D45">
        <w:rPr>
          <w:i/>
          <w:lang w:val="de-DE"/>
        </w:rPr>
        <w:t>: ECE/TRANS/WP.15/AC.2/2018/44)</w:t>
      </w:r>
    </w:p>
    <w:p w14:paraId="2338C3BC" w14:textId="67CDAAA7" w:rsidR="009C29EB" w:rsidRPr="00AF0D45" w:rsidRDefault="0058206A" w:rsidP="009C29EB">
      <w:pPr>
        <w:pStyle w:val="SingleTxtG"/>
        <w:rPr>
          <w:rFonts w:eastAsiaTheme="minorEastAsia"/>
          <w:lang w:val="de-DE"/>
        </w:rPr>
      </w:pPr>
      <w:r w:rsidRPr="00AF0D45">
        <w:rPr>
          <w:iCs/>
          <w:lang w:val="de-DE"/>
        </w:rPr>
        <w:t>Bei der UN-Nr.</w:t>
      </w:r>
      <w:r w:rsidRPr="00AF0D45">
        <w:rPr>
          <w:lang w:val="de-DE"/>
        </w:rPr>
        <w:t xml:space="preserve"> </w:t>
      </w:r>
      <w:r w:rsidR="009753E1" w:rsidRPr="00AF0D45">
        <w:rPr>
          <w:lang w:val="de-DE"/>
        </w:rPr>
        <w:t>1274 (</w:t>
      </w:r>
      <w:r w:rsidR="009C29EB" w:rsidRPr="00AF0D45">
        <w:rPr>
          <w:lang w:val="de-DE"/>
        </w:rPr>
        <w:t>alle Eintragungen</w:t>
      </w:r>
      <w:r w:rsidR="009753E1" w:rsidRPr="00AF0D45">
        <w:rPr>
          <w:lang w:val="de-DE"/>
        </w:rPr>
        <w:t xml:space="preserve">) </w:t>
      </w:r>
      <w:r w:rsidR="009C29EB" w:rsidRPr="00AF0D45">
        <w:rPr>
          <w:iCs/>
          <w:lang w:val="de-DE"/>
        </w:rPr>
        <w:t>erhält die Spalte (2) folgenden Wortlaut</w:t>
      </w:r>
      <w:r w:rsidR="009C29EB" w:rsidRPr="00AF0D45">
        <w:rPr>
          <w:lang w:val="de-DE"/>
        </w:rPr>
        <w:t xml:space="preserve">: </w:t>
      </w:r>
      <w:r w:rsidR="009C29EB" w:rsidRPr="00AF0D45">
        <w:rPr>
          <w:rFonts w:eastAsiaTheme="minorEastAsia"/>
          <w:lang w:val="de-DE"/>
        </w:rPr>
        <w:t>„n-PROPANOL (n-</w:t>
      </w:r>
      <w:proofErr w:type="spellStart"/>
      <w:r w:rsidR="009C29EB" w:rsidRPr="00AF0D45">
        <w:rPr>
          <w:rFonts w:eastAsiaTheme="minorEastAsia"/>
          <w:lang w:val="de-DE"/>
        </w:rPr>
        <w:t>Propylalkohol</w:t>
      </w:r>
      <w:proofErr w:type="spellEnd"/>
      <w:r w:rsidR="009C29EB" w:rsidRPr="00AF0D45">
        <w:rPr>
          <w:rFonts w:eastAsiaTheme="minorEastAsia"/>
          <w:lang w:val="de-DE"/>
        </w:rPr>
        <w:t>)“.</w:t>
      </w:r>
    </w:p>
    <w:p w14:paraId="51E007B7" w14:textId="5AA9563C" w:rsidR="009753E1" w:rsidRPr="00AF0D45" w:rsidRDefault="009753E1" w:rsidP="007B0D0B">
      <w:pPr>
        <w:pStyle w:val="SingleTxtG"/>
        <w:rPr>
          <w:i/>
          <w:lang w:val="de-DE"/>
        </w:rPr>
      </w:pPr>
      <w:bookmarkStart w:id="20" w:name="_Hlk523498656"/>
      <w:r w:rsidRPr="00AF0D45">
        <w:rPr>
          <w:i/>
          <w:iCs/>
          <w:lang w:val="de-DE"/>
        </w:rPr>
        <w:t>(</w:t>
      </w:r>
      <w:r w:rsidR="00817513" w:rsidRPr="00AF0D45">
        <w:rPr>
          <w:i/>
          <w:iCs/>
          <w:lang w:val="de-DE"/>
        </w:rPr>
        <w:t>Referenzdokument</w:t>
      </w:r>
      <w:r w:rsidRPr="00AF0D45">
        <w:rPr>
          <w:i/>
          <w:iCs/>
          <w:lang w:val="de-DE"/>
        </w:rPr>
        <w:t>: ECE/TRANS/WP.15/AC.2/2018/44</w:t>
      </w:r>
      <w:r w:rsidRPr="00AF0D45">
        <w:rPr>
          <w:i/>
          <w:lang w:val="de-DE"/>
        </w:rPr>
        <w:t>)</w:t>
      </w:r>
      <w:bookmarkEnd w:id="20"/>
    </w:p>
    <w:p w14:paraId="4663CCC6" w14:textId="78A9C95E" w:rsidR="009C29EB" w:rsidRPr="00AF0D45" w:rsidRDefault="0058206A" w:rsidP="007B0D0B">
      <w:pPr>
        <w:pStyle w:val="SingleTxtG"/>
        <w:rPr>
          <w:lang w:val="de-DE"/>
        </w:rPr>
      </w:pPr>
      <w:r w:rsidRPr="00AF0D45">
        <w:rPr>
          <w:iCs/>
          <w:lang w:val="de-DE"/>
        </w:rPr>
        <w:t>Bei der UN-Nr.</w:t>
      </w:r>
      <w:r w:rsidRPr="00AF0D45">
        <w:rPr>
          <w:lang w:val="de-DE"/>
        </w:rPr>
        <w:t xml:space="preserve"> </w:t>
      </w:r>
      <w:r w:rsidR="009753E1" w:rsidRPr="00AF0D45">
        <w:rPr>
          <w:lang w:val="de-DE"/>
        </w:rPr>
        <w:t xml:space="preserve">1823, </w:t>
      </w:r>
      <w:r w:rsidR="009C29EB" w:rsidRPr="00AF0D45">
        <w:rPr>
          <w:lang w:val="de-DE"/>
        </w:rPr>
        <w:t xml:space="preserve">NATRIUMHYDROXID, </w:t>
      </w:r>
      <w:r w:rsidR="009C29EB" w:rsidRPr="00AF0D45">
        <w:rPr>
          <w:iCs/>
          <w:lang w:val="de-DE"/>
        </w:rPr>
        <w:t>erhält die Spalte (2) folgenden Wortlaut</w:t>
      </w:r>
      <w:r w:rsidR="009C29EB" w:rsidRPr="00AF0D45">
        <w:rPr>
          <w:lang w:val="de-DE"/>
        </w:rPr>
        <w:t>: „NATRIUMHYDROXID, FEST“.</w:t>
      </w:r>
    </w:p>
    <w:p w14:paraId="5DAFE01C" w14:textId="0EBE50E3" w:rsidR="009753E1" w:rsidRPr="00AF0D45" w:rsidRDefault="009753E1" w:rsidP="007B0D0B">
      <w:pPr>
        <w:pStyle w:val="SingleTxtG"/>
        <w:rPr>
          <w:lang w:val="de-DE"/>
        </w:rPr>
      </w:pPr>
      <w:r w:rsidRPr="00AF0D45">
        <w:rPr>
          <w:i/>
          <w:lang w:val="de-DE"/>
        </w:rPr>
        <w:t>(</w:t>
      </w:r>
      <w:r w:rsidR="00817513" w:rsidRPr="00AF0D45">
        <w:rPr>
          <w:i/>
          <w:lang w:val="de-DE"/>
        </w:rPr>
        <w:t>Referenzdokument</w:t>
      </w:r>
      <w:r w:rsidRPr="00AF0D45">
        <w:rPr>
          <w:i/>
          <w:lang w:val="de-DE"/>
        </w:rPr>
        <w:t>: ECE/TRANS/WP.15/AC.2/2018/44)</w:t>
      </w:r>
    </w:p>
    <w:p w14:paraId="3F357E25" w14:textId="2E96804D" w:rsidR="009753E1" w:rsidRPr="00AF0D45" w:rsidRDefault="000A69DA" w:rsidP="007B0D0B">
      <w:pPr>
        <w:pStyle w:val="SingleTxtG"/>
        <w:rPr>
          <w:lang w:val="de-DE"/>
        </w:rPr>
      </w:pPr>
      <w:r w:rsidRPr="00AF0D45">
        <w:rPr>
          <w:iCs/>
          <w:lang w:val="de-DE"/>
        </w:rPr>
        <w:t>Bei den UN-Nrn.</w:t>
      </w:r>
      <w:r w:rsidRPr="00AF0D45">
        <w:rPr>
          <w:lang w:val="de-DE"/>
        </w:rPr>
        <w:t xml:space="preserve"> </w:t>
      </w:r>
      <w:r w:rsidR="009753E1" w:rsidRPr="00AF0D45">
        <w:rPr>
          <w:lang w:val="de-DE"/>
        </w:rPr>
        <w:t xml:space="preserve">1993 (6 </w:t>
      </w:r>
      <w:r w:rsidR="000403E5" w:rsidRPr="00AF0D45">
        <w:rPr>
          <w:lang w:val="de-DE"/>
        </w:rPr>
        <w:t>erste Eintragungen</w:t>
      </w:r>
      <w:r w:rsidR="009753E1" w:rsidRPr="00AF0D45">
        <w:rPr>
          <w:lang w:val="de-DE"/>
        </w:rPr>
        <w:t>), 3145 (</w:t>
      </w:r>
      <w:r w:rsidR="000403E5" w:rsidRPr="00AF0D45">
        <w:rPr>
          <w:lang w:val="de-DE"/>
        </w:rPr>
        <w:t>alle Eintragungen</w:t>
      </w:r>
      <w:r w:rsidR="009753E1" w:rsidRPr="00AF0D45">
        <w:rPr>
          <w:lang w:val="de-DE"/>
        </w:rPr>
        <w:t xml:space="preserve">), 3295 (6 </w:t>
      </w:r>
      <w:r w:rsidR="000403E5" w:rsidRPr="00AF0D45">
        <w:rPr>
          <w:lang w:val="de-DE"/>
        </w:rPr>
        <w:t>erste Eintragungen</w:t>
      </w:r>
      <w:r w:rsidR="009753E1" w:rsidRPr="00AF0D45">
        <w:rPr>
          <w:lang w:val="de-DE"/>
        </w:rPr>
        <w:t>), 9002 (</w:t>
      </w:r>
      <w:r w:rsidR="000403E5" w:rsidRPr="00AF0D45">
        <w:rPr>
          <w:lang w:val="de-DE"/>
        </w:rPr>
        <w:t>alle Eintragungen</w:t>
      </w:r>
      <w:r w:rsidR="009753E1" w:rsidRPr="00AF0D45">
        <w:rPr>
          <w:lang w:val="de-DE"/>
        </w:rPr>
        <w:t xml:space="preserve">), 9005 </w:t>
      </w:r>
      <w:r w:rsidR="000403E5" w:rsidRPr="00AF0D45">
        <w:rPr>
          <w:lang w:val="de-DE"/>
        </w:rPr>
        <w:t>und</w:t>
      </w:r>
      <w:r w:rsidR="009753E1" w:rsidRPr="00AF0D45">
        <w:rPr>
          <w:lang w:val="de-DE"/>
        </w:rPr>
        <w:t xml:space="preserve"> 9006, </w:t>
      </w:r>
      <w:r w:rsidR="000403E5" w:rsidRPr="00AF0D45">
        <w:rPr>
          <w:lang w:val="de-DE"/>
        </w:rPr>
        <w:t xml:space="preserve">in Spalte </w:t>
      </w:r>
      <w:r w:rsidR="009753E1" w:rsidRPr="00AF0D45">
        <w:rPr>
          <w:lang w:val="de-DE"/>
        </w:rPr>
        <w:t>(20)</w:t>
      </w:r>
      <w:r w:rsidR="000403E5" w:rsidRPr="00AF0D45">
        <w:rPr>
          <w:lang w:val="de-DE"/>
        </w:rPr>
        <w:t>,</w:t>
      </w:r>
      <w:r w:rsidR="009753E1" w:rsidRPr="00AF0D45">
        <w:rPr>
          <w:lang w:val="de-DE"/>
        </w:rPr>
        <w:t xml:space="preserve"> </w:t>
      </w:r>
      <w:r w:rsidR="000403E5" w:rsidRPr="00AF0D45">
        <w:rPr>
          <w:lang w:val="de-DE"/>
        </w:rPr>
        <w:t>einfügen: „</w:t>
      </w:r>
      <w:r w:rsidR="009753E1" w:rsidRPr="00AF0D45">
        <w:rPr>
          <w:lang w:val="de-DE"/>
        </w:rPr>
        <w:t>27</w:t>
      </w:r>
      <w:r w:rsidR="000403E5" w:rsidRPr="00AF0D45">
        <w:rPr>
          <w:lang w:val="de-DE"/>
        </w:rPr>
        <w:t>“</w:t>
      </w:r>
      <w:r w:rsidR="009753E1" w:rsidRPr="00AF0D45">
        <w:rPr>
          <w:lang w:val="de-DE"/>
        </w:rPr>
        <w:t>.</w:t>
      </w:r>
    </w:p>
    <w:p w14:paraId="02352178" w14:textId="31D8574E" w:rsidR="009753E1" w:rsidRPr="00AF0D45" w:rsidRDefault="009753E1" w:rsidP="007B0D0B">
      <w:pPr>
        <w:pStyle w:val="SingleTxtG"/>
        <w:rPr>
          <w:i/>
          <w:lang w:val="de-DE"/>
        </w:rPr>
      </w:pPr>
      <w:r w:rsidRPr="00AF0D45">
        <w:rPr>
          <w:i/>
          <w:lang w:val="de-DE"/>
        </w:rPr>
        <w:t>(</w:t>
      </w:r>
      <w:r w:rsidR="00817513" w:rsidRPr="00AF0D45">
        <w:rPr>
          <w:i/>
          <w:lang w:val="de-DE"/>
        </w:rPr>
        <w:t>Referenzdokument</w:t>
      </w:r>
      <w:r w:rsidRPr="00AF0D45">
        <w:rPr>
          <w:i/>
          <w:lang w:val="de-DE"/>
        </w:rPr>
        <w:t>: ECE/TRANS/WP.15/AC.2/2018/44)</w:t>
      </w:r>
    </w:p>
    <w:p w14:paraId="54D65E33" w14:textId="47E91DDC" w:rsidR="00D61F94" w:rsidRDefault="00D61F94" w:rsidP="00D61F94">
      <w:pPr>
        <w:pStyle w:val="SingleTxtG"/>
        <w:rPr>
          <w:iCs/>
          <w:lang w:val="de-DE"/>
        </w:rPr>
      </w:pPr>
      <w:r w:rsidRPr="00AF0D45">
        <w:rPr>
          <w:iCs/>
          <w:lang w:val="de-DE"/>
        </w:rPr>
        <w:t>Bei der UN-Nr.</w:t>
      </w:r>
      <w:r w:rsidRPr="00AF0D45">
        <w:rPr>
          <w:lang w:val="de-DE"/>
        </w:rPr>
        <w:t xml:space="preserve"> </w:t>
      </w:r>
      <w:r>
        <w:rPr>
          <w:lang w:val="de-DE"/>
        </w:rPr>
        <w:t>2850</w:t>
      </w:r>
      <w:r w:rsidRPr="00AF0D45">
        <w:rPr>
          <w:iCs/>
          <w:lang w:val="de-DE"/>
        </w:rPr>
        <w:t xml:space="preserve"> erhält die Spalte (2) folgenden Wortlaut</w:t>
      </w:r>
      <w:r w:rsidRPr="00AF0D45">
        <w:rPr>
          <w:lang w:val="de-DE"/>
        </w:rPr>
        <w:t>: „</w:t>
      </w:r>
      <w:r w:rsidRPr="00D61F94">
        <w:rPr>
          <w:iCs/>
          <w:lang w:val="de-DE"/>
        </w:rPr>
        <w:t xml:space="preserve">PROPYLENTETRAMER </w:t>
      </w:r>
      <w:r>
        <w:rPr>
          <w:iCs/>
          <w:lang w:val="de-DE"/>
        </w:rPr>
        <w:t>(</w:t>
      </w:r>
      <w:proofErr w:type="spellStart"/>
      <w:r>
        <w:rPr>
          <w:iCs/>
          <w:lang w:val="de-DE"/>
        </w:rPr>
        <w:t>T</w:t>
      </w:r>
      <w:r w:rsidRPr="00D61F94">
        <w:rPr>
          <w:iCs/>
          <w:lang w:val="de-DE"/>
        </w:rPr>
        <w:t>etrapropylen</w:t>
      </w:r>
      <w:proofErr w:type="spellEnd"/>
      <w:r>
        <w:rPr>
          <w:iCs/>
          <w:lang w:val="de-DE"/>
        </w:rPr>
        <w:t>)“.</w:t>
      </w:r>
    </w:p>
    <w:p w14:paraId="3EE8A497" w14:textId="77777777" w:rsidR="00D61F94" w:rsidRPr="00AF0D45" w:rsidRDefault="00D61F94" w:rsidP="00D61F94">
      <w:pPr>
        <w:pStyle w:val="SingleTxtG"/>
        <w:rPr>
          <w:lang w:val="de-DE"/>
        </w:rPr>
      </w:pPr>
      <w:r>
        <w:rPr>
          <w:iCs/>
          <w:lang w:val="de-DE"/>
        </w:rPr>
        <w:t>[Betrifft nur die deutsche Sprachfassung]</w:t>
      </w:r>
    </w:p>
    <w:p w14:paraId="4B51ABC5" w14:textId="42476949" w:rsidR="009753E1" w:rsidRPr="00AF0D45" w:rsidRDefault="000A69DA" w:rsidP="007B0D0B">
      <w:pPr>
        <w:pStyle w:val="SingleTxtG"/>
        <w:rPr>
          <w:lang w:val="de-DE"/>
        </w:rPr>
      </w:pPr>
      <w:r w:rsidRPr="00AF0D45">
        <w:rPr>
          <w:iCs/>
          <w:lang w:val="de-DE"/>
        </w:rPr>
        <w:t>Bei der UN-Nr.</w:t>
      </w:r>
      <w:r w:rsidRPr="00AF0D45">
        <w:rPr>
          <w:lang w:val="de-DE"/>
        </w:rPr>
        <w:t xml:space="preserve"> </w:t>
      </w:r>
      <w:r w:rsidR="009753E1" w:rsidRPr="00AF0D45">
        <w:rPr>
          <w:lang w:val="de-DE"/>
        </w:rPr>
        <w:t xml:space="preserve">3256 </w:t>
      </w:r>
      <w:r w:rsidR="004042B3" w:rsidRPr="00AF0D45">
        <w:rPr>
          <w:lang w:val="de-DE"/>
        </w:rPr>
        <w:t>„ERWÄRMTER FLÜSSIGER STOFF, ENTZÜNDBAR, N.A.G., mit einem Flammpunkt über 60 °C, bei oder über seinem Flammpunkt (Low QI Pitch)“, erhält die Spalte (16) folgenden Wortlaut: „</w:t>
      </w:r>
      <w:r w:rsidR="009753E1" w:rsidRPr="00AF0D45">
        <w:rPr>
          <w:lang w:val="de-DE"/>
        </w:rPr>
        <w:t>II B (II B2)</w:t>
      </w:r>
      <w:r w:rsidR="004042B3" w:rsidRPr="00AF0D45">
        <w:rPr>
          <w:lang w:val="de-DE"/>
        </w:rPr>
        <w:t>“</w:t>
      </w:r>
      <w:r w:rsidR="009753E1" w:rsidRPr="00AF0D45">
        <w:rPr>
          <w:lang w:val="de-DE"/>
        </w:rPr>
        <w:t>.</w:t>
      </w:r>
    </w:p>
    <w:p w14:paraId="173780BC" w14:textId="2997149B" w:rsidR="009753E1" w:rsidRPr="00AF0D45" w:rsidRDefault="009753E1" w:rsidP="007B0D0B">
      <w:pPr>
        <w:pStyle w:val="SingleTxtG"/>
        <w:rPr>
          <w:i/>
          <w:lang w:val="de-DE"/>
        </w:rPr>
      </w:pPr>
      <w:r w:rsidRPr="00AF0D45">
        <w:rPr>
          <w:i/>
          <w:lang w:val="de-DE"/>
        </w:rPr>
        <w:t>(</w:t>
      </w:r>
      <w:r w:rsidR="00817513" w:rsidRPr="00AF0D45">
        <w:rPr>
          <w:i/>
          <w:lang w:val="de-DE"/>
        </w:rPr>
        <w:t>Referenzdokument</w:t>
      </w:r>
      <w:r w:rsidRPr="00AF0D45">
        <w:rPr>
          <w:i/>
          <w:lang w:val="de-DE"/>
        </w:rPr>
        <w:t>s: ECE/TRANS/WP.15/AC.2/2018/50</w:t>
      </w:r>
      <w:r w:rsidR="0058206A" w:rsidRPr="00AF0D45">
        <w:rPr>
          <w:i/>
          <w:lang w:val="de-DE"/>
        </w:rPr>
        <w:t>, wie durch informelles Dokument</w:t>
      </w:r>
      <w:r w:rsidRPr="00AF0D45">
        <w:rPr>
          <w:i/>
          <w:lang w:val="de-DE"/>
        </w:rPr>
        <w:t xml:space="preserve"> INF.23</w:t>
      </w:r>
      <w:r w:rsidR="0058206A" w:rsidRPr="00AF0D45">
        <w:rPr>
          <w:i/>
          <w:lang w:val="de-DE"/>
        </w:rPr>
        <w:t xml:space="preserve"> geändert</w:t>
      </w:r>
      <w:r w:rsidRPr="00AF0D45">
        <w:rPr>
          <w:i/>
          <w:lang w:val="de-DE"/>
        </w:rPr>
        <w:t>)</w:t>
      </w:r>
    </w:p>
    <w:p w14:paraId="47526072" w14:textId="7772CACB" w:rsidR="009753E1" w:rsidRPr="00AF0D45" w:rsidRDefault="000A69DA" w:rsidP="007B0D0B">
      <w:pPr>
        <w:pStyle w:val="SingleTxtG"/>
        <w:rPr>
          <w:lang w:val="de-DE"/>
        </w:rPr>
      </w:pPr>
      <w:r w:rsidRPr="00AF0D45">
        <w:rPr>
          <w:iCs/>
          <w:lang w:val="de-DE"/>
        </w:rPr>
        <w:lastRenderedPageBreak/>
        <w:t>Bei der UN-Nr.</w:t>
      </w:r>
      <w:r w:rsidRPr="00AF0D45">
        <w:rPr>
          <w:lang w:val="de-DE"/>
        </w:rPr>
        <w:t xml:space="preserve"> </w:t>
      </w:r>
      <w:r w:rsidR="009753E1" w:rsidRPr="00AF0D45">
        <w:rPr>
          <w:lang w:val="de-DE"/>
        </w:rPr>
        <w:t xml:space="preserve">3295, </w:t>
      </w:r>
      <w:r w:rsidR="00456BD2" w:rsidRPr="00AF0D45">
        <w:rPr>
          <w:lang w:val="de-DE"/>
        </w:rPr>
        <w:t>KOHLENWASSERSTOFFE, FLÜSSIG, N.A.G., ISOPREN UND PENTADIEN ENTHALTEND, STABILISIERT</w:t>
      </w:r>
      <w:r w:rsidR="009753E1" w:rsidRPr="00AF0D45">
        <w:rPr>
          <w:lang w:val="de-DE"/>
        </w:rPr>
        <w:t xml:space="preserve"> (all</w:t>
      </w:r>
      <w:r w:rsidR="00456BD2" w:rsidRPr="00AF0D45">
        <w:rPr>
          <w:lang w:val="de-DE"/>
        </w:rPr>
        <w:t>e Eintragungen</w:t>
      </w:r>
      <w:r w:rsidR="009753E1" w:rsidRPr="00AF0D45">
        <w:rPr>
          <w:lang w:val="de-DE"/>
        </w:rPr>
        <w:t xml:space="preserve">), in </w:t>
      </w:r>
      <w:r w:rsidR="00456BD2" w:rsidRPr="00AF0D45">
        <w:rPr>
          <w:lang w:val="de-DE"/>
        </w:rPr>
        <w:t>Spalte</w:t>
      </w:r>
      <w:r w:rsidR="009753E1" w:rsidRPr="00AF0D45">
        <w:rPr>
          <w:lang w:val="de-DE"/>
        </w:rPr>
        <w:t xml:space="preserve"> (20)</w:t>
      </w:r>
      <w:r w:rsidR="00456BD2" w:rsidRPr="00AF0D45">
        <w:rPr>
          <w:lang w:val="de-DE"/>
        </w:rPr>
        <w:t>, streichen: „</w:t>
      </w:r>
      <w:r w:rsidR="009753E1" w:rsidRPr="00AF0D45">
        <w:rPr>
          <w:lang w:val="de-DE"/>
        </w:rPr>
        <w:t>27</w:t>
      </w:r>
      <w:r w:rsidR="00456BD2" w:rsidRPr="00AF0D45">
        <w:rPr>
          <w:lang w:val="de-DE"/>
        </w:rPr>
        <w:t>“</w:t>
      </w:r>
      <w:r w:rsidR="009753E1" w:rsidRPr="00AF0D45">
        <w:rPr>
          <w:lang w:val="de-DE"/>
        </w:rPr>
        <w:t>.</w:t>
      </w:r>
    </w:p>
    <w:p w14:paraId="3E4ADF70" w14:textId="0AEF9BDC" w:rsidR="009753E1" w:rsidRPr="00AF0D45" w:rsidRDefault="009753E1" w:rsidP="007B0D0B">
      <w:pPr>
        <w:pStyle w:val="SingleTxtG"/>
        <w:rPr>
          <w:i/>
          <w:lang w:val="de-DE"/>
        </w:rPr>
      </w:pPr>
      <w:r w:rsidRPr="00AF0D45">
        <w:rPr>
          <w:i/>
          <w:lang w:val="de-DE"/>
        </w:rPr>
        <w:t>(</w:t>
      </w:r>
      <w:r w:rsidR="00817513" w:rsidRPr="00AF0D45">
        <w:rPr>
          <w:i/>
          <w:lang w:val="de-DE"/>
        </w:rPr>
        <w:t>Referenzdokument</w:t>
      </w:r>
      <w:r w:rsidRPr="00AF0D45">
        <w:rPr>
          <w:i/>
          <w:lang w:val="de-DE"/>
        </w:rPr>
        <w:t>: ECE/TRANS/WP.15/AC.2/2018/44)</w:t>
      </w:r>
    </w:p>
    <w:p w14:paraId="596AA659" w14:textId="66082DEA" w:rsidR="009753E1" w:rsidRPr="00AF0D45" w:rsidRDefault="000A69DA" w:rsidP="007B0D0B">
      <w:pPr>
        <w:pStyle w:val="SingleTxtG"/>
        <w:rPr>
          <w:lang w:val="de-DE"/>
        </w:rPr>
      </w:pPr>
      <w:r w:rsidRPr="00AF0D45">
        <w:rPr>
          <w:iCs/>
          <w:lang w:val="de-DE"/>
        </w:rPr>
        <w:t>Bei der UN-Nr.</w:t>
      </w:r>
      <w:r w:rsidRPr="00AF0D45">
        <w:rPr>
          <w:lang w:val="de-DE"/>
        </w:rPr>
        <w:t xml:space="preserve"> </w:t>
      </w:r>
      <w:r w:rsidR="009753E1" w:rsidRPr="00AF0D45">
        <w:rPr>
          <w:lang w:val="de-DE"/>
        </w:rPr>
        <w:t>3494 (</w:t>
      </w:r>
      <w:r w:rsidR="00456BD2" w:rsidRPr="00AF0D45">
        <w:rPr>
          <w:lang w:val="de-DE"/>
        </w:rPr>
        <w:t>alle Eintragungen</w:t>
      </w:r>
      <w:r w:rsidR="009753E1" w:rsidRPr="00AF0D45">
        <w:rPr>
          <w:lang w:val="de-DE"/>
        </w:rPr>
        <w:t xml:space="preserve">), </w:t>
      </w:r>
      <w:r w:rsidR="00456BD2" w:rsidRPr="00AF0D45">
        <w:rPr>
          <w:lang w:val="de-DE"/>
        </w:rPr>
        <w:t>in Spalte</w:t>
      </w:r>
      <w:r w:rsidR="009753E1" w:rsidRPr="00AF0D45">
        <w:rPr>
          <w:lang w:val="de-DE"/>
        </w:rPr>
        <w:t xml:space="preserve"> (20)</w:t>
      </w:r>
      <w:r w:rsidR="00456BD2" w:rsidRPr="00AF0D45">
        <w:rPr>
          <w:lang w:val="de-DE"/>
        </w:rPr>
        <w:t>,</w:t>
      </w:r>
      <w:r w:rsidR="009753E1" w:rsidRPr="00AF0D45">
        <w:rPr>
          <w:lang w:val="de-DE"/>
        </w:rPr>
        <w:t xml:space="preserve"> </w:t>
      </w:r>
      <w:r w:rsidR="00456BD2" w:rsidRPr="00AF0D45">
        <w:rPr>
          <w:lang w:val="de-DE"/>
        </w:rPr>
        <w:t>streichen: „</w:t>
      </w:r>
      <w:r w:rsidR="009753E1" w:rsidRPr="00AF0D45">
        <w:rPr>
          <w:lang w:val="de-DE"/>
        </w:rPr>
        <w:t>27</w:t>
      </w:r>
      <w:r w:rsidR="00456BD2" w:rsidRPr="00AF0D45">
        <w:rPr>
          <w:lang w:val="de-DE"/>
        </w:rPr>
        <w:t>“</w:t>
      </w:r>
      <w:r w:rsidR="009753E1" w:rsidRPr="00AF0D45">
        <w:rPr>
          <w:lang w:val="de-DE"/>
        </w:rPr>
        <w:t>.</w:t>
      </w:r>
    </w:p>
    <w:p w14:paraId="6B7C9C4A" w14:textId="64C15469" w:rsidR="009753E1" w:rsidRPr="00AF0D45" w:rsidRDefault="009753E1" w:rsidP="007B0D0B">
      <w:pPr>
        <w:pStyle w:val="SingleTxtG"/>
        <w:rPr>
          <w:i/>
          <w:lang w:val="de-DE"/>
        </w:rPr>
      </w:pPr>
      <w:r w:rsidRPr="00AF0D45">
        <w:rPr>
          <w:i/>
          <w:lang w:val="de-DE"/>
        </w:rPr>
        <w:t>(</w:t>
      </w:r>
      <w:r w:rsidR="00817513" w:rsidRPr="00AF0D45">
        <w:rPr>
          <w:i/>
          <w:lang w:val="de-DE"/>
        </w:rPr>
        <w:t>Referenzdokument</w:t>
      </w:r>
      <w:r w:rsidRPr="00AF0D45">
        <w:rPr>
          <w:i/>
          <w:lang w:val="de-DE"/>
        </w:rPr>
        <w:t>: ECE/TRANS/WP.15/AC.2/2018/44)</w:t>
      </w:r>
    </w:p>
    <w:p w14:paraId="2684BBAB" w14:textId="7B2900BD" w:rsidR="009753E1" w:rsidRPr="00AF0D45" w:rsidRDefault="007B2693" w:rsidP="007B0D0B">
      <w:pPr>
        <w:pStyle w:val="SingleTxtG"/>
        <w:rPr>
          <w:lang w:val="de-DE"/>
        </w:rPr>
      </w:pPr>
      <w:r w:rsidRPr="00AF0D45">
        <w:rPr>
          <w:iCs/>
          <w:lang w:val="de-DE"/>
        </w:rPr>
        <w:t xml:space="preserve">Bei der </w:t>
      </w:r>
      <w:r w:rsidR="0068679C">
        <w:rPr>
          <w:iCs/>
          <w:lang w:val="de-DE"/>
        </w:rPr>
        <w:t>Stoffnummer</w:t>
      </w:r>
      <w:r w:rsidRPr="00AF0D45">
        <w:rPr>
          <w:lang w:val="de-DE"/>
        </w:rPr>
        <w:t xml:space="preserve"> </w:t>
      </w:r>
      <w:r w:rsidR="009753E1" w:rsidRPr="00AF0D45">
        <w:rPr>
          <w:lang w:val="de-DE"/>
        </w:rPr>
        <w:t xml:space="preserve">9000, </w:t>
      </w:r>
      <w:r w:rsidRPr="00AF0D45">
        <w:rPr>
          <w:lang w:val="de-DE"/>
        </w:rPr>
        <w:t>in Spalte</w:t>
      </w:r>
      <w:r w:rsidR="009753E1" w:rsidRPr="00AF0D45">
        <w:rPr>
          <w:lang w:val="de-DE"/>
        </w:rPr>
        <w:t xml:space="preserve"> (2) </w:t>
      </w:r>
      <w:r w:rsidRPr="00AF0D45">
        <w:rPr>
          <w:lang w:val="de-DE"/>
        </w:rPr>
        <w:t>streichen:</w:t>
      </w:r>
      <w:r w:rsidR="009753E1" w:rsidRPr="00AF0D45">
        <w:rPr>
          <w:lang w:val="de-DE"/>
        </w:rPr>
        <w:t xml:space="preserve"> </w:t>
      </w:r>
      <w:r w:rsidRPr="00AF0D45">
        <w:rPr>
          <w:lang w:val="de-DE"/>
        </w:rPr>
        <w:t>„WASSERFREI,“</w:t>
      </w:r>
      <w:r w:rsidR="009753E1" w:rsidRPr="00AF0D45">
        <w:rPr>
          <w:lang w:val="de-DE"/>
        </w:rPr>
        <w:t>.</w:t>
      </w:r>
    </w:p>
    <w:p w14:paraId="4D206178" w14:textId="3A10B5B7" w:rsidR="009753E1" w:rsidRPr="00AF0D45" w:rsidRDefault="009753E1" w:rsidP="007B0D0B">
      <w:pPr>
        <w:pStyle w:val="SingleTxtG"/>
        <w:rPr>
          <w:lang w:val="de-DE"/>
        </w:rPr>
      </w:pPr>
      <w:r w:rsidRPr="00AF0D45">
        <w:rPr>
          <w:i/>
          <w:lang w:val="de-DE"/>
        </w:rPr>
        <w:t>(</w:t>
      </w:r>
      <w:r w:rsidR="00817513" w:rsidRPr="00AF0D45">
        <w:rPr>
          <w:i/>
          <w:lang w:val="de-DE"/>
        </w:rPr>
        <w:t>Referenzdokument</w:t>
      </w:r>
      <w:r w:rsidRPr="00AF0D45">
        <w:rPr>
          <w:i/>
          <w:lang w:val="de-DE"/>
        </w:rPr>
        <w:t>: ECE/TRANS/WP.15/AC.2/2018/44)</w:t>
      </w:r>
    </w:p>
    <w:p w14:paraId="2B09A507" w14:textId="2B079EB1" w:rsidR="007B2693" w:rsidRPr="00AF0D45" w:rsidRDefault="007B2693" w:rsidP="007B2693">
      <w:pPr>
        <w:pStyle w:val="SingleTxtG"/>
        <w:rPr>
          <w:lang w:val="de-DE"/>
        </w:rPr>
      </w:pPr>
      <w:r w:rsidRPr="00AF0D45">
        <w:rPr>
          <w:iCs/>
          <w:lang w:val="de-DE"/>
        </w:rPr>
        <w:t xml:space="preserve">Bei der </w:t>
      </w:r>
      <w:r w:rsidR="0068679C">
        <w:rPr>
          <w:iCs/>
          <w:lang w:val="de-DE"/>
        </w:rPr>
        <w:t>Stoffnummer</w:t>
      </w:r>
      <w:r w:rsidRPr="00AF0D45">
        <w:rPr>
          <w:lang w:val="de-DE"/>
        </w:rPr>
        <w:t xml:space="preserve"> </w:t>
      </w:r>
      <w:r w:rsidR="009753E1" w:rsidRPr="00AF0D45">
        <w:rPr>
          <w:lang w:val="de-DE"/>
        </w:rPr>
        <w:t>9003 (</w:t>
      </w:r>
      <w:r w:rsidRPr="00AF0D45">
        <w:rPr>
          <w:lang w:val="de-DE"/>
        </w:rPr>
        <w:t>alle Eintragungen</w:t>
      </w:r>
      <w:r w:rsidR="009753E1" w:rsidRPr="00AF0D45">
        <w:rPr>
          <w:lang w:val="de-DE"/>
        </w:rPr>
        <w:t xml:space="preserve">), in </w:t>
      </w:r>
      <w:r w:rsidRPr="00AF0D45">
        <w:rPr>
          <w:lang w:val="de-DE"/>
        </w:rPr>
        <w:t>Spalte</w:t>
      </w:r>
      <w:r w:rsidR="009753E1" w:rsidRPr="00AF0D45">
        <w:rPr>
          <w:lang w:val="de-DE"/>
        </w:rPr>
        <w:t xml:space="preserve"> (2) </w:t>
      </w:r>
      <w:r w:rsidRPr="00AF0D45">
        <w:rPr>
          <w:lang w:val="de-DE"/>
        </w:rPr>
        <w:t xml:space="preserve">streichen: </w:t>
      </w:r>
      <w:r w:rsidR="00B403C0">
        <w:rPr>
          <w:lang w:val="de-DE"/>
        </w:rPr>
        <w:t>„</w:t>
      </w:r>
      <w:r w:rsidRPr="00AF0D45">
        <w:rPr>
          <w:lang w:val="de-DE"/>
        </w:rPr>
        <w:t xml:space="preserve">oder STOFFE MIT 60 °C &lt; </w:t>
      </w:r>
      <w:proofErr w:type="spellStart"/>
      <w:r w:rsidRPr="00AF0D45">
        <w:rPr>
          <w:lang w:val="de-DE"/>
        </w:rPr>
        <w:t>Fp</w:t>
      </w:r>
      <w:proofErr w:type="spellEnd"/>
      <w:r w:rsidRPr="00AF0D45">
        <w:rPr>
          <w:lang w:val="de-DE"/>
        </w:rPr>
        <w:t xml:space="preserve"> ≤ 100 °C“.</w:t>
      </w:r>
    </w:p>
    <w:p w14:paraId="5BCD36F4" w14:textId="6745CFD8" w:rsidR="009753E1" w:rsidRPr="00AF0D45" w:rsidRDefault="009753E1" w:rsidP="009753E1">
      <w:pPr>
        <w:pStyle w:val="SingleTxtG"/>
        <w:rPr>
          <w:i/>
          <w:lang w:val="de-DE"/>
        </w:rPr>
      </w:pPr>
      <w:r w:rsidRPr="00AF0D45">
        <w:rPr>
          <w:i/>
          <w:lang w:val="de-DE"/>
        </w:rPr>
        <w:t>(</w:t>
      </w:r>
      <w:r w:rsidR="00817513" w:rsidRPr="00AF0D45">
        <w:rPr>
          <w:i/>
          <w:lang w:val="de-DE"/>
        </w:rPr>
        <w:t>Referenzdokument</w:t>
      </w:r>
      <w:r w:rsidRPr="00AF0D45">
        <w:rPr>
          <w:i/>
          <w:lang w:val="de-DE"/>
        </w:rPr>
        <w:t>: ECE/TRANS/WP.15/AC.2/2018/44)</w:t>
      </w:r>
    </w:p>
    <w:p w14:paraId="6AC22433" w14:textId="045F9BFE" w:rsidR="009753E1" w:rsidRDefault="007D39F9" w:rsidP="007B0D0B">
      <w:pPr>
        <w:pStyle w:val="SingleTxtG"/>
        <w:rPr>
          <w:lang w:val="de-DE"/>
        </w:rPr>
      </w:pPr>
      <w:r w:rsidRPr="00AF0D45">
        <w:rPr>
          <w:lang w:val="de-DE"/>
        </w:rPr>
        <w:t>Folgende neue Eintragung einfügen:</w:t>
      </w:r>
    </w:p>
    <w:p w14:paraId="5E5FB521" w14:textId="13D91C47" w:rsidR="00B403C0" w:rsidRPr="00AF0D45" w:rsidRDefault="00B403C0" w:rsidP="007B0D0B">
      <w:pPr>
        <w:pStyle w:val="SingleTxtG"/>
        <w:rPr>
          <w:lang w:val="de-DE"/>
        </w:rPr>
      </w:pPr>
      <w:r>
        <w:rPr>
          <w:lang w:val="de-DE"/>
        </w:rPr>
        <w:t>„</w:t>
      </w:r>
    </w:p>
    <w:tbl>
      <w:tblPr>
        <w:tblW w:w="8586" w:type="dxa"/>
        <w:tblInd w:w="616" w:type="dxa"/>
        <w:tblCellMar>
          <w:left w:w="0" w:type="dxa"/>
          <w:right w:w="0" w:type="dxa"/>
        </w:tblCellMar>
        <w:tblLook w:val="04A0" w:firstRow="1" w:lastRow="0" w:firstColumn="1" w:lastColumn="0" w:noHBand="0" w:noVBand="1"/>
      </w:tblPr>
      <w:tblGrid>
        <w:gridCol w:w="431"/>
        <w:gridCol w:w="2001"/>
        <w:gridCol w:w="360"/>
        <w:gridCol w:w="361"/>
        <w:gridCol w:w="290"/>
        <w:gridCol w:w="526"/>
        <w:gridCol w:w="324"/>
        <w:gridCol w:w="284"/>
        <w:gridCol w:w="283"/>
        <w:gridCol w:w="284"/>
        <w:gridCol w:w="283"/>
        <w:gridCol w:w="284"/>
        <w:gridCol w:w="283"/>
        <w:gridCol w:w="284"/>
        <w:gridCol w:w="283"/>
        <w:gridCol w:w="284"/>
        <w:gridCol w:w="283"/>
        <w:gridCol w:w="286"/>
        <w:gridCol w:w="495"/>
        <w:gridCol w:w="339"/>
        <w:gridCol w:w="338"/>
      </w:tblGrid>
      <w:tr w:rsidR="00D5238B" w:rsidRPr="00AF0D45" w14:paraId="1D7057B6" w14:textId="77777777" w:rsidTr="007D39F9">
        <w:trPr>
          <w:trHeight w:val="255"/>
        </w:trPr>
        <w:tc>
          <w:tcPr>
            <w:tcW w:w="431" w:type="dxa"/>
            <w:tcBorders>
              <w:top w:val="single" w:sz="4" w:space="0" w:color="auto"/>
              <w:left w:val="single" w:sz="4" w:space="0" w:color="auto"/>
              <w:bottom w:val="single" w:sz="4" w:space="0" w:color="auto"/>
              <w:right w:val="single" w:sz="4" w:space="0" w:color="auto"/>
            </w:tcBorders>
            <w:noWrap/>
            <w:hideMark/>
          </w:tcPr>
          <w:p w14:paraId="34F3B882"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w:t>
            </w:r>
          </w:p>
        </w:tc>
        <w:tc>
          <w:tcPr>
            <w:tcW w:w="2001" w:type="dxa"/>
            <w:tcBorders>
              <w:top w:val="single" w:sz="4" w:space="0" w:color="auto"/>
              <w:left w:val="nil"/>
              <w:bottom w:val="single" w:sz="4" w:space="0" w:color="auto"/>
              <w:right w:val="single" w:sz="4" w:space="0" w:color="auto"/>
            </w:tcBorders>
            <w:hideMark/>
          </w:tcPr>
          <w:p w14:paraId="04FA0FFF"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(2)</w:t>
            </w:r>
          </w:p>
        </w:tc>
        <w:tc>
          <w:tcPr>
            <w:tcW w:w="360" w:type="dxa"/>
            <w:tcBorders>
              <w:top w:val="single" w:sz="4" w:space="0" w:color="auto"/>
              <w:left w:val="nil"/>
              <w:bottom w:val="single" w:sz="4" w:space="0" w:color="auto"/>
              <w:right w:val="single" w:sz="4" w:space="0" w:color="auto"/>
            </w:tcBorders>
            <w:noWrap/>
            <w:hideMark/>
          </w:tcPr>
          <w:p w14:paraId="08446908"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(3a)</w:t>
            </w:r>
          </w:p>
        </w:tc>
        <w:tc>
          <w:tcPr>
            <w:tcW w:w="361" w:type="dxa"/>
            <w:tcBorders>
              <w:top w:val="single" w:sz="4" w:space="0" w:color="auto"/>
              <w:left w:val="nil"/>
              <w:bottom w:val="single" w:sz="4" w:space="0" w:color="auto"/>
              <w:right w:val="single" w:sz="4" w:space="0" w:color="auto"/>
            </w:tcBorders>
            <w:noWrap/>
            <w:hideMark/>
          </w:tcPr>
          <w:p w14:paraId="437DFEA5"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(3b)</w:t>
            </w:r>
          </w:p>
        </w:tc>
        <w:tc>
          <w:tcPr>
            <w:tcW w:w="290" w:type="dxa"/>
            <w:tcBorders>
              <w:top w:val="single" w:sz="4" w:space="0" w:color="auto"/>
              <w:left w:val="nil"/>
              <w:bottom w:val="single" w:sz="4" w:space="0" w:color="auto"/>
              <w:right w:val="single" w:sz="4" w:space="0" w:color="auto"/>
            </w:tcBorders>
            <w:noWrap/>
            <w:hideMark/>
          </w:tcPr>
          <w:p w14:paraId="539ED642"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(4)</w:t>
            </w:r>
          </w:p>
        </w:tc>
        <w:tc>
          <w:tcPr>
            <w:tcW w:w="526" w:type="dxa"/>
            <w:tcBorders>
              <w:top w:val="single" w:sz="4" w:space="0" w:color="auto"/>
              <w:left w:val="nil"/>
              <w:bottom w:val="single" w:sz="4" w:space="0" w:color="auto"/>
              <w:right w:val="single" w:sz="4" w:space="0" w:color="auto"/>
            </w:tcBorders>
            <w:noWrap/>
            <w:hideMark/>
          </w:tcPr>
          <w:p w14:paraId="0F8E8569" w14:textId="77777777" w:rsidR="009753E1" w:rsidRPr="00AF0D45" w:rsidRDefault="009753E1" w:rsidP="007B0D0B">
            <w:pPr>
              <w:suppressAutoHyphens w:val="0"/>
              <w:spacing w:line="240" w:lineRule="auto"/>
              <w:jc w:val="center"/>
              <w:rPr>
                <w:sz w:val="16"/>
                <w:szCs w:val="16"/>
                <w:lang w:val="de-DE"/>
              </w:rPr>
            </w:pPr>
            <w:r w:rsidRPr="00AF0D45">
              <w:rPr>
                <w:sz w:val="16"/>
                <w:szCs w:val="16"/>
                <w:lang w:val="de-DE"/>
              </w:rPr>
              <w:t>(5)</w:t>
            </w:r>
          </w:p>
        </w:tc>
        <w:tc>
          <w:tcPr>
            <w:tcW w:w="324" w:type="dxa"/>
            <w:tcBorders>
              <w:top w:val="single" w:sz="4" w:space="0" w:color="auto"/>
              <w:left w:val="nil"/>
              <w:bottom w:val="single" w:sz="4" w:space="0" w:color="auto"/>
              <w:right w:val="single" w:sz="4" w:space="0" w:color="auto"/>
            </w:tcBorders>
            <w:noWrap/>
            <w:hideMark/>
          </w:tcPr>
          <w:p w14:paraId="69A0C20B"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(6)</w:t>
            </w:r>
          </w:p>
        </w:tc>
        <w:tc>
          <w:tcPr>
            <w:tcW w:w="284" w:type="dxa"/>
            <w:tcBorders>
              <w:top w:val="single" w:sz="4" w:space="0" w:color="auto"/>
              <w:left w:val="nil"/>
              <w:bottom w:val="single" w:sz="4" w:space="0" w:color="auto"/>
              <w:right w:val="single" w:sz="4" w:space="0" w:color="auto"/>
            </w:tcBorders>
            <w:noWrap/>
            <w:hideMark/>
          </w:tcPr>
          <w:p w14:paraId="574102FA"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(7)</w:t>
            </w:r>
          </w:p>
        </w:tc>
        <w:tc>
          <w:tcPr>
            <w:tcW w:w="283" w:type="dxa"/>
            <w:tcBorders>
              <w:top w:val="single" w:sz="4" w:space="0" w:color="auto"/>
              <w:left w:val="nil"/>
              <w:bottom w:val="single" w:sz="4" w:space="0" w:color="auto"/>
              <w:right w:val="single" w:sz="4" w:space="0" w:color="auto"/>
            </w:tcBorders>
            <w:noWrap/>
            <w:hideMark/>
          </w:tcPr>
          <w:p w14:paraId="741C08A2"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(8)</w:t>
            </w:r>
          </w:p>
        </w:tc>
        <w:tc>
          <w:tcPr>
            <w:tcW w:w="284" w:type="dxa"/>
            <w:tcBorders>
              <w:top w:val="single" w:sz="4" w:space="0" w:color="auto"/>
              <w:left w:val="nil"/>
              <w:bottom w:val="single" w:sz="4" w:space="0" w:color="auto"/>
              <w:right w:val="single" w:sz="4" w:space="0" w:color="auto"/>
            </w:tcBorders>
            <w:hideMark/>
          </w:tcPr>
          <w:p w14:paraId="72842A8E"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(9)</w:t>
            </w:r>
          </w:p>
        </w:tc>
        <w:tc>
          <w:tcPr>
            <w:tcW w:w="283" w:type="dxa"/>
            <w:tcBorders>
              <w:top w:val="single" w:sz="4" w:space="0" w:color="auto"/>
              <w:left w:val="nil"/>
              <w:bottom w:val="single" w:sz="4" w:space="0" w:color="auto"/>
              <w:right w:val="single" w:sz="4" w:space="0" w:color="auto"/>
            </w:tcBorders>
            <w:hideMark/>
          </w:tcPr>
          <w:p w14:paraId="53618597"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(10)</w:t>
            </w:r>
          </w:p>
        </w:tc>
        <w:tc>
          <w:tcPr>
            <w:tcW w:w="284" w:type="dxa"/>
            <w:tcBorders>
              <w:top w:val="single" w:sz="4" w:space="0" w:color="auto"/>
              <w:left w:val="nil"/>
              <w:bottom w:val="single" w:sz="4" w:space="0" w:color="auto"/>
              <w:right w:val="single" w:sz="4" w:space="0" w:color="auto"/>
            </w:tcBorders>
            <w:noWrap/>
            <w:hideMark/>
          </w:tcPr>
          <w:p w14:paraId="5F4EE35F"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(11)</w:t>
            </w:r>
          </w:p>
        </w:tc>
        <w:tc>
          <w:tcPr>
            <w:tcW w:w="283" w:type="dxa"/>
            <w:tcBorders>
              <w:top w:val="single" w:sz="4" w:space="0" w:color="auto"/>
              <w:left w:val="nil"/>
              <w:bottom w:val="single" w:sz="4" w:space="0" w:color="auto"/>
              <w:right w:val="single" w:sz="4" w:space="0" w:color="auto"/>
            </w:tcBorders>
            <w:noWrap/>
            <w:hideMark/>
          </w:tcPr>
          <w:p w14:paraId="70759477"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(12)</w:t>
            </w:r>
          </w:p>
        </w:tc>
        <w:tc>
          <w:tcPr>
            <w:tcW w:w="284" w:type="dxa"/>
            <w:tcBorders>
              <w:top w:val="single" w:sz="4" w:space="0" w:color="auto"/>
              <w:left w:val="nil"/>
              <w:bottom w:val="single" w:sz="4" w:space="0" w:color="auto"/>
              <w:right w:val="single" w:sz="4" w:space="0" w:color="auto"/>
            </w:tcBorders>
            <w:noWrap/>
            <w:hideMark/>
          </w:tcPr>
          <w:p w14:paraId="69CD9B14"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(13)</w:t>
            </w:r>
          </w:p>
        </w:tc>
        <w:tc>
          <w:tcPr>
            <w:tcW w:w="283" w:type="dxa"/>
            <w:tcBorders>
              <w:top w:val="single" w:sz="4" w:space="0" w:color="auto"/>
              <w:left w:val="nil"/>
              <w:bottom w:val="single" w:sz="4" w:space="0" w:color="auto"/>
              <w:right w:val="single" w:sz="4" w:space="0" w:color="auto"/>
            </w:tcBorders>
            <w:noWrap/>
            <w:hideMark/>
          </w:tcPr>
          <w:p w14:paraId="0FC3463B"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(14)</w:t>
            </w:r>
          </w:p>
        </w:tc>
        <w:tc>
          <w:tcPr>
            <w:tcW w:w="284" w:type="dxa"/>
            <w:tcBorders>
              <w:top w:val="single" w:sz="4" w:space="0" w:color="auto"/>
              <w:left w:val="nil"/>
              <w:bottom w:val="single" w:sz="4" w:space="0" w:color="auto"/>
              <w:right w:val="single" w:sz="4" w:space="0" w:color="auto"/>
            </w:tcBorders>
            <w:noWrap/>
            <w:hideMark/>
          </w:tcPr>
          <w:p w14:paraId="5169F17E"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(15)</w:t>
            </w:r>
          </w:p>
        </w:tc>
        <w:tc>
          <w:tcPr>
            <w:tcW w:w="283" w:type="dxa"/>
            <w:tcBorders>
              <w:top w:val="single" w:sz="4" w:space="0" w:color="auto"/>
              <w:left w:val="nil"/>
              <w:bottom w:val="single" w:sz="4" w:space="0" w:color="auto"/>
              <w:right w:val="single" w:sz="4" w:space="0" w:color="auto"/>
            </w:tcBorders>
            <w:noWrap/>
            <w:hideMark/>
          </w:tcPr>
          <w:p w14:paraId="6862411E"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(16)</w:t>
            </w:r>
          </w:p>
        </w:tc>
        <w:tc>
          <w:tcPr>
            <w:tcW w:w="286" w:type="dxa"/>
            <w:tcBorders>
              <w:top w:val="single" w:sz="4" w:space="0" w:color="auto"/>
              <w:left w:val="nil"/>
              <w:bottom w:val="single" w:sz="4" w:space="0" w:color="auto"/>
              <w:right w:val="single" w:sz="4" w:space="0" w:color="auto"/>
            </w:tcBorders>
            <w:noWrap/>
            <w:hideMark/>
          </w:tcPr>
          <w:p w14:paraId="1C690DA4"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(17)</w:t>
            </w:r>
          </w:p>
        </w:tc>
        <w:tc>
          <w:tcPr>
            <w:tcW w:w="495" w:type="dxa"/>
            <w:tcBorders>
              <w:top w:val="single" w:sz="4" w:space="0" w:color="auto"/>
              <w:left w:val="nil"/>
              <w:bottom w:val="single" w:sz="4" w:space="0" w:color="auto"/>
              <w:right w:val="single" w:sz="4" w:space="0" w:color="auto"/>
            </w:tcBorders>
            <w:noWrap/>
            <w:hideMark/>
          </w:tcPr>
          <w:p w14:paraId="053D1C15"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(18)</w:t>
            </w:r>
          </w:p>
        </w:tc>
        <w:tc>
          <w:tcPr>
            <w:tcW w:w="339" w:type="dxa"/>
            <w:tcBorders>
              <w:top w:val="single" w:sz="4" w:space="0" w:color="auto"/>
              <w:left w:val="nil"/>
              <w:bottom w:val="single" w:sz="4" w:space="0" w:color="auto"/>
              <w:right w:val="single" w:sz="4" w:space="0" w:color="auto"/>
            </w:tcBorders>
            <w:noWrap/>
            <w:hideMark/>
          </w:tcPr>
          <w:p w14:paraId="146AFA65"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(19)</w:t>
            </w:r>
          </w:p>
        </w:tc>
        <w:tc>
          <w:tcPr>
            <w:tcW w:w="338" w:type="dxa"/>
            <w:tcBorders>
              <w:top w:val="single" w:sz="4" w:space="0" w:color="auto"/>
              <w:left w:val="nil"/>
              <w:bottom w:val="single" w:sz="4" w:space="0" w:color="auto"/>
              <w:right w:val="single" w:sz="4" w:space="0" w:color="auto"/>
            </w:tcBorders>
            <w:noWrap/>
            <w:hideMark/>
          </w:tcPr>
          <w:p w14:paraId="6714A0F9" w14:textId="77777777" w:rsidR="009753E1" w:rsidRPr="00AF0D45" w:rsidRDefault="009753E1" w:rsidP="007B0D0B">
            <w:pPr>
              <w:suppressAutoHyphens w:val="0"/>
              <w:spacing w:line="240" w:lineRule="auto"/>
              <w:jc w:val="center"/>
              <w:rPr>
                <w:color w:val="000000"/>
                <w:sz w:val="16"/>
                <w:szCs w:val="16"/>
                <w:lang w:val="de-DE"/>
              </w:rPr>
            </w:pPr>
            <w:r w:rsidRPr="00AF0D45">
              <w:rPr>
                <w:sz w:val="16"/>
                <w:szCs w:val="16"/>
                <w:lang w:val="de-DE"/>
              </w:rPr>
              <w:t>(20)</w:t>
            </w:r>
          </w:p>
        </w:tc>
      </w:tr>
      <w:tr w:rsidR="00D5238B" w:rsidRPr="00AF0D45" w14:paraId="078A6336" w14:textId="77777777" w:rsidTr="007D39F9">
        <w:trPr>
          <w:trHeight w:val="675"/>
        </w:trPr>
        <w:tc>
          <w:tcPr>
            <w:tcW w:w="431" w:type="dxa"/>
            <w:tcBorders>
              <w:top w:val="nil"/>
              <w:left w:val="single" w:sz="4" w:space="0" w:color="auto"/>
              <w:bottom w:val="single" w:sz="4" w:space="0" w:color="auto"/>
              <w:right w:val="single" w:sz="4" w:space="0" w:color="auto"/>
            </w:tcBorders>
            <w:noWrap/>
            <w:hideMark/>
          </w:tcPr>
          <w:p w14:paraId="79E1A021"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3082</w:t>
            </w:r>
          </w:p>
        </w:tc>
        <w:tc>
          <w:tcPr>
            <w:tcW w:w="2001" w:type="dxa"/>
            <w:tcBorders>
              <w:top w:val="nil"/>
              <w:left w:val="nil"/>
              <w:bottom w:val="single" w:sz="4" w:space="0" w:color="auto"/>
              <w:right w:val="single" w:sz="4" w:space="0" w:color="auto"/>
            </w:tcBorders>
            <w:hideMark/>
          </w:tcPr>
          <w:p w14:paraId="5FC908F9" w14:textId="716C132C" w:rsidR="009753E1" w:rsidRPr="00AF0D45" w:rsidRDefault="007D39F9" w:rsidP="00D5238B">
            <w:pPr>
              <w:suppressAutoHyphens w:val="0"/>
              <w:spacing w:after="240" w:line="240" w:lineRule="auto"/>
              <w:rPr>
                <w:sz w:val="16"/>
                <w:szCs w:val="16"/>
                <w:lang w:val="de-DE"/>
              </w:rPr>
            </w:pPr>
            <w:r w:rsidRPr="00AF0D45">
              <w:rPr>
                <w:sz w:val="16"/>
                <w:szCs w:val="16"/>
                <w:lang w:val="de-DE"/>
              </w:rPr>
              <w:t>UMWELTGEFÄHRDENDER STOFF, FLÜSSIG, N.A.G. (ÖLSCHLAMM)</w:t>
            </w:r>
          </w:p>
        </w:tc>
        <w:tc>
          <w:tcPr>
            <w:tcW w:w="360" w:type="dxa"/>
            <w:tcBorders>
              <w:top w:val="nil"/>
              <w:left w:val="nil"/>
              <w:bottom w:val="single" w:sz="4" w:space="0" w:color="auto"/>
              <w:right w:val="single" w:sz="4" w:space="0" w:color="auto"/>
            </w:tcBorders>
            <w:noWrap/>
            <w:hideMark/>
          </w:tcPr>
          <w:p w14:paraId="3E6A2361"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9</w:t>
            </w:r>
          </w:p>
        </w:tc>
        <w:tc>
          <w:tcPr>
            <w:tcW w:w="361" w:type="dxa"/>
            <w:tcBorders>
              <w:top w:val="nil"/>
              <w:left w:val="nil"/>
              <w:bottom w:val="single" w:sz="4" w:space="0" w:color="auto"/>
              <w:right w:val="single" w:sz="4" w:space="0" w:color="auto"/>
            </w:tcBorders>
            <w:noWrap/>
            <w:hideMark/>
          </w:tcPr>
          <w:p w14:paraId="08DC21CC"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M6</w:t>
            </w:r>
          </w:p>
        </w:tc>
        <w:tc>
          <w:tcPr>
            <w:tcW w:w="290" w:type="dxa"/>
            <w:tcBorders>
              <w:top w:val="nil"/>
              <w:left w:val="nil"/>
              <w:bottom w:val="single" w:sz="4" w:space="0" w:color="auto"/>
              <w:right w:val="single" w:sz="4" w:space="0" w:color="auto"/>
            </w:tcBorders>
            <w:noWrap/>
            <w:hideMark/>
          </w:tcPr>
          <w:p w14:paraId="0009559F"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III</w:t>
            </w:r>
          </w:p>
        </w:tc>
        <w:tc>
          <w:tcPr>
            <w:tcW w:w="526" w:type="dxa"/>
            <w:tcBorders>
              <w:top w:val="nil"/>
              <w:left w:val="nil"/>
              <w:bottom w:val="single" w:sz="4" w:space="0" w:color="auto"/>
              <w:right w:val="single" w:sz="4" w:space="0" w:color="auto"/>
            </w:tcBorders>
            <w:hideMark/>
          </w:tcPr>
          <w:p w14:paraId="01266552"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9+</w:t>
            </w:r>
            <w:r w:rsidR="00D5238B" w:rsidRPr="00AF0D45">
              <w:rPr>
                <w:sz w:val="16"/>
                <w:szCs w:val="16"/>
                <w:lang w:val="de-DE"/>
              </w:rPr>
              <w:br/>
            </w:r>
            <w:r w:rsidRPr="00AF0D45">
              <w:rPr>
                <w:sz w:val="16"/>
                <w:szCs w:val="16"/>
                <w:lang w:val="de-DE"/>
              </w:rPr>
              <w:t>CMR+</w:t>
            </w:r>
            <w:r w:rsidR="00D5238B" w:rsidRPr="00AF0D45">
              <w:rPr>
                <w:sz w:val="16"/>
                <w:szCs w:val="16"/>
                <w:lang w:val="de-DE"/>
              </w:rPr>
              <w:br/>
            </w:r>
            <w:r w:rsidRPr="00AF0D45">
              <w:rPr>
                <w:sz w:val="16"/>
                <w:szCs w:val="16"/>
                <w:lang w:val="de-DE"/>
              </w:rPr>
              <w:t>N1</w:t>
            </w:r>
          </w:p>
        </w:tc>
        <w:tc>
          <w:tcPr>
            <w:tcW w:w="324" w:type="dxa"/>
            <w:tcBorders>
              <w:top w:val="nil"/>
              <w:left w:val="nil"/>
              <w:bottom w:val="single" w:sz="4" w:space="0" w:color="auto"/>
              <w:right w:val="single" w:sz="4" w:space="0" w:color="auto"/>
            </w:tcBorders>
            <w:noWrap/>
            <w:hideMark/>
          </w:tcPr>
          <w:p w14:paraId="3909A2E1"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N</w:t>
            </w:r>
          </w:p>
        </w:tc>
        <w:tc>
          <w:tcPr>
            <w:tcW w:w="284" w:type="dxa"/>
            <w:tcBorders>
              <w:top w:val="nil"/>
              <w:left w:val="nil"/>
              <w:bottom w:val="single" w:sz="4" w:space="0" w:color="auto"/>
              <w:right w:val="single" w:sz="4" w:space="0" w:color="auto"/>
            </w:tcBorders>
            <w:noWrap/>
            <w:hideMark/>
          </w:tcPr>
          <w:p w14:paraId="41BA59B0"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2</w:t>
            </w:r>
          </w:p>
        </w:tc>
        <w:tc>
          <w:tcPr>
            <w:tcW w:w="283" w:type="dxa"/>
            <w:tcBorders>
              <w:top w:val="nil"/>
              <w:left w:val="nil"/>
              <w:bottom w:val="single" w:sz="4" w:space="0" w:color="auto"/>
              <w:right w:val="single" w:sz="4" w:space="0" w:color="auto"/>
            </w:tcBorders>
            <w:noWrap/>
            <w:hideMark/>
          </w:tcPr>
          <w:p w14:paraId="250F89D5"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3</w:t>
            </w:r>
          </w:p>
        </w:tc>
        <w:tc>
          <w:tcPr>
            <w:tcW w:w="284" w:type="dxa"/>
            <w:tcBorders>
              <w:top w:val="nil"/>
              <w:left w:val="nil"/>
              <w:bottom w:val="single" w:sz="4" w:space="0" w:color="auto"/>
              <w:right w:val="single" w:sz="4" w:space="0" w:color="auto"/>
            </w:tcBorders>
            <w:noWrap/>
            <w:hideMark/>
          </w:tcPr>
          <w:p w14:paraId="60278280" w14:textId="77777777" w:rsidR="009753E1" w:rsidRPr="00AF0D45" w:rsidRDefault="009753E1" w:rsidP="00D5238B">
            <w:pPr>
              <w:jc w:val="center"/>
              <w:rPr>
                <w:sz w:val="16"/>
                <w:szCs w:val="16"/>
                <w:lang w:val="de-DE"/>
              </w:rPr>
            </w:pPr>
          </w:p>
        </w:tc>
        <w:tc>
          <w:tcPr>
            <w:tcW w:w="283" w:type="dxa"/>
            <w:tcBorders>
              <w:top w:val="nil"/>
              <w:left w:val="nil"/>
              <w:bottom w:val="single" w:sz="4" w:space="0" w:color="auto"/>
              <w:right w:val="single" w:sz="4" w:space="0" w:color="auto"/>
            </w:tcBorders>
            <w:hideMark/>
          </w:tcPr>
          <w:p w14:paraId="66C64556"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10</w:t>
            </w:r>
          </w:p>
        </w:tc>
        <w:tc>
          <w:tcPr>
            <w:tcW w:w="284" w:type="dxa"/>
            <w:tcBorders>
              <w:top w:val="nil"/>
              <w:left w:val="nil"/>
              <w:bottom w:val="single" w:sz="4" w:space="0" w:color="auto"/>
              <w:right w:val="single" w:sz="4" w:space="0" w:color="auto"/>
            </w:tcBorders>
            <w:hideMark/>
          </w:tcPr>
          <w:p w14:paraId="5F5ED01A"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97</w:t>
            </w:r>
          </w:p>
        </w:tc>
        <w:tc>
          <w:tcPr>
            <w:tcW w:w="283" w:type="dxa"/>
            <w:tcBorders>
              <w:top w:val="nil"/>
              <w:left w:val="nil"/>
              <w:bottom w:val="single" w:sz="4" w:space="0" w:color="auto"/>
              <w:right w:val="single" w:sz="4" w:space="0" w:color="auto"/>
            </w:tcBorders>
            <w:hideMark/>
          </w:tcPr>
          <w:p w14:paraId="536269CF" w14:textId="77777777" w:rsidR="009753E1" w:rsidRPr="00AF0D45" w:rsidRDefault="009753E1" w:rsidP="00D5238B">
            <w:pPr>
              <w:jc w:val="center"/>
              <w:rPr>
                <w:sz w:val="16"/>
                <w:szCs w:val="16"/>
                <w:lang w:val="de-DE"/>
              </w:rPr>
            </w:pPr>
          </w:p>
        </w:tc>
        <w:tc>
          <w:tcPr>
            <w:tcW w:w="284" w:type="dxa"/>
            <w:tcBorders>
              <w:top w:val="nil"/>
              <w:left w:val="nil"/>
              <w:bottom w:val="single" w:sz="4" w:space="0" w:color="auto"/>
              <w:right w:val="single" w:sz="4" w:space="0" w:color="auto"/>
            </w:tcBorders>
            <w:noWrap/>
            <w:hideMark/>
          </w:tcPr>
          <w:p w14:paraId="0182076A"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3</w:t>
            </w:r>
          </w:p>
        </w:tc>
        <w:tc>
          <w:tcPr>
            <w:tcW w:w="283" w:type="dxa"/>
            <w:tcBorders>
              <w:top w:val="nil"/>
              <w:left w:val="nil"/>
              <w:bottom w:val="single" w:sz="4" w:space="0" w:color="auto"/>
              <w:right w:val="single" w:sz="4" w:space="0" w:color="auto"/>
            </w:tcBorders>
            <w:noWrap/>
            <w:hideMark/>
          </w:tcPr>
          <w:p w14:paraId="74631F7B" w14:textId="5B73CAE9" w:rsidR="009753E1" w:rsidRPr="00AF0D45" w:rsidRDefault="007D39F9" w:rsidP="00D5238B">
            <w:pPr>
              <w:suppressAutoHyphens w:val="0"/>
              <w:spacing w:after="240" w:line="240" w:lineRule="auto"/>
              <w:jc w:val="center"/>
              <w:rPr>
                <w:sz w:val="16"/>
                <w:szCs w:val="16"/>
                <w:lang w:val="de-DE"/>
              </w:rPr>
            </w:pPr>
            <w:r w:rsidRPr="00AF0D45">
              <w:rPr>
                <w:sz w:val="16"/>
                <w:szCs w:val="16"/>
                <w:lang w:val="de-DE"/>
              </w:rPr>
              <w:t>ja</w:t>
            </w:r>
          </w:p>
        </w:tc>
        <w:tc>
          <w:tcPr>
            <w:tcW w:w="284" w:type="dxa"/>
            <w:tcBorders>
              <w:top w:val="nil"/>
              <w:left w:val="nil"/>
              <w:bottom w:val="single" w:sz="4" w:space="0" w:color="auto"/>
              <w:right w:val="single" w:sz="4" w:space="0" w:color="auto"/>
            </w:tcBorders>
            <w:noWrap/>
            <w:hideMark/>
          </w:tcPr>
          <w:p w14:paraId="19BBB7CF" w14:textId="77777777" w:rsidR="009753E1" w:rsidRPr="00AF0D45" w:rsidRDefault="009753E1" w:rsidP="00D5238B">
            <w:pPr>
              <w:jc w:val="center"/>
              <w:rPr>
                <w:sz w:val="16"/>
                <w:szCs w:val="16"/>
                <w:lang w:val="de-DE"/>
              </w:rPr>
            </w:pPr>
          </w:p>
        </w:tc>
        <w:tc>
          <w:tcPr>
            <w:tcW w:w="283" w:type="dxa"/>
            <w:tcBorders>
              <w:top w:val="nil"/>
              <w:left w:val="nil"/>
              <w:bottom w:val="single" w:sz="4" w:space="0" w:color="auto"/>
              <w:right w:val="single" w:sz="4" w:space="0" w:color="auto"/>
            </w:tcBorders>
            <w:noWrap/>
            <w:hideMark/>
          </w:tcPr>
          <w:p w14:paraId="51874475" w14:textId="77777777" w:rsidR="009753E1" w:rsidRPr="00AF0D45" w:rsidRDefault="009753E1" w:rsidP="00D5238B">
            <w:pPr>
              <w:suppressAutoHyphens w:val="0"/>
              <w:spacing w:line="276" w:lineRule="auto"/>
              <w:jc w:val="center"/>
              <w:rPr>
                <w:rFonts w:asciiTheme="minorHAnsi" w:eastAsia="SimSun" w:hAnsiTheme="minorHAnsi" w:cstheme="minorBidi"/>
                <w:sz w:val="16"/>
                <w:szCs w:val="16"/>
                <w:lang w:val="de-DE" w:eastAsia="zh-CN"/>
              </w:rPr>
            </w:pPr>
          </w:p>
        </w:tc>
        <w:tc>
          <w:tcPr>
            <w:tcW w:w="286" w:type="dxa"/>
            <w:tcBorders>
              <w:top w:val="nil"/>
              <w:left w:val="nil"/>
              <w:bottom w:val="single" w:sz="4" w:space="0" w:color="auto"/>
              <w:right w:val="single" w:sz="4" w:space="0" w:color="auto"/>
            </w:tcBorders>
            <w:noWrap/>
            <w:hideMark/>
          </w:tcPr>
          <w:p w14:paraId="4D5A288D" w14:textId="1682A7D8" w:rsidR="009753E1" w:rsidRPr="00AF0D45" w:rsidRDefault="007D39F9" w:rsidP="00D5238B">
            <w:pPr>
              <w:suppressAutoHyphens w:val="0"/>
              <w:spacing w:after="240" w:line="240" w:lineRule="auto"/>
              <w:jc w:val="center"/>
              <w:rPr>
                <w:sz w:val="16"/>
                <w:szCs w:val="16"/>
                <w:lang w:val="de-DE"/>
              </w:rPr>
            </w:pPr>
            <w:r w:rsidRPr="00AF0D45">
              <w:rPr>
                <w:sz w:val="16"/>
                <w:szCs w:val="16"/>
                <w:lang w:val="de-DE"/>
              </w:rPr>
              <w:t>nein</w:t>
            </w:r>
          </w:p>
        </w:tc>
        <w:tc>
          <w:tcPr>
            <w:tcW w:w="495" w:type="dxa"/>
            <w:tcBorders>
              <w:top w:val="nil"/>
              <w:left w:val="nil"/>
              <w:bottom w:val="single" w:sz="4" w:space="0" w:color="auto"/>
              <w:right w:val="single" w:sz="4" w:space="0" w:color="auto"/>
            </w:tcBorders>
            <w:hideMark/>
          </w:tcPr>
          <w:p w14:paraId="16D28038"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PP, EP, TOX, A</w:t>
            </w:r>
          </w:p>
        </w:tc>
        <w:tc>
          <w:tcPr>
            <w:tcW w:w="339" w:type="dxa"/>
            <w:tcBorders>
              <w:top w:val="nil"/>
              <w:left w:val="nil"/>
              <w:bottom w:val="single" w:sz="4" w:space="0" w:color="auto"/>
              <w:right w:val="single" w:sz="4" w:space="0" w:color="auto"/>
            </w:tcBorders>
            <w:noWrap/>
            <w:hideMark/>
          </w:tcPr>
          <w:p w14:paraId="248D9367" w14:textId="77777777" w:rsidR="009753E1" w:rsidRPr="00AF0D45" w:rsidRDefault="009753E1" w:rsidP="00D5238B">
            <w:pPr>
              <w:suppressAutoHyphens w:val="0"/>
              <w:spacing w:after="240" w:line="240" w:lineRule="auto"/>
              <w:jc w:val="center"/>
              <w:rPr>
                <w:sz w:val="16"/>
                <w:szCs w:val="16"/>
                <w:lang w:val="de-DE"/>
              </w:rPr>
            </w:pPr>
            <w:r w:rsidRPr="00AF0D45">
              <w:rPr>
                <w:sz w:val="16"/>
                <w:szCs w:val="16"/>
                <w:lang w:val="de-DE"/>
              </w:rPr>
              <w:t>0</w:t>
            </w:r>
          </w:p>
        </w:tc>
        <w:tc>
          <w:tcPr>
            <w:tcW w:w="338" w:type="dxa"/>
            <w:tcBorders>
              <w:top w:val="nil"/>
              <w:left w:val="nil"/>
              <w:bottom w:val="single" w:sz="4" w:space="0" w:color="auto"/>
              <w:right w:val="single" w:sz="4" w:space="0" w:color="auto"/>
            </w:tcBorders>
            <w:hideMark/>
          </w:tcPr>
          <w:p w14:paraId="665C8C97" w14:textId="77777777" w:rsidR="009753E1" w:rsidRPr="00AF0D45" w:rsidRDefault="009753E1" w:rsidP="00D5238B">
            <w:pPr>
              <w:jc w:val="center"/>
              <w:rPr>
                <w:sz w:val="16"/>
                <w:szCs w:val="16"/>
                <w:lang w:val="de-DE"/>
              </w:rPr>
            </w:pPr>
          </w:p>
        </w:tc>
      </w:tr>
    </w:tbl>
    <w:p w14:paraId="3B98FCF5" w14:textId="26FD68C9" w:rsidR="00B403C0" w:rsidRDefault="00B403C0" w:rsidP="009236E9">
      <w:pPr>
        <w:pStyle w:val="SingleTxtG"/>
        <w:spacing w:before="120"/>
        <w:rPr>
          <w:i/>
          <w:lang w:val="de-DE"/>
        </w:rPr>
      </w:pPr>
      <w:r w:rsidRPr="00AF0D45">
        <w:rPr>
          <w:lang w:val="de-DE"/>
        </w:rPr>
        <w:t>“</w:t>
      </w:r>
      <w:r>
        <w:rPr>
          <w:i/>
          <w:lang w:val="de-DE"/>
        </w:rPr>
        <w:t>.</w:t>
      </w:r>
    </w:p>
    <w:p w14:paraId="630CC6BD" w14:textId="772D2455" w:rsidR="009753E1" w:rsidRPr="00AF0D45" w:rsidRDefault="009753E1" w:rsidP="009236E9">
      <w:pPr>
        <w:pStyle w:val="SingleTxtG"/>
        <w:spacing w:before="120"/>
        <w:rPr>
          <w:i/>
          <w:lang w:val="de-DE"/>
        </w:rPr>
      </w:pPr>
      <w:r w:rsidRPr="00AF0D45">
        <w:rPr>
          <w:i/>
          <w:lang w:val="de-DE"/>
        </w:rPr>
        <w:t>(</w:t>
      </w:r>
      <w:r w:rsidR="00817513" w:rsidRPr="00AF0D45">
        <w:rPr>
          <w:i/>
          <w:lang w:val="de-DE"/>
        </w:rPr>
        <w:t>Referenzdokument</w:t>
      </w:r>
      <w:r w:rsidRPr="00AF0D45">
        <w:rPr>
          <w:i/>
          <w:lang w:val="de-DE"/>
        </w:rPr>
        <w:t>: ECE/TRANS/WP.15/AC.2/2018/44)</w:t>
      </w:r>
    </w:p>
    <w:p w14:paraId="7C311C5E" w14:textId="41FD7020" w:rsidR="009753E1" w:rsidRPr="00AF0D45" w:rsidRDefault="009753E1" w:rsidP="00D02309">
      <w:pPr>
        <w:keepNext/>
        <w:keepLines/>
        <w:tabs>
          <w:tab w:val="right" w:pos="851"/>
        </w:tabs>
        <w:spacing w:before="240" w:after="120" w:line="240" w:lineRule="exact"/>
        <w:ind w:left="1134" w:right="1134" w:hanging="1134"/>
        <w:rPr>
          <w:b/>
          <w:lang w:val="de-DE"/>
        </w:rPr>
      </w:pPr>
      <w:r w:rsidRPr="00AF0D45">
        <w:rPr>
          <w:b/>
          <w:lang w:val="de-DE"/>
        </w:rPr>
        <w:tab/>
      </w:r>
      <w:r w:rsidRPr="00AF0D45">
        <w:rPr>
          <w:b/>
          <w:lang w:val="de-DE"/>
        </w:rPr>
        <w:tab/>
      </w:r>
      <w:r w:rsidR="00817513" w:rsidRPr="00AF0D45">
        <w:rPr>
          <w:b/>
          <w:lang w:val="de-DE"/>
        </w:rPr>
        <w:t>Kapitel</w:t>
      </w:r>
      <w:r w:rsidRPr="00AF0D45">
        <w:rPr>
          <w:b/>
          <w:lang w:val="de-DE"/>
        </w:rPr>
        <w:t xml:space="preserve"> 3.2, 3.2.3.3</w:t>
      </w:r>
    </w:p>
    <w:p w14:paraId="031A4EF1" w14:textId="4D6005FA" w:rsidR="009753E1" w:rsidRPr="00AF0D45" w:rsidRDefault="009753E1" w:rsidP="009361EE">
      <w:pPr>
        <w:pStyle w:val="SingleTxtG"/>
        <w:keepNext/>
        <w:keepLines/>
        <w:rPr>
          <w:b/>
          <w:bCs/>
          <w:sz w:val="22"/>
          <w:szCs w:val="22"/>
          <w:lang w:val="de-DE"/>
        </w:rPr>
      </w:pPr>
      <w:r w:rsidRPr="00AF0D45">
        <w:rPr>
          <w:lang w:val="de-DE"/>
        </w:rPr>
        <w:t xml:space="preserve">3.2.3.3 </w:t>
      </w:r>
      <w:r w:rsidR="009361EE" w:rsidRPr="00AF0D45">
        <w:rPr>
          <w:lang w:val="de-DE"/>
        </w:rPr>
        <w:t>und</w:t>
      </w:r>
      <w:r w:rsidRPr="00AF0D45">
        <w:rPr>
          <w:lang w:val="de-DE"/>
        </w:rPr>
        <w:t xml:space="preserve"> 3.2.4.3 H, </w:t>
      </w:r>
      <w:r w:rsidR="009361EE" w:rsidRPr="00AF0D45">
        <w:rPr>
          <w:lang w:val="de-DE"/>
        </w:rPr>
        <w:t>Spalte</w:t>
      </w:r>
      <w:r w:rsidRPr="00AF0D45">
        <w:rPr>
          <w:lang w:val="de-DE"/>
        </w:rPr>
        <w:t xml:space="preserve"> (16)</w:t>
      </w:r>
      <w:r w:rsidRPr="00AF0D45">
        <w:rPr>
          <w:lang w:val="de-DE"/>
        </w:rPr>
        <w:tab/>
      </w:r>
      <w:r w:rsidR="009361EE" w:rsidRPr="00AF0D45">
        <w:rPr>
          <w:lang w:val="de-DE"/>
        </w:rPr>
        <w:tab/>
        <w:t>Erhalten folgenden Wortlaut</w:t>
      </w:r>
      <w:r w:rsidRPr="00AF0D45">
        <w:rPr>
          <w:lang w:val="de-DE"/>
        </w:rPr>
        <w:t>:</w:t>
      </w:r>
    </w:p>
    <w:p w14:paraId="400A1515" w14:textId="4655DA2B" w:rsidR="007D39F9" w:rsidRPr="007D39F9" w:rsidRDefault="007D39F9" w:rsidP="009361EE">
      <w:pPr>
        <w:widowControl w:val="0"/>
        <w:autoSpaceDN w:val="0"/>
        <w:spacing w:line="240" w:lineRule="exact"/>
        <w:ind w:left="1134" w:right="1134"/>
        <w:jc w:val="both"/>
        <w:textAlignment w:val="baseline"/>
        <w:rPr>
          <w:rFonts w:eastAsia="DejaVu Sans"/>
          <w:kern w:val="3"/>
          <w:lang w:val="de-DE" w:eastAsia="zh-CN" w:bidi="hi-IN"/>
        </w:rPr>
      </w:pPr>
      <w:r w:rsidRPr="007D39F9">
        <w:rPr>
          <w:rFonts w:eastAsia="DejaVu Sans"/>
          <w:kern w:val="3"/>
          <w:lang w:val="de-DE" w:eastAsia="zh-CN" w:bidi="hi-IN"/>
        </w:rPr>
        <w:t>“Die entzündbaren Stoffe werden auf der Grundlage ihrer Normspaltweite der jeweiligen Explosionsgruppe</w:t>
      </w:r>
      <w:r w:rsidRPr="00AF0D45">
        <w:rPr>
          <w:rFonts w:eastAsia="DejaVu Sans"/>
          <w:kern w:val="3"/>
          <w:lang w:val="de-DE" w:eastAsia="zh-CN" w:bidi="hi-IN"/>
        </w:rPr>
        <w:t xml:space="preserve"> </w:t>
      </w:r>
      <w:r w:rsidRPr="007D39F9">
        <w:rPr>
          <w:rFonts w:eastAsia="DejaVu Sans"/>
          <w:kern w:val="3"/>
          <w:lang w:val="de-DE" w:eastAsia="zh-CN" w:bidi="hi-IN"/>
        </w:rPr>
        <w:t>zugeordnet. Die Ermittlung der Normspaltweite erfolgt nach IEC 60079-20-1.</w:t>
      </w:r>
    </w:p>
    <w:p w14:paraId="5DD79AB2" w14:textId="77777777" w:rsidR="007D39F9" w:rsidRPr="007D39F9" w:rsidRDefault="007D39F9" w:rsidP="009361EE">
      <w:pPr>
        <w:widowControl w:val="0"/>
        <w:autoSpaceDN w:val="0"/>
        <w:spacing w:line="240" w:lineRule="exact"/>
        <w:ind w:left="1134" w:right="1134"/>
        <w:jc w:val="both"/>
        <w:textAlignment w:val="baseline"/>
        <w:rPr>
          <w:rFonts w:eastAsia="DejaVu Sans"/>
          <w:kern w:val="3"/>
          <w:lang w:val="de-DE" w:eastAsia="zh-CN" w:bidi="hi-IN"/>
        </w:rPr>
      </w:pPr>
    </w:p>
    <w:p w14:paraId="1BF44984" w14:textId="77777777" w:rsidR="007D39F9" w:rsidRPr="007D39F9" w:rsidRDefault="007D39F9" w:rsidP="009361EE">
      <w:pPr>
        <w:widowControl w:val="0"/>
        <w:autoSpaceDN w:val="0"/>
        <w:spacing w:line="240" w:lineRule="exact"/>
        <w:ind w:left="1134" w:right="1134"/>
        <w:textAlignment w:val="baseline"/>
        <w:rPr>
          <w:rFonts w:eastAsia="DejaVu Sans"/>
          <w:kern w:val="3"/>
          <w:lang w:val="en-US" w:eastAsia="zh-CN" w:bidi="hi-IN"/>
        </w:rPr>
      </w:pPr>
      <w:proofErr w:type="spellStart"/>
      <w:r w:rsidRPr="007D39F9">
        <w:rPr>
          <w:rFonts w:eastAsia="DejaVu Sans"/>
          <w:kern w:val="3"/>
          <w:lang w:val="en-US" w:eastAsia="zh-CN" w:bidi="hi-IN"/>
        </w:rPr>
        <w:t>Folgende</w:t>
      </w:r>
      <w:proofErr w:type="spellEnd"/>
      <w:r w:rsidRPr="007D39F9">
        <w:rPr>
          <w:rFonts w:eastAsia="DejaVu Sans"/>
          <w:kern w:val="3"/>
          <w:lang w:val="en-US" w:eastAsia="zh-CN" w:bidi="hi-IN"/>
        </w:rPr>
        <w:t xml:space="preserve"> </w:t>
      </w:r>
      <w:proofErr w:type="spellStart"/>
      <w:r w:rsidRPr="007D39F9">
        <w:rPr>
          <w:rFonts w:eastAsia="DejaVu Sans"/>
          <w:kern w:val="3"/>
          <w:lang w:val="en-US" w:eastAsia="zh-CN" w:bidi="hi-IN"/>
        </w:rPr>
        <w:t>Explosionsgruppen</w:t>
      </w:r>
      <w:proofErr w:type="spellEnd"/>
      <w:r w:rsidRPr="007D39F9">
        <w:rPr>
          <w:rFonts w:eastAsia="DejaVu Sans"/>
          <w:kern w:val="3"/>
          <w:lang w:val="en-US" w:eastAsia="zh-CN" w:bidi="hi-IN"/>
        </w:rPr>
        <w:t xml:space="preserve"> </w:t>
      </w:r>
      <w:proofErr w:type="spellStart"/>
      <w:r w:rsidRPr="007D39F9">
        <w:rPr>
          <w:rFonts w:eastAsia="DejaVu Sans"/>
          <w:kern w:val="3"/>
          <w:lang w:val="en-US" w:eastAsia="zh-CN" w:bidi="hi-IN"/>
        </w:rPr>
        <w:t>werden</w:t>
      </w:r>
      <w:proofErr w:type="spellEnd"/>
      <w:r w:rsidRPr="007D39F9">
        <w:rPr>
          <w:rFonts w:eastAsia="DejaVu Sans"/>
          <w:kern w:val="3"/>
          <w:lang w:val="en-US" w:eastAsia="zh-CN" w:bidi="hi-IN"/>
        </w:rPr>
        <w:t xml:space="preserve"> </w:t>
      </w:r>
      <w:proofErr w:type="spellStart"/>
      <w:r w:rsidRPr="007D39F9">
        <w:rPr>
          <w:rFonts w:eastAsia="DejaVu Sans"/>
          <w:kern w:val="3"/>
          <w:lang w:val="en-US" w:eastAsia="zh-CN" w:bidi="hi-IN"/>
        </w:rPr>
        <w:t>unterschieden</w:t>
      </w:r>
      <w:proofErr w:type="spellEnd"/>
      <w:r w:rsidRPr="007D39F9">
        <w:rPr>
          <w:rFonts w:eastAsia="DejaVu Sans"/>
          <w:kern w:val="3"/>
          <w:lang w:val="en-US" w:eastAsia="zh-CN" w:bidi="hi-IN"/>
        </w:rPr>
        <w:t>:</w:t>
      </w:r>
    </w:p>
    <w:p w14:paraId="05B4FE56" w14:textId="77777777" w:rsidR="007D39F9" w:rsidRPr="007D39F9" w:rsidRDefault="007D39F9" w:rsidP="009361EE">
      <w:pPr>
        <w:widowControl w:val="0"/>
        <w:autoSpaceDN w:val="0"/>
        <w:spacing w:line="240" w:lineRule="exact"/>
        <w:ind w:left="1134" w:right="1134"/>
        <w:textAlignment w:val="baseline"/>
        <w:rPr>
          <w:rFonts w:eastAsia="DejaVu Sans"/>
          <w:kern w:val="3"/>
          <w:lang w:val="en-US" w:eastAsia="zh-CN" w:bidi="hi-IN"/>
        </w:rPr>
      </w:pPr>
    </w:p>
    <w:tbl>
      <w:tblPr>
        <w:tblStyle w:val="Tabellenraster1"/>
        <w:tblW w:w="0" w:type="auto"/>
        <w:tblInd w:w="1101" w:type="dxa"/>
        <w:tblLook w:val="04A0" w:firstRow="1" w:lastRow="0" w:firstColumn="1" w:lastColumn="0" w:noHBand="0" w:noVBand="1"/>
      </w:tblPr>
      <w:tblGrid>
        <w:gridCol w:w="2970"/>
        <w:gridCol w:w="3583"/>
      </w:tblGrid>
      <w:tr w:rsidR="007D39F9" w:rsidRPr="007D39F9" w14:paraId="015D6813" w14:textId="77777777" w:rsidTr="007D39F9">
        <w:tc>
          <w:tcPr>
            <w:tcW w:w="2795" w:type="dxa"/>
          </w:tcPr>
          <w:p w14:paraId="0B8DD142" w14:textId="77777777" w:rsidR="007D39F9" w:rsidRPr="007D39F9" w:rsidRDefault="007D39F9" w:rsidP="009361EE">
            <w:pPr>
              <w:widowControl w:val="0"/>
              <w:autoSpaceDN w:val="0"/>
              <w:spacing w:line="240" w:lineRule="exact"/>
              <w:ind w:left="175" w:right="1134"/>
              <w:textAlignment w:val="baseline"/>
              <w:rPr>
                <w:rFonts w:eastAsia="DejaVu Sans"/>
                <w:kern w:val="3"/>
                <w:lang w:val="fr-FR" w:eastAsia="zh-CN" w:bidi="hi-IN"/>
              </w:rPr>
            </w:pPr>
            <w:proofErr w:type="spellStart"/>
            <w:r w:rsidRPr="007D39F9">
              <w:rPr>
                <w:rFonts w:eastAsia="DejaVu Sans"/>
                <w:kern w:val="3"/>
                <w:lang w:val="fr-FR" w:eastAsia="zh-CN" w:bidi="hi-IN"/>
              </w:rPr>
              <w:t>Explosionsgruppe</w:t>
            </w:r>
            <w:proofErr w:type="spellEnd"/>
          </w:p>
        </w:tc>
        <w:tc>
          <w:tcPr>
            <w:tcW w:w="3583" w:type="dxa"/>
          </w:tcPr>
          <w:p w14:paraId="5AA1844D"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proofErr w:type="spellStart"/>
            <w:r w:rsidRPr="007D39F9">
              <w:rPr>
                <w:rFonts w:eastAsia="DejaVu Sans"/>
                <w:kern w:val="3"/>
                <w:lang w:val="en-US" w:eastAsia="zh-CN" w:bidi="hi-IN"/>
              </w:rPr>
              <w:t>Normspaltweite</w:t>
            </w:r>
            <w:proofErr w:type="spellEnd"/>
            <w:r w:rsidRPr="007D39F9">
              <w:rPr>
                <w:rFonts w:eastAsia="DejaVu Sans"/>
                <w:kern w:val="3"/>
                <w:lang w:val="en-US" w:eastAsia="zh-CN" w:bidi="hi-IN"/>
              </w:rPr>
              <w:t xml:space="preserve"> in mm</w:t>
            </w:r>
          </w:p>
        </w:tc>
      </w:tr>
      <w:tr w:rsidR="007D39F9" w:rsidRPr="007D39F9" w14:paraId="35BA7A34" w14:textId="77777777" w:rsidTr="007D39F9">
        <w:tc>
          <w:tcPr>
            <w:tcW w:w="2795" w:type="dxa"/>
          </w:tcPr>
          <w:p w14:paraId="776E5C2B" w14:textId="77777777" w:rsidR="007D39F9" w:rsidRPr="007D39F9" w:rsidRDefault="007D39F9" w:rsidP="009361EE">
            <w:pPr>
              <w:widowControl w:val="0"/>
              <w:autoSpaceDN w:val="0"/>
              <w:spacing w:line="240" w:lineRule="exact"/>
              <w:ind w:left="175" w:right="1134"/>
              <w:textAlignment w:val="baseline"/>
              <w:rPr>
                <w:rFonts w:eastAsia="DejaVu Sans"/>
                <w:kern w:val="3"/>
                <w:lang w:val="fr-FR" w:eastAsia="zh-CN" w:bidi="hi-IN"/>
              </w:rPr>
            </w:pPr>
            <w:r w:rsidRPr="007D39F9">
              <w:rPr>
                <w:rFonts w:eastAsia="DejaVu Sans"/>
                <w:kern w:val="3"/>
                <w:lang w:val="fr-FR" w:eastAsia="zh-CN" w:bidi="hi-IN"/>
              </w:rPr>
              <w:t>II A</w:t>
            </w:r>
          </w:p>
        </w:tc>
        <w:tc>
          <w:tcPr>
            <w:tcW w:w="3583" w:type="dxa"/>
          </w:tcPr>
          <w:p w14:paraId="5FD2D176"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r w:rsidRPr="007D39F9">
              <w:rPr>
                <w:rFonts w:eastAsia="DejaVu Sans"/>
                <w:kern w:val="3"/>
                <w:lang w:val="en-US" w:eastAsia="zh-CN" w:bidi="hi-IN"/>
              </w:rPr>
              <w:t>&gt; 0.9</w:t>
            </w:r>
          </w:p>
        </w:tc>
      </w:tr>
      <w:tr w:rsidR="007D39F9" w:rsidRPr="007D39F9" w14:paraId="54D8BC4D" w14:textId="77777777" w:rsidTr="007D39F9">
        <w:tc>
          <w:tcPr>
            <w:tcW w:w="2795" w:type="dxa"/>
          </w:tcPr>
          <w:p w14:paraId="4DEEEAAA" w14:textId="77777777" w:rsidR="007D39F9" w:rsidRPr="007D39F9" w:rsidRDefault="007D39F9" w:rsidP="009361EE">
            <w:pPr>
              <w:widowControl w:val="0"/>
              <w:autoSpaceDN w:val="0"/>
              <w:spacing w:line="240" w:lineRule="exact"/>
              <w:ind w:left="175" w:right="1134"/>
              <w:textAlignment w:val="baseline"/>
              <w:rPr>
                <w:rFonts w:eastAsia="DejaVu Sans"/>
                <w:kern w:val="3"/>
                <w:lang w:val="en-US" w:eastAsia="zh-CN" w:bidi="hi-IN"/>
              </w:rPr>
            </w:pPr>
            <w:r w:rsidRPr="007D39F9">
              <w:rPr>
                <w:rFonts w:eastAsia="DejaVu Sans"/>
                <w:kern w:val="3"/>
                <w:lang w:val="en-US" w:eastAsia="zh-CN" w:bidi="hi-IN"/>
              </w:rPr>
              <w:t>II B</w:t>
            </w:r>
          </w:p>
        </w:tc>
        <w:tc>
          <w:tcPr>
            <w:tcW w:w="3583" w:type="dxa"/>
          </w:tcPr>
          <w:p w14:paraId="61AD6A6D"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r w:rsidRPr="007D39F9">
              <w:rPr>
                <w:rFonts w:eastAsia="DejaVu Sans"/>
                <w:kern w:val="3"/>
                <w:lang w:val="fr-FR" w:eastAsia="zh-CN" w:bidi="hi-IN"/>
              </w:rPr>
              <w:sym w:font="Symbol" w:char="F0B3"/>
            </w:r>
            <w:r w:rsidRPr="007D39F9">
              <w:rPr>
                <w:rFonts w:eastAsia="DejaVu Sans"/>
                <w:kern w:val="3"/>
                <w:lang w:val="fr-FR" w:eastAsia="zh-CN" w:bidi="hi-IN"/>
              </w:rPr>
              <w:t xml:space="preserve"> 0.5 bis </w:t>
            </w:r>
            <w:r w:rsidRPr="007D39F9">
              <w:rPr>
                <w:rFonts w:eastAsia="DejaVu Sans"/>
                <w:kern w:val="3"/>
                <w:lang w:val="fr-FR" w:eastAsia="zh-CN" w:bidi="hi-IN"/>
              </w:rPr>
              <w:sym w:font="Symbol" w:char="F0A3"/>
            </w:r>
            <w:r w:rsidRPr="007D39F9">
              <w:rPr>
                <w:rFonts w:eastAsia="DejaVu Sans"/>
                <w:kern w:val="3"/>
                <w:lang w:val="fr-FR" w:eastAsia="zh-CN" w:bidi="hi-IN"/>
              </w:rPr>
              <w:t xml:space="preserve"> 0.9</w:t>
            </w:r>
          </w:p>
        </w:tc>
      </w:tr>
      <w:tr w:rsidR="007D39F9" w:rsidRPr="007D39F9" w14:paraId="2691A031" w14:textId="77777777" w:rsidTr="007D39F9">
        <w:tc>
          <w:tcPr>
            <w:tcW w:w="2795" w:type="dxa"/>
          </w:tcPr>
          <w:p w14:paraId="19BCB49C" w14:textId="77777777" w:rsidR="007D39F9" w:rsidRPr="007D39F9" w:rsidRDefault="007D39F9" w:rsidP="009361EE">
            <w:pPr>
              <w:widowControl w:val="0"/>
              <w:autoSpaceDN w:val="0"/>
              <w:spacing w:line="240" w:lineRule="exact"/>
              <w:ind w:left="175" w:right="1134"/>
              <w:textAlignment w:val="baseline"/>
              <w:rPr>
                <w:rFonts w:eastAsia="DejaVu Sans"/>
                <w:kern w:val="3"/>
                <w:lang w:val="en-US" w:eastAsia="zh-CN" w:bidi="hi-IN"/>
              </w:rPr>
            </w:pPr>
            <w:r w:rsidRPr="007D39F9">
              <w:rPr>
                <w:rFonts w:eastAsia="DejaVu Sans"/>
                <w:kern w:val="3"/>
                <w:lang w:val="en-US" w:eastAsia="zh-CN" w:bidi="hi-IN"/>
              </w:rPr>
              <w:t>II C</w:t>
            </w:r>
          </w:p>
        </w:tc>
        <w:tc>
          <w:tcPr>
            <w:tcW w:w="3583" w:type="dxa"/>
          </w:tcPr>
          <w:p w14:paraId="776987F4"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r w:rsidRPr="007D39F9">
              <w:rPr>
                <w:rFonts w:eastAsia="DejaVu Sans"/>
                <w:kern w:val="3"/>
                <w:lang w:val="en-US" w:eastAsia="zh-CN" w:bidi="hi-IN"/>
              </w:rPr>
              <w:t>&lt; 0.5</w:t>
            </w:r>
          </w:p>
        </w:tc>
      </w:tr>
    </w:tbl>
    <w:p w14:paraId="18553F00" w14:textId="77777777" w:rsidR="007D39F9" w:rsidRPr="007D39F9" w:rsidRDefault="007D39F9" w:rsidP="009361EE">
      <w:pPr>
        <w:widowControl w:val="0"/>
        <w:autoSpaceDN w:val="0"/>
        <w:spacing w:line="240" w:lineRule="exact"/>
        <w:ind w:left="1134" w:right="1134"/>
        <w:textAlignment w:val="baseline"/>
        <w:rPr>
          <w:rFonts w:eastAsia="DejaVu Sans"/>
          <w:kern w:val="3"/>
          <w:lang w:val="en-US" w:eastAsia="zh-CN" w:bidi="hi-IN"/>
        </w:rPr>
      </w:pPr>
    </w:p>
    <w:p w14:paraId="195E9C79" w14:textId="77777777" w:rsidR="007D39F9" w:rsidRPr="007D39F9" w:rsidRDefault="007D39F9" w:rsidP="009361EE">
      <w:pPr>
        <w:widowControl w:val="0"/>
        <w:autoSpaceDN w:val="0"/>
        <w:spacing w:line="240" w:lineRule="exact"/>
        <w:ind w:left="1134" w:right="1134"/>
        <w:textAlignment w:val="baseline"/>
        <w:rPr>
          <w:rFonts w:eastAsia="DejaVu Sans"/>
          <w:kern w:val="3"/>
          <w:lang w:val="de-DE" w:eastAsia="zh-CN" w:bidi="hi-IN"/>
        </w:rPr>
      </w:pPr>
      <w:r w:rsidRPr="007D39F9">
        <w:rPr>
          <w:rFonts w:eastAsia="DejaVu Sans"/>
          <w:kern w:val="3"/>
          <w:lang w:val="de-DE" w:eastAsia="zh-CN" w:bidi="hi-IN"/>
        </w:rPr>
        <w:t>Bei autonomen Schutzsystemen werden zusätzlich für die Explosionsgruppe II B folgende Untergruppen unterschieden:</w:t>
      </w:r>
    </w:p>
    <w:p w14:paraId="5DA58DA5" w14:textId="77777777" w:rsidR="007D39F9" w:rsidRPr="007D39F9" w:rsidRDefault="007D39F9" w:rsidP="009361EE">
      <w:pPr>
        <w:widowControl w:val="0"/>
        <w:autoSpaceDN w:val="0"/>
        <w:spacing w:line="240" w:lineRule="exact"/>
        <w:ind w:left="1134" w:right="1134"/>
        <w:textAlignment w:val="baseline"/>
        <w:rPr>
          <w:rFonts w:eastAsia="DejaVu Sans"/>
          <w:kern w:val="3"/>
          <w:lang w:val="de-DE" w:eastAsia="zh-CN" w:bidi="hi-IN"/>
        </w:rPr>
      </w:pPr>
    </w:p>
    <w:tbl>
      <w:tblPr>
        <w:tblStyle w:val="Tabellenraster1"/>
        <w:tblW w:w="0" w:type="auto"/>
        <w:tblInd w:w="1101" w:type="dxa"/>
        <w:tblLook w:val="04A0" w:firstRow="1" w:lastRow="0" w:firstColumn="1" w:lastColumn="0" w:noHBand="0" w:noVBand="1"/>
      </w:tblPr>
      <w:tblGrid>
        <w:gridCol w:w="3514"/>
        <w:gridCol w:w="3543"/>
      </w:tblGrid>
      <w:tr w:rsidR="007D39F9" w:rsidRPr="007D39F9" w14:paraId="739B8BD1" w14:textId="77777777" w:rsidTr="007D39F9">
        <w:tc>
          <w:tcPr>
            <w:tcW w:w="2835" w:type="dxa"/>
          </w:tcPr>
          <w:p w14:paraId="3337DBEB" w14:textId="77777777" w:rsidR="007D39F9" w:rsidRPr="007D39F9" w:rsidRDefault="007D39F9" w:rsidP="009361EE">
            <w:pPr>
              <w:widowControl w:val="0"/>
              <w:autoSpaceDN w:val="0"/>
              <w:spacing w:line="240" w:lineRule="exact"/>
              <w:ind w:left="175" w:right="1134"/>
              <w:textAlignment w:val="baseline"/>
              <w:rPr>
                <w:rFonts w:eastAsia="DejaVu Sans"/>
                <w:kern w:val="3"/>
                <w:lang w:val="fr-FR" w:eastAsia="zh-CN" w:bidi="hi-IN"/>
              </w:rPr>
            </w:pPr>
            <w:r w:rsidRPr="007D39F9">
              <w:rPr>
                <w:rFonts w:eastAsia="DejaVu Sans"/>
                <w:kern w:val="3"/>
                <w:lang w:val="fr-FR" w:eastAsia="zh-CN" w:bidi="hi-IN"/>
              </w:rPr>
              <w:t>Explosions(</w:t>
            </w:r>
            <w:proofErr w:type="spellStart"/>
            <w:r w:rsidRPr="007D39F9">
              <w:rPr>
                <w:rFonts w:eastAsia="DejaVu Sans"/>
                <w:kern w:val="3"/>
                <w:lang w:val="fr-FR" w:eastAsia="zh-CN" w:bidi="hi-IN"/>
              </w:rPr>
              <w:t>unter</w:t>
            </w:r>
            <w:proofErr w:type="spellEnd"/>
            <w:r w:rsidRPr="007D39F9">
              <w:rPr>
                <w:rFonts w:eastAsia="DejaVu Sans"/>
                <w:kern w:val="3"/>
                <w:lang w:val="fr-FR" w:eastAsia="zh-CN" w:bidi="hi-IN"/>
              </w:rPr>
              <w:t>)</w:t>
            </w:r>
            <w:proofErr w:type="spellStart"/>
            <w:r w:rsidRPr="007D39F9">
              <w:rPr>
                <w:rFonts w:eastAsia="DejaVu Sans"/>
                <w:kern w:val="3"/>
                <w:lang w:val="fr-FR" w:eastAsia="zh-CN" w:bidi="hi-IN"/>
              </w:rPr>
              <w:t>gruppe</w:t>
            </w:r>
            <w:proofErr w:type="spellEnd"/>
          </w:p>
        </w:tc>
        <w:tc>
          <w:tcPr>
            <w:tcW w:w="3543" w:type="dxa"/>
          </w:tcPr>
          <w:p w14:paraId="00FC8C35"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proofErr w:type="spellStart"/>
            <w:r w:rsidRPr="007D39F9">
              <w:rPr>
                <w:rFonts w:eastAsia="DejaVu Sans"/>
                <w:kern w:val="3"/>
                <w:lang w:val="en-US" w:eastAsia="zh-CN" w:bidi="hi-IN"/>
              </w:rPr>
              <w:t>Normspaltweite</w:t>
            </w:r>
            <w:proofErr w:type="spellEnd"/>
            <w:r w:rsidRPr="007D39F9">
              <w:rPr>
                <w:rFonts w:eastAsia="DejaVu Sans"/>
                <w:kern w:val="3"/>
                <w:lang w:val="en-US" w:eastAsia="zh-CN" w:bidi="hi-IN"/>
              </w:rPr>
              <w:t xml:space="preserve"> in mm</w:t>
            </w:r>
          </w:p>
        </w:tc>
      </w:tr>
      <w:tr w:rsidR="007D39F9" w:rsidRPr="007D39F9" w14:paraId="5CC2E158" w14:textId="77777777" w:rsidTr="007D39F9">
        <w:tc>
          <w:tcPr>
            <w:tcW w:w="2835" w:type="dxa"/>
          </w:tcPr>
          <w:p w14:paraId="314FC478" w14:textId="77777777" w:rsidR="007D39F9" w:rsidRPr="007D39F9" w:rsidRDefault="007D39F9" w:rsidP="009361EE">
            <w:pPr>
              <w:widowControl w:val="0"/>
              <w:autoSpaceDN w:val="0"/>
              <w:spacing w:line="240" w:lineRule="exact"/>
              <w:ind w:left="175" w:right="1134"/>
              <w:textAlignment w:val="baseline"/>
              <w:rPr>
                <w:rFonts w:eastAsia="DejaVu Sans"/>
                <w:kern w:val="3"/>
                <w:lang w:val="fr-FR" w:eastAsia="zh-CN" w:bidi="hi-IN"/>
              </w:rPr>
            </w:pPr>
            <w:r w:rsidRPr="007D39F9">
              <w:rPr>
                <w:rFonts w:eastAsia="DejaVu Sans"/>
                <w:kern w:val="3"/>
                <w:lang w:val="fr-FR" w:eastAsia="zh-CN" w:bidi="hi-IN"/>
              </w:rPr>
              <w:t>II B1</w:t>
            </w:r>
          </w:p>
        </w:tc>
        <w:tc>
          <w:tcPr>
            <w:tcW w:w="3543" w:type="dxa"/>
          </w:tcPr>
          <w:p w14:paraId="5C30F20E"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r w:rsidRPr="007D39F9">
              <w:rPr>
                <w:rFonts w:eastAsia="DejaVu Sans"/>
                <w:kern w:val="3"/>
                <w:lang w:val="en-US" w:eastAsia="zh-CN" w:bidi="hi-IN"/>
              </w:rPr>
              <w:t xml:space="preserve">&gt; 0.85 bis </w:t>
            </w:r>
            <w:r w:rsidRPr="007D39F9">
              <w:rPr>
                <w:rFonts w:eastAsia="DejaVu Sans"/>
                <w:kern w:val="3"/>
                <w:lang w:val="en-US" w:eastAsia="zh-CN" w:bidi="hi-IN"/>
              </w:rPr>
              <w:sym w:font="Symbol" w:char="F0A3"/>
            </w:r>
            <w:r w:rsidRPr="007D39F9">
              <w:rPr>
                <w:rFonts w:eastAsia="DejaVu Sans"/>
                <w:kern w:val="3"/>
                <w:lang w:val="en-US" w:eastAsia="zh-CN" w:bidi="hi-IN"/>
              </w:rPr>
              <w:t xml:space="preserve"> 0.9</w:t>
            </w:r>
          </w:p>
        </w:tc>
      </w:tr>
      <w:tr w:rsidR="007D39F9" w:rsidRPr="007D39F9" w14:paraId="58823031" w14:textId="77777777" w:rsidTr="007D39F9">
        <w:tc>
          <w:tcPr>
            <w:tcW w:w="2835" w:type="dxa"/>
          </w:tcPr>
          <w:p w14:paraId="3B4BDA24" w14:textId="77777777" w:rsidR="007D39F9" w:rsidRPr="007D39F9" w:rsidRDefault="007D39F9" w:rsidP="009361EE">
            <w:pPr>
              <w:widowControl w:val="0"/>
              <w:autoSpaceDN w:val="0"/>
              <w:spacing w:line="240" w:lineRule="exact"/>
              <w:ind w:left="175" w:right="1134"/>
              <w:textAlignment w:val="baseline"/>
              <w:rPr>
                <w:rFonts w:eastAsia="DejaVu Sans"/>
                <w:kern w:val="3"/>
                <w:lang w:val="fr-FR" w:eastAsia="zh-CN" w:bidi="hi-IN"/>
              </w:rPr>
            </w:pPr>
            <w:r w:rsidRPr="007D39F9">
              <w:rPr>
                <w:rFonts w:eastAsia="DejaVu Sans"/>
                <w:kern w:val="3"/>
                <w:lang w:val="fr-FR" w:eastAsia="zh-CN" w:bidi="hi-IN"/>
              </w:rPr>
              <w:t>II B2</w:t>
            </w:r>
          </w:p>
        </w:tc>
        <w:tc>
          <w:tcPr>
            <w:tcW w:w="3543" w:type="dxa"/>
          </w:tcPr>
          <w:p w14:paraId="67FC6381"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r w:rsidRPr="007D39F9">
              <w:rPr>
                <w:rFonts w:eastAsia="DejaVu Sans"/>
                <w:kern w:val="3"/>
                <w:lang w:val="en-US" w:eastAsia="zh-CN" w:bidi="hi-IN"/>
              </w:rPr>
              <w:t xml:space="preserve">&gt; 0.75 bis </w:t>
            </w:r>
            <w:r w:rsidRPr="007D39F9">
              <w:rPr>
                <w:rFonts w:eastAsia="DejaVu Sans"/>
                <w:kern w:val="3"/>
                <w:lang w:val="en-US" w:eastAsia="zh-CN" w:bidi="hi-IN"/>
              </w:rPr>
              <w:sym w:font="Symbol" w:char="F0A3"/>
            </w:r>
            <w:r w:rsidRPr="007D39F9">
              <w:rPr>
                <w:rFonts w:eastAsia="DejaVu Sans"/>
                <w:kern w:val="3"/>
                <w:lang w:val="en-US" w:eastAsia="zh-CN" w:bidi="hi-IN"/>
              </w:rPr>
              <w:t xml:space="preserve"> 0.85</w:t>
            </w:r>
          </w:p>
        </w:tc>
      </w:tr>
      <w:tr w:rsidR="007D39F9" w:rsidRPr="007D39F9" w14:paraId="0F447482" w14:textId="77777777" w:rsidTr="007D39F9">
        <w:tc>
          <w:tcPr>
            <w:tcW w:w="2835" w:type="dxa"/>
          </w:tcPr>
          <w:p w14:paraId="157FA9F6" w14:textId="77777777" w:rsidR="007D39F9" w:rsidRPr="007D39F9" w:rsidRDefault="007D39F9" w:rsidP="009361EE">
            <w:pPr>
              <w:widowControl w:val="0"/>
              <w:autoSpaceDN w:val="0"/>
              <w:spacing w:line="240" w:lineRule="exact"/>
              <w:ind w:left="175" w:right="1134"/>
              <w:textAlignment w:val="baseline"/>
              <w:rPr>
                <w:rFonts w:eastAsia="DejaVu Sans"/>
                <w:kern w:val="3"/>
                <w:lang w:val="fr-FR" w:eastAsia="zh-CN" w:bidi="hi-IN"/>
              </w:rPr>
            </w:pPr>
            <w:r w:rsidRPr="007D39F9">
              <w:rPr>
                <w:rFonts w:eastAsia="DejaVu Sans"/>
                <w:kern w:val="3"/>
                <w:lang w:val="fr-FR" w:eastAsia="zh-CN" w:bidi="hi-IN"/>
              </w:rPr>
              <w:t>II B3</w:t>
            </w:r>
          </w:p>
        </w:tc>
        <w:tc>
          <w:tcPr>
            <w:tcW w:w="3543" w:type="dxa"/>
          </w:tcPr>
          <w:p w14:paraId="5DA7F3E5"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r w:rsidRPr="007D39F9">
              <w:rPr>
                <w:rFonts w:eastAsia="DejaVu Sans"/>
                <w:kern w:val="3"/>
                <w:lang w:val="en-US" w:eastAsia="zh-CN" w:bidi="hi-IN"/>
              </w:rPr>
              <w:t xml:space="preserve">&gt; 0.65 bis </w:t>
            </w:r>
            <w:r w:rsidRPr="007D39F9">
              <w:rPr>
                <w:rFonts w:eastAsia="DejaVu Sans"/>
                <w:kern w:val="3"/>
                <w:lang w:val="en-US" w:eastAsia="zh-CN" w:bidi="hi-IN"/>
              </w:rPr>
              <w:sym w:font="Symbol" w:char="F0A3"/>
            </w:r>
            <w:r w:rsidRPr="007D39F9">
              <w:rPr>
                <w:rFonts w:eastAsia="DejaVu Sans"/>
                <w:kern w:val="3"/>
                <w:lang w:val="en-US" w:eastAsia="zh-CN" w:bidi="hi-IN"/>
              </w:rPr>
              <w:t xml:space="preserve"> 0.75</w:t>
            </w:r>
          </w:p>
        </w:tc>
      </w:tr>
      <w:tr w:rsidR="007D39F9" w:rsidRPr="007D39F9" w14:paraId="65080C72" w14:textId="77777777" w:rsidTr="007D39F9">
        <w:tc>
          <w:tcPr>
            <w:tcW w:w="2835" w:type="dxa"/>
          </w:tcPr>
          <w:p w14:paraId="50364A4F" w14:textId="77777777" w:rsidR="007D39F9" w:rsidRPr="007D39F9" w:rsidRDefault="007D39F9" w:rsidP="009361EE">
            <w:pPr>
              <w:widowControl w:val="0"/>
              <w:autoSpaceDN w:val="0"/>
              <w:spacing w:line="240" w:lineRule="exact"/>
              <w:ind w:left="175" w:right="1134"/>
              <w:textAlignment w:val="baseline"/>
              <w:rPr>
                <w:rFonts w:eastAsia="DejaVu Sans"/>
                <w:kern w:val="3"/>
                <w:lang w:val="fr-FR" w:eastAsia="zh-CN" w:bidi="hi-IN"/>
              </w:rPr>
            </w:pPr>
            <w:r w:rsidRPr="007D39F9">
              <w:rPr>
                <w:rFonts w:eastAsia="DejaVu Sans"/>
                <w:kern w:val="3"/>
                <w:lang w:val="fr-FR" w:eastAsia="zh-CN" w:bidi="hi-IN"/>
              </w:rPr>
              <w:t>II B</w:t>
            </w:r>
          </w:p>
        </w:tc>
        <w:tc>
          <w:tcPr>
            <w:tcW w:w="3543" w:type="dxa"/>
          </w:tcPr>
          <w:p w14:paraId="4DCDA38C" w14:textId="77777777" w:rsidR="007D39F9" w:rsidRPr="007D39F9" w:rsidRDefault="007D39F9" w:rsidP="009361EE">
            <w:pPr>
              <w:widowControl w:val="0"/>
              <w:autoSpaceDN w:val="0"/>
              <w:spacing w:line="240" w:lineRule="exact"/>
              <w:ind w:left="73" w:right="1134"/>
              <w:textAlignment w:val="baseline"/>
              <w:rPr>
                <w:rFonts w:eastAsia="DejaVu Sans"/>
                <w:kern w:val="3"/>
                <w:lang w:val="en-US" w:eastAsia="zh-CN" w:bidi="hi-IN"/>
              </w:rPr>
            </w:pPr>
            <w:r w:rsidRPr="007D39F9">
              <w:rPr>
                <w:rFonts w:eastAsia="DejaVu Sans"/>
                <w:kern w:val="3"/>
                <w:lang w:val="en-US" w:eastAsia="zh-CN" w:bidi="hi-IN"/>
              </w:rPr>
              <w:sym w:font="Symbol" w:char="F0B3"/>
            </w:r>
            <w:r w:rsidRPr="007D39F9">
              <w:rPr>
                <w:rFonts w:eastAsia="DejaVu Sans"/>
                <w:kern w:val="3"/>
                <w:lang w:val="en-US" w:eastAsia="zh-CN" w:bidi="hi-IN"/>
              </w:rPr>
              <w:t xml:space="preserve"> 0.5 bis </w:t>
            </w:r>
            <w:r w:rsidRPr="007D39F9">
              <w:rPr>
                <w:rFonts w:eastAsia="DejaVu Sans"/>
                <w:kern w:val="3"/>
                <w:lang w:val="en-US" w:eastAsia="zh-CN" w:bidi="hi-IN"/>
              </w:rPr>
              <w:sym w:font="Symbol" w:char="F0A3"/>
            </w:r>
            <w:r w:rsidRPr="007D39F9">
              <w:rPr>
                <w:rFonts w:eastAsia="DejaVu Sans"/>
                <w:kern w:val="3"/>
                <w:lang w:val="en-US" w:eastAsia="zh-CN" w:bidi="hi-IN"/>
              </w:rPr>
              <w:t xml:space="preserve"> 0.65</w:t>
            </w:r>
          </w:p>
        </w:tc>
      </w:tr>
    </w:tbl>
    <w:p w14:paraId="00D26269" w14:textId="77777777" w:rsidR="007D39F9" w:rsidRPr="007D39F9" w:rsidRDefault="007D39F9" w:rsidP="009361EE">
      <w:pPr>
        <w:widowControl w:val="0"/>
        <w:autoSpaceDN w:val="0"/>
        <w:spacing w:line="240" w:lineRule="exact"/>
        <w:ind w:left="1134" w:right="1134"/>
        <w:textAlignment w:val="baseline"/>
        <w:rPr>
          <w:rFonts w:eastAsia="DejaVu Sans"/>
          <w:kern w:val="3"/>
          <w:lang w:val="en-US" w:eastAsia="zh-CN" w:bidi="hi-IN"/>
        </w:rPr>
      </w:pPr>
    </w:p>
    <w:p w14:paraId="22160653" w14:textId="77777777" w:rsidR="007D39F9" w:rsidRPr="00AF0D45" w:rsidRDefault="007D39F9" w:rsidP="009361EE">
      <w:pPr>
        <w:widowControl w:val="0"/>
        <w:autoSpaceDN w:val="0"/>
        <w:spacing w:line="240" w:lineRule="exact"/>
        <w:ind w:left="1134" w:right="1134"/>
        <w:textAlignment w:val="baseline"/>
        <w:rPr>
          <w:rFonts w:eastAsia="DejaVu Sans"/>
          <w:kern w:val="3"/>
          <w:lang w:val="de-DE" w:eastAsia="zh-CN" w:bidi="hi-IN"/>
        </w:rPr>
      </w:pPr>
      <w:r w:rsidRPr="007D39F9">
        <w:rPr>
          <w:rFonts w:eastAsia="DejaVu Sans"/>
          <w:kern w:val="3"/>
          <w:lang w:val="de-DE" w:eastAsia="zh-CN" w:bidi="hi-IN"/>
        </w:rPr>
        <w:t>Falls Explosionsschutz erforderlich ist und die Daten bezüglich Explosionsschutz nicht vorliegen, muss die als sicher geschätzte Explosionsgruppe II B eingetragen werden.“.</w:t>
      </w:r>
    </w:p>
    <w:p w14:paraId="198F1D7D" w14:textId="4764A87F" w:rsidR="009753E1" w:rsidRPr="00AF0D45" w:rsidRDefault="009753E1" w:rsidP="00AF0D45">
      <w:pPr>
        <w:pStyle w:val="SingleTxtG"/>
        <w:spacing w:before="120"/>
        <w:rPr>
          <w:lang w:val="de-DE"/>
        </w:rPr>
      </w:pPr>
      <w:r w:rsidRPr="00AF0D45">
        <w:rPr>
          <w:i/>
          <w:lang w:val="de-DE"/>
        </w:rPr>
        <w:t>(</w:t>
      </w:r>
      <w:r w:rsidR="00817513" w:rsidRPr="00AF0D45">
        <w:rPr>
          <w:i/>
          <w:lang w:val="de-DE"/>
        </w:rPr>
        <w:t>Referenzdokument</w:t>
      </w:r>
      <w:r w:rsidRPr="00AF0D45">
        <w:rPr>
          <w:i/>
          <w:lang w:val="de-DE"/>
        </w:rPr>
        <w:t>: ECE/TRANS/WP.15/AC.2/2018/44)</w:t>
      </w:r>
    </w:p>
    <w:p w14:paraId="2521EC0E" w14:textId="77777777" w:rsidR="00B403C0" w:rsidRDefault="00B403C0">
      <w:pPr>
        <w:suppressAutoHyphens w:val="0"/>
        <w:spacing w:line="240" w:lineRule="auto"/>
        <w:rPr>
          <w:lang w:val="de-DE"/>
        </w:rPr>
      </w:pPr>
      <w:r>
        <w:rPr>
          <w:lang w:val="de-DE"/>
        </w:rPr>
        <w:br w:type="page"/>
      </w:r>
    </w:p>
    <w:p w14:paraId="226B10B0" w14:textId="62A9BF6F" w:rsidR="009753E1" w:rsidRPr="00AF0D45" w:rsidRDefault="009753E1" w:rsidP="007B0D0B">
      <w:pPr>
        <w:pStyle w:val="SingleTxtG"/>
        <w:rPr>
          <w:b/>
          <w:bCs/>
          <w:sz w:val="22"/>
          <w:szCs w:val="22"/>
          <w:lang w:val="de-DE"/>
        </w:rPr>
      </w:pPr>
      <w:r w:rsidRPr="00AF0D45">
        <w:rPr>
          <w:lang w:val="de-DE"/>
        </w:rPr>
        <w:lastRenderedPageBreak/>
        <w:t xml:space="preserve">3.2.3.3 </w:t>
      </w:r>
      <w:r w:rsidR="00925A68" w:rsidRPr="00AF0D45">
        <w:rPr>
          <w:lang w:val="de-DE"/>
        </w:rPr>
        <w:t>und</w:t>
      </w:r>
      <w:r w:rsidRPr="00AF0D45">
        <w:rPr>
          <w:lang w:val="de-DE"/>
        </w:rPr>
        <w:t xml:space="preserve"> </w:t>
      </w:r>
      <w:bookmarkStart w:id="21" w:name="_Hlk517791551"/>
      <w:r w:rsidRPr="00AF0D45">
        <w:rPr>
          <w:lang w:val="de-DE"/>
        </w:rPr>
        <w:t>3.2.4.3</w:t>
      </w:r>
      <w:bookmarkEnd w:id="21"/>
      <w:r w:rsidRPr="00AF0D45">
        <w:rPr>
          <w:lang w:val="de-DE"/>
        </w:rPr>
        <w:t xml:space="preserve">, </w:t>
      </w:r>
      <w:r w:rsidR="00925A68" w:rsidRPr="00AF0D45">
        <w:rPr>
          <w:lang w:val="de-DE"/>
        </w:rPr>
        <w:t>Spalte</w:t>
      </w:r>
      <w:r w:rsidRPr="00AF0D45">
        <w:rPr>
          <w:lang w:val="de-DE"/>
        </w:rPr>
        <w:t xml:space="preserve"> (20)</w:t>
      </w:r>
      <w:r w:rsidRPr="00AF0D45">
        <w:rPr>
          <w:lang w:val="de-DE"/>
        </w:rPr>
        <w:tab/>
      </w:r>
      <w:r w:rsidR="00925A68" w:rsidRPr="00AF0D45">
        <w:rPr>
          <w:lang w:val="de-DE"/>
        </w:rPr>
        <w:t>Die Bemerkung</w:t>
      </w:r>
      <w:r w:rsidRPr="00AF0D45">
        <w:rPr>
          <w:lang w:val="de-DE"/>
        </w:rPr>
        <w:t xml:space="preserve"> 27 </w:t>
      </w:r>
      <w:r w:rsidR="00925A68" w:rsidRPr="00AF0D45">
        <w:rPr>
          <w:lang w:val="de-DE"/>
        </w:rPr>
        <w:t>erhält folgenden Wortlaut:</w:t>
      </w:r>
    </w:p>
    <w:p w14:paraId="5581C33B" w14:textId="6FFFBC0C" w:rsidR="00D05632" w:rsidRPr="00AF0D45" w:rsidRDefault="00D05632" w:rsidP="00D05632">
      <w:pPr>
        <w:pStyle w:val="SingleTxtG"/>
        <w:rPr>
          <w:lang w:val="de-DE"/>
        </w:rPr>
      </w:pPr>
      <w:r w:rsidRPr="00AF0D45">
        <w:rPr>
          <w:lang w:val="de-DE"/>
        </w:rPr>
        <w:t xml:space="preserve">„Bemerkung 27 ist in Spalte (20) einzutragen bei Stoffen, für die in der Spalte (2) eine N.A.G.- oder Gattungseintragung aufgenommen ist und für die die offiziellen Benennungen für die Beförderung nicht bereits mit der technischen Benennung des Gutes oder mit zusätzlichen Angaben zum </w:t>
      </w:r>
      <w:proofErr w:type="spellStart"/>
      <w:r w:rsidRPr="00AF0D45">
        <w:rPr>
          <w:lang w:val="de-DE"/>
        </w:rPr>
        <w:t>Benzen</w:t>
      </w:r>
      <w:proofErr w:type="spellEnd"/>
      <w:r w:rsidRPr="00AF0D45">
        <w:rPr>
          <w:lang w:val="de-DE"/>
        </w:rPr>
        <w:t>-Gehalt ergänzt sind.“.</w:t>
      </w:r>
    </w:p>
    <w:p w14:paraId="4B3BAEEA" w14:textId="1AF0F4E2" w:rsidR="009753E1" w:rsidRPr="00AF0D45" w:rsidRDefault="009753E1" w:rsidP="007B0D0B">
      <w:pPr>
        <w:pStyle w:val="SingleTxtG"/>
        <w:rPr>
          <w:i/>
          <w:lang w:val="de-DE"/>
        </w:rPr>
      </w:pPr>
      <w:r w:rsidRPr="00AF0D45">
        <w:rPr>
          <w:i/>
          <w:lang w:val="de-DE"/>
        </w:rPr>
        <w:t>(</w:t>
      </w:r>
      <w:r w:rsidR="00817513" w:rsidRPr="00AF0D45">
        <w:rPr>
          <w:i/>
          <w:lang w:val="de-DE"/>
        </w:rPr>
        <w:t>Referenzdokument</w:t>
      </w:r>
      <w:r w:rsidRPr="00AF0D45">
        <w:rPr>
          <w:i/>
          <w:lang w:val="de-DE"/>
        </w:rPr>
        <w:t>: ECE/TRANS/WP.15/AC.2/2018/44)</w:t>
      </w:r>
    </w:p>
    <w:p w14:paraId="4BB21E26" w14:textId="5314F50F" w:rsidR="009753E1" w:rsidRPr="00AF0D45" w:rsidRDefault="009753E1" w:rsidP="007B0D0B">
      <w:pPr>
        <w:keepNext/>
        <w:keepLines/>
        <w:tabs>
          <w:tab w:val="right" w:pos="851"/>
        </w:tabs>
        <w:spacing w:before="240" w:after="120" w:line="240" w:lineRule="exact"/>
        <w:ind w:left="1134" w:right="1134" w:hanging="1134"/>
        <w:rPr>
          <w:b/>
          <w:lang w:val="de-DE"/>
        </w:rPr>
      </w:pPr>
      <w:bookmarkStart w:id="22" w:name="_Hlk523470076"/>
      <w:r w:rsidRPr="00AF0D45">
        <w:rPr>
          <w:b/>
          <w:lang w:val="de-DE"/>
        </w:rPr>
        <w:tab/>
      </w:r>
      <w:r w:rsidRPr="00AF0D45">
        <w:rPr>
          <w:b/>
          <w:lang w:val="de-DE"/>
        </w:rPr>
        <w:tab/>
      </w:r>
      <w:r w:rsidR="00817513" w:rsidRPr="00AF0D45">
        <w:rPr>
          <w:b/>
          <w:lang w:val="de-DE"/>
        </w:rPr>
        <w:t>Kapitel</w:t>
      </w:r>
      <w:r w:rsidRPr="00AF0D45">
        <w:rPr>
          <w:b/>
          <w:lang w:val="de-DE"/>
        </w:rPr>
        <w:t xml:space="preserve"> 5.4</w:t>
      </w:r>
    </w:p>
    <w:p w14:paraId="0B3B86A1" w14:textId="6ED86AF6" w:rsidR="009753E1" w:rsidRPr="00AF0D45" w:rsidRDefault="009753E1" w:rsidP="007B0D0B">
      <w:pPr>
        <w:pStyle w:val="SingleTxtG"/>
        <w:tabs>
          <w:tab w:val="left" w:pos="2268"/>
        </w:tabs>
        <w:rPr>
          <w:lang w:val="de-DE"/>
        </w:rPr>
      </w:pPr>
      <w:r w:rsidRPr="00AF0D45">
        <w:rPr>
          <w:lang w:val="de-DE"/>
        </w:rPr>
        <w:t>5.4.3.2</w:t>
      </w:r>
      <w:r w:rsidRPr="00AF0D45">
        <w:rPr>
          <w:lang w:val="de-DE"/>
        </w:rPr>
        <w:tab/>
      </w:r>
      <w:r w:rsidR="00925A68" w:rsidRPr="00AF0D45">
        <w:rPr>
          <w:lang w:val="de-DE"/>
        </w:rPr>
        <w:t>Erhält folgenden Wortlaut</w:t>
      </w:r>
      <w:r w:rsidRPr="00AF0D45">
        <w:rPr>
          <w:lang w:val="de-DE"/>
        </w:rPr>
        <w:t>:</w:t>
      </w:r>
    </w:p>
    <w:p w14:paraId="611DA179" w14:textId="4F0E0D6D" w:rsidR="00925A68" w:rsidRPr="00AF0D45" w:rsidRDefault="00925A68" w:rsidP="00925A68">
      <w:pPr>
        <w:pStyle w:val="SingleTxtG"/>
      </w:pPr>
      <w:r w:rsidRPr="00AF0D45">
        <w:rPr>
          <w:lang w:val="de-DE"/>
        </w:rPr>
        <w:t>„</w:t>
      </w:r>
      <w:r w:rsidR="009753E1" w:rsidRPr="00AF0D45">
        <w:rPr>
          <w:lang w:val="de-DE"/>
        </w:rPr>
        <w:t>5.4.3.2</w:t>
      </w:r>
      <w:r w:rsidR="009753E1" w:rsidRPr="00AF0D45">
        <w:rPr>
          <w:lang w:val="de-DE"/>
        </w:rPr>
        <w:tab/>
      </w:r>
      <w:r w:rsidRPr="00AF0D45">
        <w:rPr>
          <w:lang w:val="de-DE"/>
        </w:rPr>
        <w:t>Diese Weisungen sind vom Beförderer vor dem Ladebeginn dem Schiffsführer in einer Sprache (in Sprachen) bereitzustellen, die der Schiffsführer und der Sachkundige lesen und verstehen können. Der Schiffsführer hat darauf zu achten, dass jedes betreffende Mitglied der Besatzung und jede andere Person an Bord die Weisungen versteht und in der Lage ist, diese richtig anzuwenden.“.</w:t>
      </w:r>
    </w:p>
    <w:p w14:paraId="2A8669D0" w14:textId="6EB1BE17" w:rsidR="009753E1" w:rsidRPr="00AF0D45" w:rsidRDefault="009753E1" w:rsidP="007B0D0B">
      <w:pPr>
        <w:pStyle w:val="SingleTxtG"/>
        <w:rPr>
          <w:i/>
          <w:lang w:val="de-DE"/>
        </w:rPr>
      </w:pPr>
      <w:r w:rsidRPr="00AF0D45">
        <w:rPr>
          <w:i/>
          <w:lang w:val="de-DE"/>
        </w:rPr>
        <w:t>(</w:t>
      </w:r>
      <w:r w:rsidR="00817513" w:rsidRPr="00AF0D45">
        <w:rPr>
          <w:i/>
          <w:lang w:val="de-DE"/>
        </w:rPr>
        <w:t>Referenzdokument</w:t>
      </w:r>
      <w:r w:rsidRPr="00AF0D45">
        <w:rPr>
          <w:i/>
          <w:lang w:val="de-DE"/>
        </w:rPr>
        <w:t>: ECE/TRANS/WP.15/AC.2/2018/40)</w:t>
      </w:r>
    </w:p>
    <w:p w14:paraId="0196149A" w14:textId="07783779" w:rsidR="009753E1" w:rsidRPr="00AF0D45" w:rsidRDefault="009753E1" w:rsidP="007B0D0B">
      <w:pPr>
        <w:keepNext/>
        <w:keepLines/>
        <w:tabs>
          <w:tab w:val="right" w:pos="851"/>
        </w:tabs>
        <w:spacing w:before="240" w:after="120" w:line="240" w:lineRule="exact"/>
        <w:ind w:left="1134" w:right="1134" w:hanging="1134"/>
        <w:rPr>
          <w:b/>
          <w:lang w:val="de-DE"/>
        </w:rPr>
      </w:pPr>
      <w:r w:rsidRPr="00AF0D45">
        <w:rPr>
          <w:b/>
          <w:lang w:val="de-DE"/>
        </w:rPr>
        <w:tab/>
      </w:r>
      <w:r w:rsidRPr="00AF0D45">
        <w:rPr>
          <w:b/>
          <w:lang w:val="de-DE"/>
        </w:rPr>
        <w:tab/>
      </w:r>
      <w:r w:rsidR="00817513" w:rsidRPr="00AF0D45">
        <w:rPr>
          <w:b/>
          <w:lang w:val="de-DE"/>
        </w:rPr>
        <w:t>Kapitel</w:t>
      </w:r>
      <w:r w:rsidRPr="00AF0D45">
        <w:rPr>
          <w:b/>
          <w:lang w:val="de-DE"/>
        </w:rPr>
        <w:t xml:space="preserve"> 7.2</w:t>
      </w:r>
    </w:p>
    <w:p w14:paraId="28912DAA" w14:textId="70161974" w:rsidR="00EE2144" w:rsidRPr="00AF0D45" w:rsidRDefault="009753E1" w:rsidP="007B0D0B">
      <w:pPr>
        <w:pStyle w:val="SingleTxtG"/>
        <w:rPr>
          <w:iCs/>
          <w:lang w:val="de-DE"/>
        </w:rPr>
      </w:pPr>
      <w:bookmarkStart w:id="23" w:name="_Hlk523470090"/>
      <w:bookmarkEnd w:id="22"/>
      <w:r w:rsidRPr="00AF0D45">
        <w:rPr>
          <w:iCs/>
          <w:lang w:val="de-DE"/>
        </w:rPr>
        <w:t>7.2.4.25.5</w:t>
      </w:r>
      <w:bookmarkEnd w:id="23"/>
      <w:r w:rsidRPr="00AF0D45">
        <w:rPr>
          <w:iCs/>
          <w:lang w:val="de-DE"/>
        </w:rPr>
        <w:t xml:space="preserve">, </w:t>
      </w:r>
      <w:r w:rsidR="00EE2144" w:rsidRPr="00AF0D45">
        <w:rPr>
          <w:iCs/>
          <w:lang w:val="de-DE"/>
        </w:rPr>
        <w:t>zweiter Anstrich</w:t>
      </w:r>
      <w:r w:rsidR="00B403C0">
        <w:rPr>
          <w:iCs/>
          <w:lang w:val="de-DE"/>
        </w:rPr>
        <w:tab/>
      </w:r>
      <w:r w:rsidR="00B403C0">
        <w:rPr>
          <w:iCs/>
          <w:lang w:val="de-DE"/>
        </w:rPr>
        <w:tab/>
      </w:r>
      <w:r w:rsidR="00EE2144" w:rsidRPr="00AF0D45">
        <w:rPr>
          <w:iCs/>
          <w:lang w:val="de-DE"/>
        </w:rPr>
        <w:t>Der letzte Satz erhält folgenden Wortlaut: „Wenn diese Bedingungen nicht gegeben sind und die Gasrückfuhrleitung nicht genutzt wird, sind die gemessenen Konzentrationen schriftlich festzuhalten.“.</w:t>
      </w:r>
    </w:p>
    <w:p w14:paraId="3DD88490" w14:textId="7DD8EFF9" w:rsidR="009753E1" w:rsidRPr="00AF0D45" w:rsidRDefault="009753E1" w:rsidP="007B0D0B">
      <w:pPr>
        <w:pStyle w:val="SingleTxtG"/>
        <w:rPr>
          <w:lang w:val="de-DE"/>
        </w:rPr>
      </w:pPr>
      <w:r w:rsidRPr="00AF0D45">
        <w:rPr>
          <w:i/>
          <w:lang w:val="de-DE"/>
        </w:rPr>
        <w:t>(</w:t>
      </w:r>
      <w:r w:rsidR="00817513" w:rsidRPr="00AF0D45">
        <w:rPr>
          <w:i/>
          <w:lang w:val="de-DE"/>
        </w:rPr>
        <w:t>Referenzdokument</w:t>
      </w:r>
      <w:r w:rsidRPr="00AF0D45">
        <w:rPr>
          <w:i/>
          <w:lang w:val="de-DE"/>
        </w:rPr>
        <w:t xml:space="preserve">: </w:t>
      </w:r>
      <w:r w:rsidR="00422334" w:rsidRPr="00AF0D45">
        <w:rPr>
          <w:i/>
          <w:lang w:val="de-DE"/>
        </w:rPr>
        <w:t>informelles Dokument</w:t>
      </w:r>
      <w:r w:rsidRPr="00AF0D45">
        <w:rPr>
          <w:i/>
          <w:lang w:val="de-DE"/>
        </w:rPr>
        <w:t xml:space="preserve"> INF.26)</w:t>
      </w:r>
    </w:p>
    <w:p w14:paraId="36626826" w14:textId="3B6AC69A" w:rsidR="009753E1" w:rsidRPr="00AF0D45" w:rsidRDefault="009753E1" w:rsidP="007B0D0B">
      <w:pPr>
        <w:keepNext/>
        <w:keepLines/>
        <w:tabs>
          <w:tab w:val="right" w:pos="851"/>
        </w:tabs>
        <w:spacing w:before="240" w:after="120" w:line="240" w:lineRule="exact"/>
        <w:ind w:left="1134" w:right="1134" w:hanging="1134"/>
        <w:rPr>
          <w:b/>
          <w:lang w:val="de-DE"/>
        </w:rPr>
      </w:pPr>
      <w:r w:rsidRPr="00AF0D45">
        <w:rPr>
          <w:b/>
          <w:lang w:val="de-DE"/>
        </w:rPr>
        <w:tab/>
      </w:r>
      <w:r w:rsidRPr="00AF0D45">
        <w:rPr>
          <w:b/>
          <w:lang w:val="de-DE"/>
        </w:rPr>
        <w:tab/>
      </w:r>
      <w:r w:rsidR="00817513" w:rsidRPr="00AF0D45">
        <w:rPr>
          <w:b/>
          <w:lang w:val="de-DE"/>
        </w:rPr>
        <w:t>Kapitel</w:t>
      </w:r>
      <w:r w:rsidRPr="00AF0D45">
        <w:rPr>
          <w:b/>
          <w:lang w:val="de-DE"/>
        </w:rPr>
        <w:t xml:space="preserve"> 9.3</w:t>
      </w:r>
    </w:p>
    <w:p w14:paraId="7842397E" w14:textId="16A7F4AD" w:rsidR="009753E1" w:rsidRPr="00AF0D45" w:rsidRDefault="009753E1" w:rsidP="00C04B1D">
      <w:pPr>
        <w:pStyle w:val="SingleTxtG"/>
        <w:rPr>
          <w:lang w:val="de-DE"/>
        </w:rPr>
      </w:pPr>
      <w:r w:rsidRPr="00AF0D45">
        <w:rPr>
          <w:lang w:val="de-DE"/>
        </w:rPr>
        <w:t>9.3.2.22.4 b)</w:t>
      </w:r>
      <w:r w:rsidRPr="00AF0D45">
        <w:rPr>
          <w:lang w:val="de-DE"/>
        </w:rPr>
        <w:tab/>
      </w:r>
      <w:r w:rsidR="006263D6" w:rsidRPr="00AF0D45">
        <w:rPr>
          <w:lang w:val="de-DE"/>
        </w:rPr>
        <w:t>Erhält folgenden Wortlaut</w:t>
      </w:r>
      <w:r w:rsidRPr="00AF0D45">
        <w:rPr>
          <w:lang w:val="de-DE"/>
        </w:rPr>
        <w:t>:</w:t>
      </w:r>
    </w:p>
    <w:p w14:paraId="107758AE" w14:textId="55F02803" w:rsidR="006263D6" w:rsidRPr="006263D6" w:rsidRDefault="006263D6" w:rsidP="00C04B1D">
      <w:pPr>
        <w:widowControl w:val="0"/>
        <w:suppressAutoHyphens w:val="0"/>
        <w:overflowPunct w:val="0"/>
        <w:autoSpaceDE w:val="0"/>
        <w:autoSpaceDN w:val="0"/>
        <w:adjustRightInd w:val="0"/>
        <w:spacing w:before="60" w:line="276" w:lineRule="auto"/>
        <w:ind w:left="1134" w:right="1134" w:hanging="2"/>
        <w:jc w:val="both"/>
        <w:textAlignment w:val="baseline"/>
        <w:rPr>
          <w:rFonts w:eastAsia="Calibri"/>
          <w:lang w:val="de-DE" w:eastAsia="fr-FR"/>
        </w:rPr>
      </w:pPr>
      <w:r w:rsidRPr="00AF0D45">
        <w:rPr>
          <w:rFonts w:eastAsia="Calibri"/>
          <w:lang w:val="de-DE" w:eastAsia="fr-FR"/>
        </w:rPr>
        <w:t>„</w:t>
      </w:r>
      <w:r w:rsidRPr="006263D6">
        <w:rPr>
          <w:rFonts w:eastAsia="Calibri"/>
          <w:lang w:val="de-DE" w:eastAsia="fr-FR"/>
        </w:rPr>
        <w:t>b)</w:t>
      </w:r>
      <w:r w:rsidRPr="006263D6">
        <w:rPr>
          <w:rFonts w:eastAsia="Calibri"/>
          <w:lang w:val="de-DE" w:eastAsia="fr-FR"/>
        </w:rPr>
        <w:tab/>
        <w:t>Wenn die Schiffsstoffliste nach Absatz 1.16.1.2.5 Stoffe enthalten soll, für die nach Unterabschnitt 3.2.3.2 Tabelle C Spalte (17) Explosionsschutz gefordert ist, muss</w:t>
      </w:r>
    </w:p>
    <w:p w14:paraId="4D91C907" w14:textId="77777777" w:rsidR="006263D6" w:rsidRPr="006263D6" w:rsidRDefault="006263D6" w:rsidP="00C04B1D">
      <w:pPr>
        <w:widowControl w:val="0"/>
        <w:suppressAutoHyphens w:val="0"/>
        <w:overflowPunct w:val="0"/>
        <w:autoSpaceDE w:val="0"/>
        <w:autoSpaceDN w:val="0"/>
        <w:adjustRightInd w:val="0"/>
        <w:spacing w:before="60" w:line="276" w:lineRule="auto"/>
        <w:ind w:left="1418" w:right="1134" w:hanging="284"/>
        <w:jc w:val="both"/>
        <w:textAlignment w:val="baseline"/>
        <w:rPr>
          <w:rFonts w:eastAsia="Calibri"/>
          <w:lang w:val="de-DE" w:eastAsia="fr-FR"/>
        </w:rPr>
      </w:pPr>
      <w:r w:rsidRPr="006263D6">
        <w:rPr>
          <w:rFonts w:eastAsia="Calibri"/>
          <w:lang w:val="de-DE" w:eastAsia="fr-FR"/>
        </w:rPr>
        <w:t>-</w:t>
      </w:r>
      <w:r w:rsidRPr="006263D6">
        <w:rPr>
          <w:rFonts w:eastAsia="Calibri"/>
          <w:lang w:val="de-DE" w:eastAsia="fr-FR"/>
        </w:rPr>
        <w:tab/>
        <w:t xml:space="preserve">die Gasabfuhrleitung an der Einführung in jeden </w:t>
      </w:r>
      <w:proofErr w:type="spellStart"/>
      <w:r w:rsidRPr="006263D6">
        <w:rPr>
          <w:rFonts w:eastAsia="Calibri"/>
          <w:lang w:val="de-DE" w:eastAsia="fr-FR"/>
        </w:rPr>
        <w:t>Ladetank</w:t>
      </w:r>
      <w:proofErr w:type="spellEnd"/>
      <w:r w:rsidRPr="006263D6">
        <w:rPr>
          <w:rFonts w:eastAsia="Calibri"/>
          <w:lang w:val="de-DE" w:eastAsia="fr-FR"/>
        </w:rPr>
        <w:t xml:space="preserve"> sowie das Unterdruckventil mit einer detonationssicheren Flammendurchschlagsicherung versehen sein, und</w:t>
      </w:r>
    </w:p>
    <w:p w14:paraId="6CD9E5C3" w14:textId="79B5F98E" w:rsidR="006263D6" w:rsidRPr="006263D6" w:rsidRDefault="006263D6" w:rsidP="00C04B1D">
      <w:pPr>
        <w:widowControl w:val="0"/>
        <w:suppressAutoHyphens w:val="0"/>
        <w:overflowPunct w:val="0"/>
        <w:autoSpaceDE w:val="0"/>
        <w:autoSpaceDN w:val="0"/>
        <w:adjustRightInd w:val="0"/>
        <w:spacing w:before="60" w:line="276" w:lineRule="auto"/>
        <w:ind w:left="1418" w:right="1134" w:hanging="284"/>
        <w:jc w:val="both"/>
        <w:textAlignment w:val="baseline"/>
        <w:rPr>
          <w:rFonts w:eastAsia="Calibri"/>
          <w:lang w:val="de-DE" w:eastAsia="fr-FR"/>
        </w:rPr>
      </w:pPr>
      <w:r w:rsidRPr="006263D6">
        <w:rPr>
          <w:rFonts w:eastAsia="Calibri"/>
          <w:lang w:val="de-DE" w:eastAsia="fr-FR"/>
        </w:rPr>
        <w:t>-</w:t>
      </w:r>
      <w:r w:rsidRPr="006263D6">
        <w:rPr>
          <w:rFonts w:eastAsia="Calibri"/>
          <w:lang w:val="de-DE" w:eastAsia="fr-FR"/>
        </w:rPr>
        <w:tab/>
        <w:t>die Vorrichtung zum gefahrlosen Entspannen der Ladetanks deflagrations- und dauerbrandsicher ausgeführt sein.</w:t>
      </w:r>
      <w:r w:rsidRPr="00AF0D45">
        <w:rPr>
          <w:rFonts w:eastAsia="Calibri"/>
          <w:lang w:val="de-DE" w:eastAsia="fr-FR"/>
        </w:rPr>
        <w:t>“.</w:t>
      </w:r>
    </w:p>
    <w:p w14:paraId="2242C985" w14:textId="3B62F434" w:rsidR="009753E1" w:rsidRPr="00AF0D45" w:rsidRDefault="009753E1" w:rsidP="00C04B1D">
      <w:pPr>
        <w:pStyle w:val="SingleTxtG"/>
        <w:spacing w:before="120"/>
        <w:ind w:hanging="2"/>
        <w:rPr>
          <w:i/>
          <w:lang w:val="de-DE"/>
        </w:rPr>
      </w:pPr>
      <w:r w:rsidRPr="00AF0D45">
        <w:rPr>
          <w:i/>
          <w:lang w:val="de-DE"/>
        </w:rPr>
        <w:t>(</w:t>
      </w:r>
      <w:r w:rsidR="00817513" w:rsidRPr="00AF0D45">
        <w:rPr>
          <w:i/>
          <w:lang w:val="de-DE"/>
        </w:rPr>
        <w:t>Referenzdokument</w:t>
      </w:r>
      <w:r w:rsidRPr="00AF0D45">
        <w:rPr>
          <w:i/>
          <w:lang w:val="de-DE"/>
        </w:rPr>
        <w:t>: ECE/TRANS/WP.15/AC.2/2018/32)</w:t>
      </w:r>
    </w:p>
    <w:p w14:paraId="7739AA9C" w14:textId="54BD9674" w:rsidR="009753E1" w:rsidRPr="00AF0D45" w:rsidRDefault="009753E1" w:rsidP="00C04B1D">
      <w:pPr>
        <w:pStyle w:val="SingleTxtG"/>
        <w:tabs>
          <w:tab w:val="left" w:pos="2835"/>
        </w:tabs>
        <w:rPr>
          <w:lang w:val="de-DE"/>
        </w:rPr>
      </w:pPr>
      <w:r w:rsidRPr="00AF0D45">
        <w:rPr>
          <w:lang w:val="de-DE"/>
        </w:rPr>
        <w:t>9.3.2.22.4 e)</w:t>
      </w:r>
      <w:r w:rsidRPr="00AF0D45">
        <w:rPr>
          <w:lang w:val="de-DE"/>
        </w:rPr>
        <w:tab/>
      </w:r>
      <w:r w:rsidR="006263D6" w:rsidRPr="00AF0D45">
        <w:rPr>
          <w:lang w:val="de-DE"/>
        </w:rPr>
        <w:t>Der erste Absatz erhält folgenden Wortlaut</w:t>
      </w:r>
      <w:r w:rsidRPr="00AF0D45">
        <w:rPr>
          <w:lang w:val="de-DE"/>
        </w:rPr>
        <w:t>:</w:t>
      </w:r>
    </w:p>
    <w:p w14:paraId="065DA7B8" w14:textId="128ABB4B" w:rsidR="006263D6" w:rsidRPr="006263D6" w:rsidRDefault="006263D6" w:rsidP="00C04B1D">
      <w:pPr>
        <w:widowControl w:val="0"/>
        <w:suppressAutoHyphens w:val="0"/>
        <w:overflowPunct w:val="0"/>
        <w:autoSpaceDE w:val="0"/>
        <w:autoSpaceDN w:val="0"/>
        <w:adjustRightInd w:val="0"/>
        <w:spacing w:before="60"/>
        <w:ind w:left="1134" w:right="1134" w:firstLine="1"/>
        <w:jc w:val="both"/>
        <w:textAlignment w:val="baseline"/>
        <w:rPr>
          <w:rFonts w:eastAsia="Calibri"/>
          <w:lang w:val="de-DE" w:eastAsia="fr-FR"/>
        </w:rPr>
      </w:pPr>
      <w:r w:rsidRPr="00AF0D45">
        <w:rPr>
          <w:rFonts w:eastAsia="Calibri"/>
          <w:lang w:val="de-DE" w:eastAsia="fr-FR"/>
        </w:rPr>
        <w:t>„</w:t>
      </w:r>
      <w:r w:rsidRPr="006263D6">
        <w:rPr>
          <w:rFonts w:eastAsia="Calibri"/>
          <w:lang w:val="de-DE" w:eastAsia="fr-FR"/>
        </w:rPr>
        <w:t>Die in b) und c) genannten autonomen Schutzsysteme sind unter Berücksichtigung der für die Schiffsstoffliste vorgesehenen Stoffe entsprechend den dafür erforderlichen Explosionsgruppen/Untergruppen auszuwählen (siehe Unterabschnitt 3.2.3.2 Tabelle C Spalte (16). Austrittsöffnungen der Hochgeschwindigkeitsventile müssen mindestens 2,00 m über Deck angeordnet sein und mindestens 6,00 m von den Öffnungen von Wohnungen, Steuerhaus und Betriebsräumen außerhalb des Bereichs der Ladung entfernt sein. Die Höhe kann auf 1,00 m verringert werden, wenn in einem Umkreis von 1,00 m um die Austrittsöffnung keine Bedienungseinrichtungen vorhanden sind. Dieser Bereich muss als Gefahrenbereich gekennzeichnet sein.</w:t>
      </w:r>
      <w:r w:rsidRPr="00AF0D45">
        <w:rPr>
          <w:rFonts w:eastAsia="Calibri"/>
          <w:lang w:val="de-DE" w:eastAsia="fr-FR"/>
        </w:rPr>
        <w:t>“.</w:t>
      </w:r>
    </w:p>
    <w:p w14:paraId="62B879C2" w14:textId="202C8FE5" w:rsidR="009753E1" w:rsidRPr="00AF0D45" w:rsidRDefault="009753E1" w:rsidP="00C04B1D">
      <w:pPr>
        <w:pStyle w:val="SingleTxtG"/>
        <w:spacing w:before="120"/>
        <w:rPr>
          <w:lang w:val="de-DE"/>
        </w:rPr>
      </w:pPr>
      <w:r w:rsidRPr="00AF0D45">
        <w:rPr>
          <w:i/>
          <w:lang w:val="de-DE"/>
        </w:rPr>
        <w:t>(</w:t>
      </w:r>
      <w:r w:rsidR="00817513" w:rsidRPr="00AF0D45">
        <w:rPr>
          <w:i/>
          <w:lang w:val="de-DE"/>
        </w:rPr>
        <w:t>Referenzdokument</w:t>
      </w:r>
      <w:r w:rsidRPr="00AF0D45">
        <w:rPr>
          <w:i/>
          <w:lang w:val="de-DE"/>
        </w:rPr>
        <w:t>: ECE/TRANS/WP.15/AC.2/2018/32)</w:t>
      </w:r>
    </w:p>
    <w:p w14:paraId="15B131FA" w14:textId="77777777" w:rsidR="00AF0D45" w:rsidRDefault="009753E1" w:rsidP="00D6541B">
      <w:pPr>
        <w:pStyle w:val="HChG"/>
        <w:rPr>
          <w:lang w:val="de-DE"/>
        </w:rPr>
      </w:pPr>
      <w:r w:rsidRPr="00AF0D45">
        <w:rPr>
          <w:lang w:val="de-DE"/>
        </w:rPr>
        <w:br w:type="page"/>
      </w:r>
      <w:bookmarkStart w:id="24" w:name="_Toc397351332"/>
    </w:p>
    <w:p w14:paraId="58669E6F" w14:textId="77777777" w:rsidR="00AF0D45" w:rsidRDefault="00AF0D45" w:rsidP="00D6541B">
      <w:pPr>
        <w:pStyle w:val="HChG"/>
        <w:rPr>
          <w:lang w:val="de-DE"/>
        </w:rPr>
      </w:pPr>
    </w:p>
    <w:p w14:paraId="0438A5FA" w14:textId="49D701A3" w:rsidR="00D6541B" w:rsidRPr="00AF0D45" w:rsidRDefault="00D6541B" w:rsidP="00D6541B">
      <w:pPr>
        <w:pStyle w:val="HChG"/>
        <w:rPr>
          <w:lang w:val="de-DE"/>
        </w:rPr>
      </w:pPr>
      <w:r w:rsidRPr="00AF0D45">
        <w:rPr>
          <w:lang w:val="de-DE"/>
        </w:rPr>
        <w:t>Anlage I</w:t>
      </w:r>
      <w:bookmarkEnd w:id="24"/>
      <w:r w:rsidRPr="00AF0D45">
        <w:rPr>
          <w:lang w:val="de-DE"/>
        </w:rPr>
        <w:t>I</w:t>
      </w:r>
    </w:p>
    <w:p w14:paraId="0C4420B2" w14:textId="77777777" w:rsidR="00D6541B" w:rsidRPr="00AF0D45" w:rsidRDefault="00D6541B" w:rsidP="00D6541B">
      <w:pPr>
        <w:jc w:val="right"/>
        <w:rPr>
          <w:lang w:val="de-DE"/>
        </w:rPr>
      </w:pPr>
      <w:r w:rsidRPr="00AF0D45">
        <w:rPr>
          <w:lang w:val="de-DE"/>
        </w:rPr>
        <w:t>[Original: Englisch und Französisch]</w:t>
      </w:r>
    </w:p>
    <w:p w14:paraId="2CA6FAF9" w14:textId="77777777" w:rsidR="00D6541B" w:rsidRPr="00AF0D45" w:rsidRDefault="00D6541B" w:rsidP="00D6541B">
      <w:pPr>
        <w:jc w:val="right"/>
        <w:rPr>
          <w:lang w:val="de-DE"/>
        </w:rPr>
      </w:pPr>
    </w:p>
    <w:p w14:paraId="1CF6DFAD" w14:textId="77777777" w:rsidR="00D6541B" w:rsidRPr="00AF0D45" w:rsidRDefault="00D6541B" w:rsidP="00C04B1D">
      <w:pPr>
        <w:pStyle w:val="HChG"/>
        <w:spacing w:line="240" w:lineRule="atLeast"/>
        <w:jc w:val="both"/>
        <w:rPr>
          <w:lang w:val="de-DE"/>
        </w:rPr>
      </w:pPr>
      <w:r w:rsidRPr="00AF0D45">
        <w:rPr>
          <w:lang w:val="de-DE"/>
        </w:rPr>
        <w:tab/>
      </w:r>
      <w:r w:rsidRPr="00AF0D45">
        <w:rPr>
          <w:lang w:val="de-DE"/>
        </w:rPr>
        <w:tab/>
        <w:t>Änderungsentwürfe zu der dem ADN beigefügten Verordnung, die am 1. Januar 2019 in Kraft treten sollen</w:t>
      </w:r>
    </w:p>
    <w:p w14:paraId="17A6BE51" w14:textId="747013FC" w:rsidR="00D6541B" w:rsidRPr="00AF0D45" w:rsidRDefault="00D6541B" w:rsidP="00D6541B">
      <w:pPr>
        <w:spacing w:after="120"/>
        <w:ind w:left="1134" w:right="1134"/>
        <w:jc w:val="both"/>
        <w:rPr>
          <w:lang w:val="de-DE"/>
        </w:rPr>
      </w:pPr>
      <w:r w:rsidRPr="00AF0D45">
        <w:rPr>
          <w:lang w:val="de-DE"/>
        </w:rPr>
        <w:t>(Siehe ECE/ADN/45/Add.1)</w:t>
      </w:r>
    </w:p>
    <w:p w14:paraId="72DFDBA0" w14:textId="77777777" w:rsidR="00D6541B" w:rsidRPr="00AF0D45" w:rsidRDefault="00D6541B" w:rsidP="00D6541B">
      <w:pPr>
        <w:pStyle w:val="HChG"/>
        <w:rPr>
          <w:lang w:val="de-DE"/>
        </w:rPr>
      </w:pPr>
      <w:bookmarkStart w:id="25" w:name="_Toc397351334"/>
      <w:r w:rsidRPr="00AF0D45">
        <w:rPr>
          <w:lang w:val="de-DE"/>
        </w:rPr>
        <w:tab/>
      </w:r>
      <w:r w:rsidRPr="00AF0D45">
        <w:rPr>
          <w:lang w:val="de-DE"/>
        </w:rPr>
        <w:br w:type="page"/>
      </w:r>
    </w:p>
    <w:p w14:paraId="28B7291E" w14:textId="77777777" w:rsidR="00AF0D45" w:rsidRDefault="00AF0D45" w:rsidP="00D6541B">
      <w:pPr>
        <w:pStyle w:val="HChG"/>
        <w:rPr>
          <w:lang w:val="de-DE"/>
        </w:rPr>
      </w:pPr>
    </w:p>
    <w:p w14:paraId="10F97DCB" w14:textId="77777777" w:rsidR="00D6541B" w:rsidRPr="00AF0D45" w:rsidRDefault="00D6541B" w:rsidP="00D6541B">
      <w:pPr>
        <w:pStyle w:val="HChG"/>
        <w:rPr>
          <w:lang w:val="de-DE"/>
        </w:rPr>
      </w:pPr>
      <w:r w:rsidRPr="00AF0D45">
        <w:rPr>
          <w:lang w:val="de-DE"/>
        </w:rPr>
        <w:t>Anlage II</w:t>
      </w:r>
      <w:bookmarkEnd w:id="25"/>
      <w:r w:rsidRPr="00AF0D45">
        <w:rPr>
          <w:lang w:val="de-DE"/>
        </w:rPr>
        <w:t>I</w:t>
      </w:r>
    </w:p>
    <w:p w14:paraId="4E5B812E" w14:textId="77777777" w:rsidR="00D6541B" w:rsidRPr="00AF0D45" w:rsidRDefault="00D6541B" w:rsidP="00D6541B">
      <w:pPr>
        <w:jc w:val="right"/>
        <w:rPr>
          <w:lang w:val="de-DE"/>
        </w:rPr>
      </w:pPr>
      <w:r w:rsidRPr="00AF0D45">
        <w:rPr>
          <w:lang w:val="de-DE"/>
        </w:rPr>
        <w:t>[Original: Englisch und Französisch]</w:t>
      </w:r>
    </w:p>
    <w:p w14:paraId="2777908A" w14:textId="77777777" w:rsidR="00D6541B" w:rsidRPr="00AF0D45" w:rsidRDefault="00D6541B" w:rsidP="00D6541B">
      <w:pPr>
        <w:jc w:val="right"/>
        <w:rPr>
          <w:lang w:val="de-DE"/>
        </w:rPr>
      </w:pPr>
    </w:p>
    <w:p w14:paraId="30F0B4E8" w14:textId="4B82CFF0" w:rsidR="00D6541B" w:rsidRPr="00AF0D45" w:rsidRDefault="00D6541B" w:rsidP="00C04B1D">
      <w:pPr>
        <w:pStyle w:val="HChG"/>
        <w:spacing w:line="240" w:lineRule="atLeast"/>
        <w:jc w:val="both"/>
        <w:rPr>
          <w:lang w:val="de-DE"/>
        </w:rPr>
      </w:pPr>
      <w:r w:rsidRPr="00AF0D45">
        <w:rPr>
          <w:lang w:val="de-DE"/>
        </w:rPr>
        <w:tab/>
      </w:r>
      <w:r w:rsidRPr="00AF0D45">
        <w:rPr>
          <w:lang w:val="de-DE"/>
        </w:rPr>
        <w:tab/>
      </w:r>
      <w:bookmarkStart w:id="26" w:name="_Toc397351335"/>
      <w:r w:rsidRPr="00AF0D45">
        <w:rPr>
          <w:lang w:val="de-DE"/>
        </w:rPr>
        <w:t>Vorschläge zur Berichtigung der dem ADN beigefügten Verordnung, die am 1. Januar 2019 in Kraft treten sollen</w:t>
      </w:r>
    </w:p>
    <w:bookmarkEnd w:id="26"/>
    <w:p w14:paraId="1D58F9A8" w14:textId="77777777" w:rsidR="00D6541B" w:rsidRPr="00AF0D45" w:rsidRDefault="00D6541B" w:rsidP="00D6541B">
      <w:pPr>
        <w:spacing w:after="120"/>
        <w:ind w:left="1134" w:right="1134"/>
        <w:jc w:val="both"/>
        <w:rPr>
          <w:lang w:val="de-DE"/>
        </w:rPr>
      </w:pPr>
      <w:r w:rsidRPr="00AF0D45">
        <w:rPr>
          <w:lang w:val="de-DE"/>
        </w:rPr>
        <w:t>(Siehe ECE/ADN/45/Corr.1)</w:t>
      </w:r>
    </w:p>
    <w:p w14:paraId="796E5F8B" w14:textId="77777777" w:rsidR="00D6541B" w:rsidRPr="00AF0D45" w:rsidRDefault="00D6541B" w:rsidP="00D6541B">
      <w:pPr>
        <w:pStyle w:val="HChG"/>
        <w:rPr>
          <w:lang w:val="de-DE"/>
        </w:rPr>
      </w:pPr>
      <w:r w:rsidRPr="00AF0D45">
        <w:rPr>
          <w:lang w:val="de-DE"/>
        </w:rPr>
        <w:br w:type="page"/>
      </w:r>
      <w:r w:rsidRPr="00AF0D45">
        <w:rPr>
          <w:lang w:val="de-DE"/>
        </w:rPr>
        <w:lastRenderedPageBreak/>
        <w:t>Anlage IV</w:t>
      </w:r>
    </w:p>
    <w:p w14:paraId="1A545C92" w14:textId="77777777" w:rsidR="00D6541B" w:rsidRPr="00AF0D45" w:rsidRDefault="00D6541B" w:rsidP="00D6541B">
      <w:pPr>
        <w:jc w:val="right"/>
        <w:rPr>
          <w:lang w:val="de-DE"/>
        </w:rPr>
      </w:pPr>
      <w:r w:rsidRPr="00AF0D45">
        <w:rPr>
          <w:lang w:val="de-DE"/>
        </w:rPr>
        <w:t>[Original: Englisch und Französisch]</w:t>
      </w:r>
    </w:p>
    <w:p w14:paraId="3170174B" w14:textId="77777777" w:rsidR="00D6541B" w:rsidRPr="00AF0D45" w:rsidRDefault="00D6541B" w:rsidP="00D6541B">
      <w:pPr>
        <w:jc w:val="right"/>
        <w:rPr>
          <w:lang w:val="de-DE"/>
        </w:rPr>
      </w:pPr>
    </w:p>
    <w:p w14:paraId="343A7250" w14:textId="2D27CAD8" w:rsidR="00D6541B" w:rsidRPr="00AF0D45" w:rsidRDefault="00D6541B" w:rsidP="00C04B1D">
      <w:pPr>
        <w:pStyle w:val="HChG"/>
        <w:spacing w:line="240" w:lineRule="atLeast"/>
        <w:jc w:val="both"/>
        <w:rPr>
          <w:b w:val="0"/>
          <w:bCs/>
          <w:sz w:val="22"/>
          <w:szCs w:val="16"/>
          <w:lang w:val="de-DE"/>
        </w:rPr>
      </w:pPr>
      <w:r w:rsidRPr="00AF0D45">
        <w:rPr>
          <w:lang w:val="de-DE"/>
        </w:rPr>
        <w:tab/>
      </w:r>
      <w:r w:rsidRPr="00AF0D45">
        <w:rPr>
          <w:lang w:val="de-DE"/>
        </w:rPr>
        <w:tab/>
        <w:t xml:space="preserve">Vorschläge zur Berichtigung der dem ADN beigefügten Verordnung </w:t>
      </w:r>
      <w:r w:rsidRPr="00AF0D45">
        <w:rPr>
          <w:b w:val="0"/>
          <w:bCs/>
          <w:sz w:val="22"/>
          <w:szCs w:val="16"/>
          <w:lang w:val="de-DE"/>
        </w:rPr>
        <w:t>(vorbehaltlich der Zustimmung durch die Vertragsparteien)</w:t>
      </w:r>
    </w:p>
    <w:p w14:paraId="41402747" w14:textId="77777777" w:rsidR="00D6541B" w:rsidRPr="00AF0D45" w:rsidRDefault="00D6541B" w:rsidP="00D6541B">
      <w:pPr>
        <w:pStyle w:val="H23G"/>
        <w:rPr>
          <w:lang w:val="de-DE"/>
        </w:rPr>
      </w:pPr>
      <w:r w:rsidRPr="00AF0D45">
        <w:rPr>
          <w:lang w:val="de-DE"/>
        </w:rPr>
        <w:tab/>
        <w:t>1.</w:t>
      </w:r>
      <w:r w:rsidRPr="00AF0D45">
        <w:rPr>
          <w:lang w:val="de-DE"/>
        </w:rPr>
        <w:tab/>
        <w:t>Kapitel 1.8, 1.8.5.3 a)</w:t>
      </w:r>
    </w:p>
    <w:p w14:paraId="552F9BD1" w14:textId="77777777" w:rsidR="00D6541B" w:rsidRPr="00AF0D45" w:rsidRDefault="00D6541B" w:rsidP="00D6541B">
      <w:pPr>
        <w:spacing w:before="120" w:after="120"/>
        <w:ind w:left="1134" w:right="1134"/>
        <w:jc w:val="both"/>
        <w:rPr>
          <w:iCs/>
          <w:lang w:val="de-DE"/>
        </w:rPr>
      </w:pPr>
      <w:r w:rsidRPr="00AF0D45">
        <w:rPr>
          <w:iCs/>
          <w:lang w:val="de-DE"/>
        </w:rPr>
        <w:t>[Die Änderung</w:t>
      </w:r>
      <w:r w:rsidRPr="00AF0D45">
        <w:rPr>
          <w:bCs/>
          <w:iCs/>
          <w:lang w:val="de-DE"/>
        </w:rPr>
        <w:t xml:space="preserve"> </w:t>
      </w:r>
      <w:r w:rsidRPr="00AF0D45">
        <w:rPr>
          <w:iCs/>
          <w:lang w:val="de-DE"/>
        </w:rPr>
        <w:t>in der französischen Fassung hat keine Auswirkungen auf den deutschen Text.]</w:t>
      </w:r>
    </w:p>
    <w:p w14:paraId="1E7996A4" w14:textId="77777777" w:rsidR="00D6541B" w:rsidRPr="00AF0D45" w:rsidRDefault="00D6541B" w:rsidP="00D6541B">
      <w:pPr>
        <w:pStyle w:val="SingleTxtG"/>
        <w:rPr>
          <w:lang w:val="de-DE"/>
        </w:rPr>
      </w:pPr>
      <w:r w:rsidRPr="00AF0D45">
        <w:rPr>
          <w:i/>
          <w:lang w:val="de-DE"/>
        </w:rPr>
        <w:t>(Referenzdokument: informelles Dokument INF.15)</w:t>
      </w:r>
    </w:p>
    <w:p w14:paraId="3994D2C4" w14:textId="77777777" w:rsidR="00D6541B" w:rsidRPr="00AF0D45" w:rsidRDefault="00D6541B" w:rsidP="00D6541B">
      <w:pPr>
        <w:pStyle w:val="H23G"/>
        <w:rPr>
          <w:lang w:val="de-DE"/>
        </w:rPr>
      </w:pPr>
      <w:r w:rsidRPr="00AF0D45">
        <w:rPr>
          <w:lang w:val="de-DE"/>
        </w:rPr>
        <w:tab/>
        <w:t>2.</w:t>
      </w:r>
      <w:r w:rsidRPr="00AF0D45">
        <w:rPr>
          <w:lang w:val="de-DE"/>
        </w:rPr>
        <w:tab/>
        <w:t>Kapitel 3.2, Tabelle C, UN-Nummer 1203, Spalte (2), alle Eintragungen</w:t>
      </w:r>
    </w:p>
    <w:p w14:paraId="1D668418" w14:textId="77777777" w:rsidR="00D6541B" w:rsidRPr="00AF0D45" w:rsidRDefault="00D6541B" w:rsidP="00D6541B">
      <w:pPr>
        <w:spacing w:before="120" w:after="120"/>
        <w:ind w:left="1134" w:right="1134"/>
        <w:jc w:val="both"/>
        <w:rPr>
          <w:iCs/>
          <w:lang w:val="de-DE"/>
        </w:rPr>
      </w:pPr>
      <w:r w:rsidRPr="00AF0D45">
        <w:rPr>
          <w:iCs/>
          <w:lang w:val="de-DE"/>
        </w:rPr>
        <w:t>[Die Änderung</w:t>
      </w:r>
      <w:r w:rsidRPr="00AF0D45">
        <w:rPr>
          <w:bCs/>
          <w:iCs/>
          <w:lang w:val="de-DE"/>
        </w:rPr>
        <w:t xml:space="preserve"> </w:t>
      </w:r>
      <w:r w:rsidRPr="00AF0D45">
        <w:rPr>
          <w:iCs/>
          <w:lang w:val="de-DE"/>
        </w:rPr>
        <w:t>in der französischen Fassung hat keine Auswirkungen auf den deutschen Text.]</w:t>
      </w:r>
    </w:p>
    <w:p w14:paraId="00E64CDD" w14:textId="77777777" w:rsidR="00D6541B" w:rsidRPr="00AF0D45" w:rsidRDefault="00D6541B" w:rsidP="00D6541B">
      <w:pPr>
        <w:pStyle w:val="SingleTxtG"/>
        <w:rPr>
          <w:lang w:val="de-DE"/>
        </w:rPr>
      </w:pPr>
      <w:r w:rsidRPr="00AF0D45">
        <w:rPr>
          <w:i/>
          <w:lang w:val="de-DE"/>
        </w:rPr>
        <w:t>(Referenzdokument: ECE/TRANS/WP.15/AC.2/2018/41)</w:t>
      </w:r>
    </w:p>
    <w:p w14:paraId="1E1F59FB" w14:textId="77777777" w:rsidR="00D6541B" w:rsidRPr="00AF0D45" w:rsidRDefault="00D6541B" w:rsidP="00D6541B">
      <w:pPr>
        <w:pStyle w:val="H23G"/>
        <w:rPr>
          <w:lang w:val="de-DE"/>
        </w:rPr>
      </w:pPr>
      <w:r w:rsidRPr="00AF0D45">
        <w:rPr>
          <w:lang w:val="de-DE"/>
        </w:rPr>
        <w:tab/>
        <w:t>3</w:t>
      </w:r>
      <w:r w:rsidRPr="00AF0D45">
        <w:rPr>
          <w:lang w:val="de-DE"/>
        </w:rPr>
        <w:tab/>
        <w:t>Kapitel 5.4, 5.4.1.1.3</w:t>
      </w:r>
    </w:p>
    <w:p w14:paraId="33CBC5A8" w14:textId="77777777" w:rsidR="00D6541B" w:rsidRPr="00AF0D45" w:rsidRDefault="00D6541B" w:rsidP="00D6541B">
      <w:pPr>
        <w:pStyle w:val="SingleTxtG"/>
        <w:rPr>
          <w:i/>
          <w:lang w:val="de-DE"/>
        </w:rPr>
      </w:pPr>
      <w:r w:rsidRPr="00AF0D45">
        <w:rPr>
          <w:rFonts w:eastAsia="SimSun"/>
          <w:lang w:val="de-DE" w:eastAsia="zh-CN"/>
        </w:rPr>
        <w:t>[Die Änderung in der französischen Fassung hat keine Auswirkungen auf den deutschen Text.]</w:t>
      </w:r>
    </w:p>
    <w:p w14:paraId="2B6A8A59" w14:textId="77777777" w:rsidR="00D6541B" w:rsidRPr="00AF0D45" w:rsidRDefault="00D6541B" w:rsidP="00D6541B">
      <w:pPr>
        <w:pStyle w:val="SingleTxtG"/>
        <w:rPr>
          <w:lang w:val="de-DE"/>
        </w:rPr>
      </w:pPr>
      <w:r w:rsidRPr="00AF0D45">
        <w:rPr>
          <w:i/>
          <w:lang w:val="de-DE"/>
        </w:rPr>
        <w:t>(Referenzdokument: informelles Dokument INF.13)</w:t>
      </w:r>
    </w:p>
    <w:p w14:paraId="314A3F07" w14:textId="77777777" w:rsidR="00D6541B" w:rsidRPr="00AF0D45" w:rsidRDefault="00D6541B" w:rsidP="00D6541B">
      <w:pPr>
        <w:pStyle w:val="H23G"/>
        <w:rPr>
          <w:lang w:val="de-DE"/>
        </w:rPr>
      </w:pPr>
      <w:r w:rsidRPr="00AF0D45">
        <w:rPr>
          <w:lang w:val="de-DE"/>
        </w:rPr>
        <w:tab/>
        <w:t>4.</w:t>
      </w:r>
      <w:r w:rsidRPr="00AF0D45">
        <w:rPr>
          <w:lang w:val="de-DE"/>
        </w:rPr>
        <w:tab/>
        <w:t>Kapitel 5.4, 5.4.2, Überschrift</w:t>
      </w:r>
    </w:p>
    <w:p w14:paraId="0860C4B4" w14:textId="77777777" w:rsidR="00D6541B" w:rsidRPr="00AF0D45" w:rsidRDefault="00D6541B" w:rsidP="00D6541B">
      <w:pPr>
        <w:pStyle w:val="SingleTxtG"/>
        <w:rPr>
          <w:lang w:val="de-DE"/>
        </w:rPr>
      </w:pPr>
      <w:r w:rsidRPr="00AF0D45">
        <w:rPr>
          <w:lang w:val="de-DE"/>
        </w:rPr>
        <w:t xml:space="preserve">„Container- oder Wagen-/Fahrzeugpackzertifikat“ </w:t>
      </w:r>
      <w:r w:rsidRPr="00AF0D45">
        <w:rPr>
          <w:i/>
          <w:lang w:val="de-DE"/>
        </w:rPr>
        <w:t>ändern in:</w:t>
      </w:r>
      <w:r w:rsidRPr="00AF0D45">
        <w:rPr>
          <w:lang w:val="de-DE"/>
        </w:rPr>
        <w:t xml:space="preserve"> „Container-/ Fahrzeugpackzertifikat“.</w:t>
      </w:r>
    </w:p>
    <w:p w14:paraId="0366DE5C" w14:textId="77777777" w:rsidR="00D6541B" w:rsidRPr="00AF0D45" w:rsidRDefault="00D6541B" w:rsidP="00D6541B">
      <w:pPr>
        <w:pStyle w:val="SingleTxtG"/>
        <w:rPr>
          <w:lang w:val="de-DE"/>
        </w:rPr>
      </w:pPr>
      <w:r w:rsidRPr="00AF0D45">
        <w:rPr>
          <w:i/>
          <w:lang w:val="de-DE"/>
        </w:rPr>
        <w:t>(Referenzdokument: ECE/TRANS/WP.15/AC.2/2018/28)</w:t>
      </w:r>
    </w:p>
    <w:p w14:paraId="1C6D2AA8" w14:textId="77777777" w:rsidR="00D6541B" w:rsidRPr="00AF0D45" w:rsidRDefault="00D6541B" w:rsidP="00D6541B">
      <w:pPr>
        <w:pStyle w:val="H23G"/>
        <w:rPr>
          <w:lang w:val="de-DE"/>
        </w:rPr>
      </w:pPr>
      <w:bookmarkStart w:id="27" w:name="_Hlk522023329"/>
      <w:r w:rsidRPr="00AF0D45">
        <w:rPr>
          <w:lang w:val="de-DE"/>
        </w:rPr>
        <w:tab/>
        <w:t>5.</w:t>
      </w:r>
      <w:r w:rsidRPr="00AF0D45">
        <w:rPr>
          <w:lang w:val="de-DE"/>
        </w:rPr>
        <w:tab/>
        <w:t>Kapitel 8.1, 8.1.2.1 b)</w:t>
      </w:r>
    </w:p>
    <w:bookmarkEnd w:id="27"/>
    <w:p w14:paraId="230A25D8" w14:textId="77777777" w:rsidR="00D6541B" w:rsidRPr="00AF0D45" w:rsidRDefault="00D6541B" w:rsidP="00D6541B">
      <w:pPr>
        <w:spacing w:after="120"/>
        <w:ind w:left="1134" w:right="1134"/>
        <w:jc w:val="both"/>
        <w:rPr>
          <w:lang w:val="de-DE"/>
        </w:rPr>
      </w:pPr>
      <w:r w:rsidRPr="00AF0D45">
        <w:rPr>
          <w:lang w:val="de-DE"/>
        </w:rPr>
        <w:t xml:space="preserve">„Großcontainer-, Fahrzeug- oder Wagenpackzertifikat (siehe Abschnitt 5.4.2)“ </w:t>
      </w:r>
      <w:r w:rsidRPr="00AF0D45">
        <w:rPr>
          <w:i/>
          <w:lang w:val="de-DE"/>
        </w:rPr>
        <w:t>ändern in:</w:t>
      </w:r>
      <w:r w:rsidRPr="00AF0D45">
        <w:rPr>
          <w:lang w:val="de-DE"/>
        </w:rPr>
        <w:t xml:space="preserve"> „Container-/ Fahrzeugpackzertifikat (siehe Abschnitt 5.4.2)“.</w:t>
      </w:r>
    </w:p>
    <w:p w14:paraId="575A9124" w14:textId="77777777" w:rsidR="00D6541B" w:rsidRPr="00AF0D45" w:rsidRDefault="00D6541B" w:rsidP="00D6541B">
      <w:pPr>
        <w:pStyle w:val="SingleTxtG"/>
        <w:rPr>
          <w:i/>
          <w:lang w:val="de-DE"/>
        </w:rPr>
      </w:pPr>
      <w:r w:rsidRPr="00AF0D45">
        <w:rPr>
          <w:i/>
          <w:lang w:val="de-DE"/>
        </w:rPr>
        <w:t>(Referenzdokument: ECE/TRANS/WP.15/AC.2/2018/28)</w:t>
      </w:r>
    </w:p>
    <w:p w14:paraId="487F0714" w14:textId="77777777" w:rsidR="00D6541B" w:rsidRPr="00AF0D45" w:rsidRDefault="00D6541B" w:rsidP="00D6541B">
      <w:pPr>
        <w:pStyle w:val="HChG"/>
        <w:rPr>
          <w:lang w:val="de-DE"/>
        </w:rPr>
      </w:pPr>
      <w:r w:rsidRPr="00AF0D45">
        <w:rPr>
          <w:b w:val="0"/>
          <w:lang w:val="de-DE"/>
        </w:rPr>
        <w:br w:type="page"/>
      </w:r>
      <w:r w:rsidRPr="00AF0D45">
        <w:rPr>
          <w:lang w:val="de-DE"/>
        </w:rPr>
        <w:lastRenderedPageBreak/>
        <w:t>Anlage V</w:t>
      </w:r>
    </w:p>
    <w:p w14:paraId="707D62BB" w14:textId="77777777" w:rsidR="00D6541B" w:rsidRPr="00AF0D45" w:rsidRDefault="00D6541B" w:rsidP="00D6541B">
      <w:pPr>
        <w:keepNext/>
        <w:keepLines/>
        <w:tabs>
          <w:tab w:val="right" w:pos="851"/>
        </w:tabs>
        <w:spacing w:before="360" w:after="240" w:line="300" w:lineRule="exact"/>
        <w:ind w:left="1134" w:right="1134" w:hanging="1134"/>
        <w:rPr>
          <w:b/>
          <w:sz w:val="28"/>
          <w:lang w:val="de-DE"/>
        </w:rPr>
      </w:pPr>
    </w:p>
    <w:p w14:paraId="13EBCC88" w14:textId="6EEC91F2" w:rsidR="00D6541B" w:rsidRPr="00AF0D45" w:rsidRDefault="00D6541B" w:rsidP="00AF0D45">
      <w:pPr>
        <w:ind w:left="1134"/>
        <w:rPr>
          <w:sz w:val="22"/>
          <w:szCs w:val="22"/>
          <w:lang w:val="de-DE"/>
        </w:rPr>
      </w:pPr>
      <w:r w:rsidRPr="00AF0D45">
        <w:rPr>
          <w:b/>
          <w:sz w:val="28"/>
          <w:lang w:val="de-DE"/>
        </w:rPr>
        <w:t>Korrekturen am Dokument ECE/TRANS/258 (ADN-Publikation 2017)</w:t>
      </w:r>
    </w:p>
    <w:p w14:paraId="4EF12380" w14:textId="58122784" w:rsidR="00D6541B" w:rsidRPr="00AF0D45" w:rsidRDefault="00D6541B" w:rsidP="00AF0D45">
      <w:pPr>
        <w:ind w:left="1134"/>
        <w:rPr>
          <w:lang w:val="de-DE"/>
        </w:rPr>
      </w:pPr>
      <w:r w:rsidRPr="00AF0D45">
        <w:rPr>
          <w:lang w:val="de-DE"/>
        </w:rPr>
        <w:t>(benötigen nicht die Zustimmung der Vertragsparteien)</w:t>
      </w:r>
    </w:p>
    <w:p w14:paraId="32610E13" w14:textId="77777777" w:rsidR="00AF0D45" w:rsidRDefault="00AF0D45" w:rsidP="00D6541B">
      <w:pPr>
        <w:pStyle w:val="H23G"/>
        <w:rPr>
          <w:lang w:val="de-DE"/>
        </w:rPr>
      </w:pPr>
      <w:bookmarkStart w:id="28" w:name="_Hlk522022687"/>
    </w:p>
    <w:p w14:paraId="025B35A4" w14:textId="77777777" w:rsidR="00D6541B" w:rsidRPr="00AF0D45" w:rsidRDefault="00D6541B" w:rsidP="00D6541B">
      <w:pPr>
        <w:pStyle w:val="H23G"/>
        <w:rPr>
          <w:lang w:val="de-DE"/>
        </w:rPr>
      </w:pPr>
      <w:r w:rsidRPr="00AF0D45">
        <w:rPr>
          <w:lang w:val="de-DE"/>
        </w:rPr>
        <w:tab/>
      </w:r>
      <w:r w:rsidRPr="00AF0D45">
        <w:rPr>
          <w:lang w:val="de-DE"/>
        </w:rPr>
        <w:tab/>
        <w:t>Inhaltsverzeichnis</w:t>
      </w:r>
    </w:p>
    <w:p w14:paraId="002595EB" w14:textId="3D3E6C64" w:rsidR="00D6541B" w:rsidRPr="00AF0D45" w:rsidRDefault="00D6541B" w:rsidP="00D6541B">
      <w:pPr>
        <w:pStyle w:val="SingleTxtG"/>
        <w:rPr>
          <w:lang w:val="de-DE"/>
        </w:rPr>
      </w:pPr>
      <w:r w:rsidRPr="00AF0D45">
        <w:rPr>
          <w:lang w:val="de-DE"/>
        </w:rPr>
        <w:t xml:space="preserve">„5.4.2 Container- oder Wagen- Fahrzeugpackzertifikat“ </w:t>
      </w:r>
      <w:r w:rsidRPr="00AF0D45">
        <w:rPr>
          <w:i/>
          <w:lang w:val="de-DE"/>
        </w:rPr>
        <w:t>ändern in:</w:t>
      </w:r>
      <w:r w:rsidRPr="00AF0D45">
        <w:rPr>
          <w:lang w:val="de-DE"/>
        </w:rPr>
        <w:t xml:space="preserve"> „5.4.2 Cont</w:t>
      </w:r>
      <w:r w:rsidR="00B9536B">
        <w:rPr>
          <w:lang w:val="de-DE"/>
        </w:rPr>
        <w:t>ainer-/ Fahrzeugpackzertifikat“.</w:t>
      </w:r>
    </w:p>
    <w:p w14:paraId="3CF51AD6" w14:textId="77777777" w:rsidR="00D6541B" w:rsidRPr="00AF0D45" w:rsidRDefault="00D6541B" w:rsidP="00D6541B">
      <w:pPr>
        <w:pStyle w:val="SingleTxtG"/>
        <w:rPr>
          <w:i/>
          <w:lang w:val="de-DE"/>
        </w:rPr>
      </w:pPr>
      <w:r w:rsidRPr="00AF0D45">
        <w:rPr>
          <w:i/>
          <w:lang w:val="de-DE"/>
        </w:rPr>
        <w:t>(Referenzdokument: ECE/TRANS/WP.15/AC.2/2018/28)</w:t>
      </w:r>
      <w:bookmarkEnd w:id="28"/>
    </w:p>
    <w:p w14:paraId="221352A3" w14:textId="77777777" w:rsidR="00D6541B" w:rsidRPr="00AF0D45" w:rsidRDefault="00D6541B" w:rsidP="00D6541B">
      <w:pPr>
        <w:keepNext/>
        <w:keepLines/>
        <w:tabs>
          <w:tab w:val="right" w:pos="851"/>
        </w:tabs>
        <w:spacing w:before="240" w:after="120" w:line="240" w:lineRule="exact"/>
        <w:ind w:left="1134" w:right="1134" w:hanging="1134"/>
        <w:rPr>
          <w:b/>
          <w:bCs/>
          <w:lang w:val="de-DE"/>
        </w:rPr>
      </w:pPr>
      <w:r w:rsidRPr="00AF0D45">
        <w:rPr>
          <w:b/>
          <w:lang w:val="de-DE"/>
        </w:rPr>
        <w:tab/>
      </w:r>
      <w:r w:rsidRPr="00AF0D45">
        <w:rPr>
          <w:b/>
          <w:lang w:val="de-DE"/>
        </w:rPr>
        <w:tab/>
        <w:t xml:space="preserve">Kapitel 9.1, </w:t>
      </w:r>
      <w:bookmarkStart w:id="29" w:name="_Hlk523162570"/>
      <w:r w:rsidRPr="00AF0D45">
        <w:rPr>
          <w:b/>
          <w:bCs/>
          <w:lang w:val="de-DE"/>
        </w:rPr>
        <w:t>9.1.0.41.3 und 9.2.0.41.3</w:t>
      </w:r>
      <w:bookmarkEnd w:id="29"/>
    </w:p>
    <w:p w14:paraId="5A560B0F" w14:textId="77777777" w:rsidR="00D6541B" w:rsidRPr="00AF0D45" w:rsidRDefault="00D6541B" w:rsidP="00D6541B">
      <w:pPr>
        <w:pStyle w:val="SingleTxtG"/>
        <w:rPr>
          <w:i/>
          <w:lang w:val="de-DE"/>
        </w:rPr>
      </w:pPr>
      <w:r w:rsidRPr="00AF0D45">
        <w:rPr>
          <w:rFonts w:eastAsia="SimSun"/>
          <w:lang w:val="de-DE" w:eastAsia="zh-CN"/>
        </w:rPr>
        <w:t>[Die Änderung in der englischen Fassung hat keine Auswirkungen auf den deutschen Text.]</w:t>
      </w:r>
    </w:p>
    <w:p w14:paraId="31F3221B" w14:textId="77777777" w:rsidR="00D6541B" w:rsidRPr="00AF0D45" w:rsidRDefault="00D6541B" w:rsidP="00D6541B">
      <w:pPr>
        <w:pStyle w:val="SingleTxtG"/>
        <w:rPr>
          <w:i/>
          <w:lang w:val="de-DE"/>
        </w:rPr>
      </w:pPr>
      <w:r w:rsidRPr="00AF0D45">
        <w:rPr>
          <w:i/>
          <w:lang w:val="de-DE"/>
        </w:rPr>
        <w:t>(Referenzdokument: ECE/TRANS/WP.15/AC.2/2018/26)</w:t>
      </w:r>
    </w:p>
    <w:p w14:paraId="57702F9D" w14:textId="77777777" w:rsidR="00D6541B" w:rsidRPr="005968EC" w:rsidRDefault="00D6541B" w:rsidP="00D6541B">
      <w:pPr>
        <w:pStyle w:val="SingleTxtG"/>
        <w:spacing w:before="240" w:after="0"/>
        <w:jc w:val="center"/>
        <w:rPr>
          <w:lang w:val="de-DE"/>
        </w:rPr>
      </w:pPr>
      <w:r w:rsidRPr="00AF0D45">
        <w:rPr>
          <w:lang w:val="de-DE"/>
        </w:rPr>
        <w:t>***</w:t>
      </w:r>
    </w:p>
    <w:p w14:paraId="163640B4" w14:textId="42AD0F81" w:rsidR="009753E1" w:rsidRPr="005968EC" w:rsidRDefault="009753E1" w:rsidP="00D6541B">
      <w:pPr>
        <w:pStyle w:val="HChG"/>
        <w:rPr>
          <w:u w:val="single"/>
          <w:lang w:val="de-DE"/>
        </w:rPr>
      </w:pPr>
    </w:p>
    <w:sectPr w:rsidR="009753E1" w:rsidRPr="005968EC" w:rsidSect="00817513">
      <w:headerReference w:type="even" r:id="rId9"/>
      <w:headerReference w:type="default" r:id="rId10"/>
      <w:footerReference w:type="even" r:id="rId11"/>
      <w:footerReference w:type="default" r:id="rId12"/>
      <w:endnotePr>
        <w:numFmt w:val="decimal"/>
      </w:endnotePr>
      <w:pgSz w:w="11907" w:h="16840" w:code="9"/>
      <w:pgMar w:top="1361" w:right="1134" w:bottom="1361"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8CC1" w14:textId="77777777" w:rsidR="00B403C0" w:rsidRDefault="00B403C0"/>
  </w:endnote>
  <w:endnote w:type="continuationSeparator" w:id="0">
    <w:p w14:paraId="1FA5F117" w14:textId="77777777" w:rsidR="00B403C0" w:rsidRDefault="00B403C0"/>
  </w:endnote>
  <w:endnote w:type="continuationNotice" w:id="1">
    <w:p w14:paraId="04D897DA" w14:textId="77777777" w:rsidR="00B403C0" w:rsidRDefault="00B40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1C6C" w14:textId="774C9CE2" w:rsidR="00B403C0" w:rsidRPr="00210E25" w:rsidRDefault="00B403C0" w:rsidP="00817513">
    <w:pPr>
      <w:spacing w:line="240" w:lineRule="auto"/>
      <w:jc w:val="right"/>
      <w:rPr>
        <w:lang w:val="fr-FR"/>
      </w:rPr>
    </w:pPr>
    <w:r w:rsidRPr="003E4756">
      <w:rPr>
        <w:rFonts w:ascii="Arial" w:eastAsia="SimSun" w:hAnsi="Arial"/>
        <w:noProof/>
        <w:sz w:val="12"/>
        <w:szCs w:val="24"/>
        <w:lang w:val="fr-FR" w:eastAsia="zh-CN"/>
      </w:rPr>
      <w:t>mm_ba/adn_wp15_ac2_6</w:t>
    </w:r>
    <w:r>
      <w:rPr>
        <w:rFonts w:ascii="Arial" w:eastAsia="SimSun" w:hAnsi="Arial"/>
        <w:noProof/>
        <w:sz w:val="12"/>
        <w:szCs w:val="24"/>
        <w:lang w:val="fr-FR" w:eastAsia="zh-CN"/>
      </w:rPr>
      <w:t>8</w:t>
    </w:r>
    <w:r w:rsidRPr="003E475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FC6C" w14:textId="77777777" w:rsidR="00B403C0" w:rsidRPr="00210E25" w:rsidRDefault="00B403C0" w:rsidP="00817513">
    <w:pPr>
      <w:spacing w:line="240" w:lineRule="auto"/>
      <w:jc w:val="right"/>
      <w:rPr>
        <w:lang w:val="fr-FR"/>
      </w:rPr>
    </w:pPr>
    <w:r w:rsidRPr="003E4756">
      <w:rPr>
        <w:rFonts w:ascii="Arial" w:eastAsia="SimSun" w:hAnsi="Arial"/>
        <w:noProof/>
        <w:sz w:val="12"/>
        <w:szCs w:val="24"/>
        <w:lang w:val="fr-FR" w:eastAsia="zh-CN"/>
      </w:rPr>
      <w:t>mm_ba/adn_wp15_ac2_6</w:t>
    </w:r>
    <w:r>
      <w:rPr>
        <w:rFonts w:ascii="Arial" w:eastAsia="SimSun" w:hAnsi="Arial"/>
        <w:noProof/>
        <w:sz w:val="12"/>
        <w:szCs w:val="24"/>
        <w:lang w:val="fr-FR" w:eastAsia="zh-CN"/>
      </w:rPr>
      <w:t>8</w:t>
    </w:r>
    <w:r w:rsidRPr="003E4756">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82CC" w14:textId="77777777" w:rsidR="00B403C0" w:rsidRPr="000B175B" w:rsidRDefault="00B403C0" w:rsidP="000B175B">
      <w:pPr>
        <w:tabs>
          <w:tab w:val="right" w:pos="2155"/>
        </w:tabs>
        <w:spacing w:after="80"/>
        <w:ind w:left="680"/>
        <w:rPr>
          <w:u w:val="single"/>
        </w:rPr>
      </w:pPr>
      <w:r>
        <w:rPr>
          <w:u w:val="single"/>
        </w:rPr>
        <w:tab/>
      </w:r>
    </w:p>
  </w:footnote>
  <w:footnote w:type="continuationSeparator" w:id="0">
    <w:p w14:paraId="14CA534A" w14:textId="77777777" w:rsidR="00B403C0" w:rsidRPr="00FC68B7" w:rsidRDefault="00B403C0" w:rsidP="00FC68B7">
      <w:pPr>
        <w:tabs>
          <w:tab w:val="left" w:pos="2155"/>
        </w:tabs>
        <w:spacing w:after="80"/>
        <w:ind w:left="680"/>
        <w:rPr>
          <w:u w:val="single"/>
        </w:rPr>
      </w:pPr>
      <w:r>
        <w:rPr>
          <w:u w:val="single"/>
        </w:rPr>
        <w:tab/>
      </w:r>
    </w:p>
  </w:footnote>
  <w:footnote w:type="continuationNotice" w:id="1">
    <w:p w14:paraId="1B52D749" w14:textId="77777777" w:rsidR="00B403C0" w:rsidRDefault="00B403C0"/>
  </w:footnote>
  <w:footnote w:id="2">
    <w:p w14:paraId="7D1934D0" w14:textId="21154BF6" w:rsidR="00B403C0" w:rsidRPr="00210E25" w:rsidRDefault="00B403C0" w:rsidP="00B403C0">
      <w:pPr>
        <w:pStyle w:val="FootnoteText"/>
        <w:rPr>
          <w:lang w:val="de-DE"/>
        </w:rPr>
      </w:pPr>
      <w:r>
        <w:tab/>
      </w:r>
      <w:r w:rsidRPr="0058649E">
        <w:rPr>
          <w:rStyle w:val="FootnoteReference"/>
        </w:rPr>
        <w:sym w:font="Symbol" w:char="F02A"/>
      </w:r>
      <w:r w:rsidRPr="00210E25">
        <w:rPr>
          <w:lang w:val="de-DE"/>
        </w:rPr>
        <w:t xml:space="preserve"> </w:t>
      </w:r>
      <w:r w:rsidRPr="00210E25">
        <w:rPr>
          <w:lang w:val="de-DE"/>
        </w:rPr>
        <w:tab/>
      </w:r>
      <w:r w:rsidRPr="0001371C">
        <w:rPr>
          <w:lang w:val="de-DE"/>
        </w:rPr>
        <w:t xml:space="preserve">Von der UN-ECE in Englisch, Französisch und Russisch unter dem Aktenzeichen </w:t>
      </w:r>
      <w:r>
        <w:rPr>
          <w:lang w:val="de-DE"/>
        </w:rPr>
        <w:t>ECE/TRANS</w:t>
      </w:r>
      <w:r w:rsidRPr="0001371C">
        <w:rPr>
          <w:lang w:val="de-DE"/>
        </w:rPr>
        <w:t>/WP.15/AC.2/6</w:t>
      </w:r>
      <w:r>
        <w:rPr>
          <w:lang w:val="de-DE"/>
        </w:rPr>
        <w:t>8</w:t>
      </w:r>
      <w:r w:rsidRPr="0001371C">
        <w:rPr>
          <w:lang w:val="de-DE"/>
        </w:rPr>
        <w:t xml:space="preserve"> verteilt.</w:t>
      </w:r>
    </w:p>
    <w:p w14:paraId="4B0C0679" w14:textId="77777777" w:rsidR="00B403C0" w:rsidRPr="00210E25" w:rsidRDefault="00B403C0" w:rsidP="00B403C0">
      <w:pPr>
        <w:pStyle w:val="FootnoteText"/>
        <w:rPr>
          <w:lang w:val="de-DE"/>
        </w:rPr>
      </w:pPr>
    </w:p>
  </w:footnote>
  <w:footnote w:id="3">
    <w:p w14:paraId="18EB5C20" w14:textId="0DA5B88C" w:rsidR="00B403C0" w:rsidRPr="00D6541B" w:rsidRDefault="00B403C0" w:rsidP="0069046B">
      <w:pPr>
        <w:pStyle w:val="FootnoteText"/>
        <w:rPr>
          <w:lang w:val="de-DE"/>
        </w:rPr>
      </w:pPr>
      <w:r>
        <w:tab/>
      </w:r>
      <w:r>
        <w:rPr>
          <w:rStyle w:val="FootnoteReference"/>
        </w:rPr>
        <w:footnoteRef/>
      </w:r>
      <w:r>
        <w:t xml:space="preserve"> </w:t>
      </w:r>
      <w:r>
        <w:tab/>
      </w:r>
      <w:r w:rsidRPr="0069046B">
        <w:rPr>
          <w:lang w:val="de-DE"/>
        </w:rPr>
        <w:t>Richtlinie 2012/18/EU des Europäischen Parlaments und des Rates vom 4. Juli 2012 zur Beherrschung der Gefahren schwerer Unfälle mit gefährlichen Stoffen.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F47E" w14:textId="126BB186" w:rsidR="00B403C0" w:rsidRPr="00817513" w:rsidRDefault="00B403C0" w:rsidP="00817513">
    <w:pPr>
      <w:spacing w:line="240" w:lineRule="auto"/>
      <w:rPr>
        <w:rFonts w:ascii="Arial" w:hAnsi="Arial"/>
        <w:snapToGrid w:val="0"/>
        <w:sz w:val="16"/>
        <w:szCs w:val="16"/>
        <w:lang w:val="en-US" w:eastAsia="fr-FR"/>
      </w:rPr>
    </w:pPr>
    <w:r w:rsidRPr="00817513">
      <w:rPr>
        <w:rFonts w:ascii="Arial" w:hAnsi="Arial"/>
        <w:snapToGrid w:val="0"/>
        <w:sz w:val="16"/>
        <w:szCs w:val="16"/>
        <w:lang w:val="en-US" w:eastAsia="fr-FR"/>
      </w:rPr>
      <w:t>CCNR-ZKR/ADN/WP.15/AC.2/</w:t>
    </w:r>
    <w:r>
      <w:rPr>
        <w:rFonts w:ascii="Arial" w:hAnsi="Arial"/>
        <w:snapToGrid w:val="0"/>
        <w:sz w:val="16"/>
        <w:szCs w:val="16"/>
        <w:lang w:val="en-US" w:eastAsia="fr-FR"/>
      </w:rPr>
      <w:t>68</w:t>
    </w:r>
  </w:p>
  <w:p w14:paraId="13DA7BC6" w14:textId="488613F5" w:rsidR="00B403C0" w:rsidRPr="00817513" w:rsidRDefault="00B403C0" w:rsidP="00817513">
    <w:pPr>
      <w:spacing w:line="240" w:lineRule="auto"/>
    </w:pPr>
    <w:proofErr w:type="spellStart"/>
    <w:r w:rsidRPr="00817513">
      <w:rPr>
        <w:rFonts w:ascii="Arial" w:eastAsia="SimSun" w:hAnsi="Arial"/>
        <w:b/>
        <w:snapToGrid w:val="0"/>
        <w:sz w:val="16"/>
        <w:szCs w:val="16"/>
        <w:lang w:eastAsia="fr-FR"/>
      </w:rPr>
      <w:t>Seite</w:t>
    </w:r>
    <w:proofErr w:type="spellEnd"/>
    <w:r w:rsidRPr="00817513">
      <w:rPr>
        <w:rFonts w:ascii="Arial" w:eastAsia="SimSun" w:hAnsi="Arial"/>
        <w:b/>
        <w:snapToGrid w:val="0"/>
        <w:sz w:val="16"/>
        <w:szCs w:val="16"/>
        <w:lang w:eastAsia="fr-FR"/>
      </w:rPr>
      <w:t xml:space="preserve"> </w:t>
    </w:r>
    <w:r w:rsidRPr="00817513">
      <w:rPr>
        <w:rFonts w:ascii="Arial" w:eastAsia="SimSun" w:hAnsi="Arial"/>
        <w:b/>
        <w:snapToGrid w:val="0"/>
        <w:sz w:val="16"/>
        <w:szCs w:val="16"/>
        <w:lang w:eastAsia="fr-FR"/>
      </w:rPr>
      <w:fldChar w:fldCharType="begin"/>
    </w:r>
    <w:r w:rsidRPr="00817513">
      <w:rPr>
        <w:rFonts w:ascii="Arial" w:eastAsia="SimSun" w:hAnsi="Arial"/>
        <w:b/>
        <w:snapToGrid w:val="0"/>
        <w:sz w:val="16"/>
        <w:szCs w:val="16"/>
        <w:lang w:eastAsia="fr-FR"/>
      </w:rPr>
      <w:instrText xml:space="preserve"> PAGE  \* MERGEFORMAT </w:instrText>
    </w:r>
    <w:r w:rsidRPr="00817513">
      <w:rPr>
        <w:rFonts w:ascii="Arial" w:eastAsia="SimSun" w:hAnsi="Arial"/>
        <w:b/>
        <w:snapToGrid w:val="0"/>
        <w:sz w:val="16"/>
        <w:szCs w:val="16"/>
        <w:lang w:eastAsia="fr-FR"/>
      </w:rPr>
      <w:fldChar w:fldCharType="separate"/>
    </w:r>
    <w:r w:rsidR="00ED48FE">
      <w:rPr>
        <w:rFonts w:ascii="Arial" w:eastAsia="SimSun" w:hAnsi="Arial"/>
        <w:b/>
        <w:noProof/>
        <w:snapToGrid w:val="0"/>
        <w:sz w:val="16"/>
        <w:szCs w:val="16"/>
        <w:lang w:eastAsia="fr-FR"/>
      </w:rPr>
      <w:t>4</w:t>
    </w:r>
    <w:r w:rsidRPr="00817513">
      <w:rPr>
        <w:rFonts w:ascii="Arial" w:eastAsia="SimSun" w:hAnsi="Arial"/>
        <w:b/>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96AE" w14:textId="77777777" w:rsidR="00B403C0" w:rsidRPr="00817513" w:rsidRDefault="00B403C0" w:rsidP="00817513">
    <w:pPr>
      <w:spacing w:line="240" w:lineRule="auto"/>
      <w:jc w:val="right"/>
      <w:rPr>
        <w:rFonts w:ascii="Arial" w:hAnsi="Arial"/>
        <w:snapToGrid w:val="0"/>
        <w:sz w:val="16"/>
        <w:szCs w:val="16"/>
        <w:lang w:val="en-US" w:eastAsia="fr-FR"/>
      </w:rPr>
    </w:pPr>
    <w:r w:rsidRPr="00817513">
      <w:rPr>
        <w:rFonts w:ascii="Arial" w:hAnsi="Arial"/>
        <w:snapToGrid w:val="0"/>
        <w:sz w:val="16"/>
        <w:szCs w:val="16"/>
        <w:lang w:val="en-US" w:eastAsia="fr-FR"/>
      </w:rPr>
      <w:t>CCNR-ZKR/ADN/WP.15/AC.2/</w:t>
    </w:r>
    <w:r>
      <w:rPr>
        <w:rFonts w:ascii="Arial" w:hAnsi="Arial"/>
        <w:snapToGrid w:val="0"/>
        <w:sz w:val="16"/>
        <w:szCs w:val="16"/>
        <w:lang w:val="en-US" w:eastAsia="fr-FR"/>
      </w:rPr>
      <w:t>68</w:t>
    </w:r>
  </w:p>
  <w:p w14:paraId="6CAF550B" w14:textId="787C72FD" w:rsidR="00B403C0" w:rsidRPr="00817513" w:rsidRDefault="00B403C0" w:rsidP="00817513">
    <w:pPr>
      <w:pStyle w:val="Header"/>
      <w:pBdr>
        <w:bottom w:val="none" w:sz="0" w:space="0" w:color="auto"/>
      </w:pBdr>
      <w:jc w:val="right"/>
    </w:pPr>
    <w:proofErr w:type="spellStart"/>
    <w:r w:rsidRPr="00817513">
      <w:rPr>
        <w:rFonts w:ascii="Arial" w:eastAsia="SimSun" w:hAnsi="Arial"/>
        <w:snapToGrid w:val="0"/>
        <w:sz w:val="16"/>
        <w:szCs w:val="16"/>
        <w:lang w:eastAsia="fr-FR"/>
      </w:rPr>
      <w:t>Seite</w:t>
    </w:r>
    <w:proofErr w:type="spellEnd"/>
    <w:r w:rsidRPr="00817513">
      <w:rPr>
        <w:rFonts w:ascii="Arial" w:eastAsia="SimSun" w:hAnsi="Arial"/>
        <w:snapToGrid w:val="0"/>
        <w:sz w:val="16"/>
        <w:szCs w:val="16"/>
        <w:lang w:eastAsia="fr-FR"/>
      </w:rPr>
      <w:t xml:space="preserve"> </w:t>
    </w:r>
    <w:r w:rsidRPr="00817513">
      <w:rPr>
        <w:rFonts w:ascii="Arial" w:eastAsia="SimSun" w:hAnsi="Arial"/>
        <w:snapToGrid w:val="0"/>
        <w:sz w:val="16"/>
        <w:szCs w:val="16"/>
        <w:lang w:eastAsia="fr-FR"/>
      </w:rPr>
      <w:fldChar w:fldCharType="begin"/>
    </w:r>
    <w:r w:rsidRPr="00817513">
      <w:rPr>
        <w:rFonts w:ascii="Arial" w:eastAsia="SimSun" w:hAnsi="Arial"/>
        <w:snapToGrid w:val="0"/>
        <w:sz w:val="16"/>
        <w:szCs w:val="16"/>
        <w:lang w:eastAsia="fr-FR"/>
      </w:rPr>
      <w:instrText xml:space="preserve"> PAGE  \* MERGEFORMAT </w:instrText>
    </w:r>
    <w:r w:rsidRPr="00817513">
      <w:rPr>
        <w:rFonts w:ascii="Arial" w:eastAsia="SimSun" w:hAnsi="Arial"/>
        <w:snapToGrid w:val="0"/>
        <w:sz w:val="16"/>
        <w:szCs w:val="16"/>
        <w:lang w:eastAsia="fr-FR"/>
      </w:rPr>
      <w:fldChar w:fldCharType="separate"/>
    </w:r>
    <w:r w:rsidR="00ED48FE" w:rsidRPr="00ED48FE">
      <w:rPr>
        <w:rFonts w:ascii="Arial" w:eastAsia="SimSun" w:hAnsi="Arial"/>
        <w:b w:val="0"/>
        <w:noProof/>
        <w:snapToGrid w:val="0"/>
        <w:sz w:val="16"/>
        <w:szCs w:val="16"/>
        <w:lang w:eastAsia="fr-FR"/>
      </w:rPr>
      <w:t>5</w:t>
    </w:r>
    <w:r w:rsidRPr="00817513">
      <w:rPr>
        <w:rFonts w:ascii="Arial" w:eastAsia="SimSun"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88B"/>
    <w:rsid w:val="0000138D"/>
    <w:rsid w:val="00003C96"/>
    <w:rsid w:val="000144EE"/>
    <w:rsid w:val="0002439B"/>
    <w:rsid w:val="00040381"/>
    <w:rsid w:val="000403E5"/>
    <w:rsid w:val="00046B1F"/>
    <w:rsid w:val="00050F6B"/>
    <w:rsid w:val="00053B95"/>
    <w:rsid w:val="00057E97"/>
    <w:rsid w:val="0006214B"/>
    <w:rsid w:val="000623D2"/>
    <w:rsid w:val="00072C8C"/>
    <w:rsid w:val="000733B5"/>
    <w:rsid w:val="000753C6"/>
    <w:rsid w:val="000759B9"/>
    <w:rsid w:val="00081815"/>
    <w:rsid w:val="00084BC4"/>
    <w:rsid w:val="000931C0"/>
    <w:rsid w:val="000A4233"/>
    <w:rsid w:val="000A69DA"/>
    <w:rsid w:val="000B0595"/>
    <w:rsid w:val="000B175B"/>
    <w:rsid w:val="000B3A0F"/>
    <w:rsid w:val="000B4EF7"/>
    <w:rsid w:val="000C2C03"/>
    <w:rsid w:val="000C2D2E"/>
    <w:rsid w:val="000C5CEB"/>
    <w:rsid w:val="000D566A"/>
    <w:rsid w:val="000E0415"/>
    <w:rsid w:val="000E0538"/>
    <w:rsid w:val="001048F9"/>
    <w:rsid w:val="001103AA"/>
    <w:rsid w:val="00116114"/>
    <w:rsid w:val="0011666B"/>
    <w:rsid w:val="00130BE0"/>
    <w:rsid w:val="00132C50"/>
    <w:rsid w:val="00155E2C"/>
    <w:rsid w:val="00162138"/>
    <w:rsid w:val="00164C4F"/>
    <w:rsid w:val="00165F3A"/>
    <w:rsid w:val="00171DB7"/>
    <w:rsid w:val="00174ED8"/>
    <w:rsid w:val="001846CF"/>
    <w:rsid w:val="00195C8B"/>
    <w:rsid w:val="001B4B04"/>
    <w:rsid w:val="001C6663"/>
    <w:rsid w:val="001C767A"/>
    <w:rsid w:val="001C7895"/>
    <w:rsid w:val="001D0C8C"/>
    <w:rsid w:val="001D1419"/>
    <w:rsid w:val="001D26DF"/>
    <w:rsid w:val="001D3A03"/>
    <w:rsid w:val="001D67FE"/>
    <w:rsid w:val="001D7539"/>
    <w:rsid w:val="001E7B67"/>
    <w:rsid w:val="001F16D7"/>
    <w:rsid w:val="002019A4"/>
    <w:rsid w:val="00202DA8"/>
    <w:rsid w:val="002052CC"/>
    <w:rsid w:val="0020587C"/>
    <w:rsid w:val="00206A79"/>
    <w:rsid w:val="00211E0B"/>
    <w:rsid w:val="00231BCC"/>
    <w:rsid w:val="00243EEA"/>
    <w:rsid w:val="00243EFF"/>
    <w:rsid w:val="00244F25"/>
    <w:rsid w:val="0024772E"/>
    <w:rsid w:val="00263C17"/>
    <w:rsid w:val="002663F9"/>
    <w:rsid w:val="00267F5F"/>
    <w:rsid w:val="00272042"/>
    <w:rsid w:val="00274205"/>
    <w:rsid w:val="002848A3"/>
    <w:rsid w:val="00285011"/>
    <w:rsid w:val="00286B4D"/>
    <w:rsid w:val="00287015"/>
    <w:rsid w:val="002B4853"/>
    <w:rsid w:val="002D1F33"/>
    <w:rsid w:val="002D4643"/>
    <w:rsid w:val="002E04FE"/>
    <w:rsid w:val="002E0D90"/>
    <w:rsid w:val="002F0501"/>
    <w:rsid w:val="002F175C"/>
    <w:rsid w:val="002F6D80"/>
    <w:rsid w:val="00300AA5"/>
    <w:rsid w:val="00302E18"/>
    <w:rsid w:val="003045A4"/>
    <w:rsid w:val="0031049C"/>
    <w:rsid w:val="003111F2"/>
    <w:rsid w:val="003125F1"/>
    <w:rsid w:val="00322234"/>
    <w:rsid w:val="003229D8"/>
    <w:rsid w:val="00343F8F"/>
    <w:rsid w:val="00347E8E"/>
    <w:rsid w:val="00352709"/>
    <w:rsid w:val="003619B5"/>
    <w:rsid w:val="00365763"/>
    <w:rsid w:val="00371178"/>
    <w:rsid w:val="0038701E"/>
    <w:rsid w:val="00392E47"/>
    <w:rsid w:val="003A0858"/>
    <w:rsid w:val="003A6810"/>
    <w:rsid w:val="003B0FD8"/>
    <w:rsid w:val="003B6FFA"/>
    <w:rsid w:val="003C047B"/>
    <w:rsid w:val="003C2CC4"/>
    <w:rsid w:val="003D4B23"/>
    <w:rsid w:val="003E192B"/>
    <w:rsid w:val="003E2CCC"/>
    <w:rsid w:val="003E2CEA"/>
    <w:rsid w:val="003E4D24"/>
    <w:rsid w:val="003F73AD"/>
    <w:rsid w:val="004042B3"/>
    <w:rsid w:val="00410C89"/>
    <w:rsid w:val="00410E66"/>
    <w:rsid w:val="0042044F"/>
    <w:rsid w:val="00422334"/>
    <w:rsid w:val="00422E03"/>
    <w:rsid w:val="00426B9B"/>
    <w:rsid w:val="004325CB"/>
    <w:rsid w:val="004348FE"/>
    <w:rsid w:val="00442A83"/>
    <w:rsid w:val="00450A2D"/>
    <w:rsid w:val="0045495B"/>
    <w:rsid w:val="0045501B"/>
    <w:rsid w:val="00456BD2"/>
    <w:rsid w:val="004663A4"/>
    <w:rsid w:val="004745CC"/>
    <w:rsid w:val="00480DC6"/>
    <w:rsid w:val="004826DC"/>
    <w:rsid w:val="0048397A"/>
    <w:rsid w:val="00485CBB"/>
    <w:rsid w:val="004866B7"/>
    <w:rsid w:val="004A1E13"/>
    <w:rsid w:val="004A1F2B"/>
    <w:rsid w:val="004A608E"/>
    <w:rsid w:val="004B0545"/>
    <w:rsid w:val="004B1928"/>
    <w:rsid w:val="004C0276"/>
    <w:rsid w:val="004C2461"/>
    <w:rsid w:val="004C7462"/>
    <w:rsid w:val="004E38C6"/>
    <w:rsid w:val="004E77B2"/>
    <w:rsid w:val="004E794D"/>
    <w:rsid w:val="00504B2D"/>
    <w:rsid w:val="00516F17"/>
    <w:rsid w:val="00517158"/>
    <w:rsid w:val="0052005F"/>
    <w:rsid w:val="0052136D"/>
    <w:rsid w:val="00521FA2"/>
    <w:rsid w:val="00522570"/>
    <w:rsid w:val="005260CE"/>
    <w:rsid w:val="0052775E"/>
    <w:rsid w:val="00542017"/>
    <w:rsid w:val="005420F2"/>
    <w:rsid w:val="00553918"/>
    <w:rsid w:val="005628B6"/>
    <w:rsid w:val="00564813"/>
    <w:rsid w:val="00573E99"/>
    <w:rsid w:val="00577152"/>
    <w:rsid w:val="0058206A"/>
    <w:rsid w:val="00586516"/>
    <w:rsid w:val="005941EC"/>
    <w:rsid w:val="005968EC"/>
    <w:rsid w:val="0059724D"/>
    <w:rsid w:val="005979BC"/>
    <w:rsid w:val="005B3DB3"/>
    <w:rsid w:val="005B4E13"/>
    <w:rsid w:val="005B75AD"/>
    <w:rsid w:val="005C342F"/>
    <w:rsid w:val="005C4BD7"/>
    <w:rsid w:val="005C686A"/>
    <w:rsid w:val="005D3C11"/>
    <w:rsid w:val="005D49F8"/>
    <w:rsid w:val="005E5D62"/>
    <w:rsid w:val="005F7B75"/>
    <w:rsid w:val="006001EE"/>
    <w:rsid w:val="00605042"/>
    <w:rsid w:val="00611FC4"/>
    <w:rsid w:val="006176FB"/>
    <w:rsid w:val="0062192B"/>
    <w:rsid w:val="006229F8"/>
    <w:rsid w:val="0062532F"/>
    <w:rsid w:val="006263D6"/>
    <w:rsid w:val="00640B26"/>
    <w:rsid w:val="00642065"/>
    <w:rsid w:val="00652D0A"/>
    <w:rsid w:val="00662BB6"/>
    <w:rsid w:val="006723CF"/>
    <w:rsid w:val="00676606"/>
    <w:rsid w:val="00684C21"/>
    <w:rsid w:val="0068679C"/>
    <w:rsid w:val="0069046B"/>
    <w:rsid w:val="006A2530"/>
    <w:rsid w:val="006A25B9"/>
    <w:rsid w:val="006A6108"/>
    <w:rsid w:val="006B3918"/>
    <w:rsid w:val="006C3589"/>
    <w:rsid w:val="006C5C0D"/>
    <w:rsid w:val="006D10D2"/>
    <w:rsid w:val="006D1487"/>
    <w:rsid w:val="006D18E1"/>
    <w:rsid w:val="006D37AF"/>
    <w:rsid w:val="006D51D0"/>
    <w:rsid w:val="006D5FB9"/>
    <w:rsid w:val="006E1353"/>
    <w:rsid w:val="006E564B"/>
    <w:rsid w:val="006E7191"/>
    <w:rsid w:val="006E7398"/>
    <w:rsid w:val="006F1DCE"/>
    <w:rsid w:val="00702BFB"/>
    <w:rsid w:val="00703577"/>
    <w:rsid w:val="00705894"/>
    <w:rsid w:val="00712068"/>
    <w:rsid w:val="007127F4"/>
    <w:rsid w:val="0072632A"/>
    <w:rsid w:val="007327D5"/>
    <w:rsid w:val="00736632"/>
    <w:rsid w:val="007473EE"/>
    <w:rsid w:val="00761EB3"/>
    <w:rsid w:val="007629C8"/>
    <w:rsid w:val="0077047D"/>
    <w:rsid w:val="0077507C"/>
    <w:rsid w:val="00780EF1"/>
    <w:rsid w:val="007A4A1B"/>
    <w:rsid w:val="007B0A26"/>
    <w:rsid w:val="007B0D0B"/>
    <w:rsid w:val="007B2693"/>
    <w:rsid w:val="007B48FC"/>
    <w:rsid w:val="007B69AC"/>
    <w:rsid w:val="007B6BA5"/>
    <w:rsid w:val="007C00E4"/>
    <w:rsid w:val="007C3390"/>
    <w:rsid w:val="007C4F4B"/>
    <w:rsid w:val="007D39F9"/>
    <w:rsid w:val="007D6D0A"/>
    <w:rsid w:val="007E01E9"/>
    <w:rsid w:val="007E49C0"/>
    <w:rsid w:val="007E63F3"/>
    <w:rsid w:val="007F6611"/>
    <w:rsid w:val="00801E4A"/>
    <w:rsid w:val="00811920"/>
    <w:rsid w:val="00815533"/>
    <w:rsid w:val="00815AD0"/>
    <w:rsid w:val="00817513"/>
    <w:rsid w:val="0082034E"/>
    <w:rsid w:val="00822809"/>
    <w:rsid w:val="008242D7"/>
    <w:rsid w:val="008257B1"/>
    <w:rsid w:val="00831505"/>
    <w:rsid w:val="00832334"/>
    <w:rsid w:val="00835F36"/>
    <w:rsid w:val="008361C4"/>
    <w:rsid w:val="00843767"/>
    <w:rsid w:val="00856093"/>
    <w:rsid w:val="008622A0"/>
    <w:rsid w:val="00865A26"/>
    <w:rsid w:val="008679D9"/>
    <w:rsid w:val="00870BA4"/>
    <w:rsid w:val="00875980"/>
    <w:rsid w:val="00877AD5"/>
    <w:rsid w:val="008878DE"/>
    <w:rsid w:val="00893170"/>
    <w:rsid w:val="00895940"/>
    <w:rsid w:val="0089757F"/>
    <w:rsid w:val="00897958"/>
    <w:rsid w:val="008979B1"/>
    <w:rsid w:val="008A5A0D"/>
    <w:rsid w:val="008A6B25"/>
    <w:rsid w:val="008A6C4F"/>
    <w:rsid w:val="008B05D6"/>
    <w:rsid w:val="008B2335"/>
    <w:rsid w:val="008B2DFE"/>
    <w:rsid w:val="008C0C8E"/>
    <w:rsid w:val="008C73D6"/>
    <w:rsid w:val="008D18AE"/>
    <w:rsid w:val="008D3895"/>
    <w:rsid w:val="008D4AF2"/>
    <w:rsid w:val="008E0678"/>
    <w:rsid w:val="008F31D2"/>
    <w:rsid w:val="009023EE"/>
    <w:rsid w:val="00906187"/>
    <w:rsid w:val="009223CA"/>
    <w:rsid w:val="009236E9"/>
    <w:rsid w:val="00925A68"/>
    <w:rsid w:val="00930BB9"/>
    <w:rsid w:val="00935E39"/>
    <w:rsid w:val="009361EE"/>
    <w:rsid w:val="009362D8"/>
    <w:rsid w:val="00940F93"/>
    <w:rsid w:val="00970382"/>
    <w:rsid w:val="009753E1"/>
    <w:rsid w:val="009760F3"/>
    <w:rsid w:val="00976CFB"/>
    <w:rsid w:val="00983BD6"/>
    <w:rsid w:val="00994987"/>
    <w:rsid w:val="009A0830"/>
    <w:rsid w:val="009A09AD"/>
    <w:rsid w:val="009A0E8D"/>
    <w:rsid w:val="009A1C26"/>
    <w:rsid w:val="009A3BA0"/>
    <w:rsid w:val="009B26E7"/>
    <w:rsid w:val="009C029A"/>
    <w:rsid w:val="009C033A"/>
    <w:rsid w:val="009C29EB"/>
    <w:rsid w:val="009D0034"/>
    <w:rsid w:val="009D7C10"/>
    <w:rsid w:val="009E110C"/>
    <w:rsid w:val="009E124F"/>
    <w:rsid w:val="009E4303"/>
    <w:rsid w:val="009E7389"/>
    <w:rsid w:val="009F1732"/>
    <w:rsid w:val="009F47EB"/>
    <w:rsid w:val="00A004BE"/>
    <w:rsid w:val="00A00697"/>
    <w:rsid w:val="00A00A3F"/>
    <w:rsid w:val="00A01489"/>
    <w:rsid w:val="00A0263A"/>
    <w:rsid w:val="00A10F6F"/>
    <w:rsid w:val="00A15051"/>
    <w:rsid w:val="00A236A8"/>
    <w:rsid w:val="00A27262"/>
    <w:rsid w:val="00A3026E"/>
    <w:rsid w:val="00A338F1"/>
    <w:rsid w:val="00A34EAD"/>
    <w:rsid w:val="00A351B0"/>
    <w:rsid w:val="00A35BE0"/>
    <w:rsid w:val="00A475D9"/>
    <w:rsid w:val="00A5347D"/>
    <w:rsid w:val="00A72F22"/>
    <w:rsid w:val="00A7360F"/>
    <w:rsid w:val="00A748A6"/>
    <w:rsid w:val="00A769F4"/>
    <w:rsid w:val="00A776B4"/>
    <w:rsid w:val="00A84CEE"/>
    <w:rsid w:val="00A94361"/>
    <w:rsid w:val="00AA293C"/>
    <w:rsid w:val="00AA3F90"/>
    <w:rsid w:val="00AB52A9"/>
    <w:rsid w:val="00AC4C9A"/>
    <w:rsid w:val="00AC7BC6"/>
    <w:rsid w:val="00AD2C84"/>
    <w:rsid w:val="00AD611B"/>
    <w:rsid w:val="00AD7ABE"/>
    <w:rsid w:val="00AE01C4"/>
    <w:rsid w:val="00AE50A1"/>
    <w:rsid w:val="00AF0D45"/>
    <w:rsid w:val="00B02552"/>
    <w:rsid w:val="00B22803"/>
    <w:rsid w:val="00B30179"/>
    <w:rsid w:val="00B31695"/>
    <w:rsid w:val="00B403C0"/>
    <w:rsid w:val="00B421C1"/>
    <w:rsid w:val="00B55108"/>
    <w:rsid w:val="00B55C71"/>
    <w:rsid w:val="00B56E4A"/>
    <w:rsid w:val="00B56E9C"/>
    <w:rsid w:val="00B62A51"/>
    <w:rsid w:val="00B64B1F"/>
    <w:rsid w:val="00B6553F"/>
    <w:rsid w:val="00B70783"/>
    <w:rsid w:val="00B77D05"/>
    <w:rsid w:val="00B81206"/>
    <w:rsid w:val="00B81E12"/>
    <w:rsid w:val="00B82D69"/>
    <w:rsid w:val="00B90E1C"/>
    <w:rsid w:val="00B9536B"/>
    <w:rsid w:val="00BA4891"/>
    <w:rsid w:val="00BA585D"/>
    <w:rsid w:val="00BA69C9"/>
    <w:rsid w:val="00BB1F21"/>
    <w:rsid w:val="00BB463E"/>
    <w:rsid w:val="00BB666E"/>
    <w:rsid w:val="00BC15E4"/>
    <w:rsid w:val="00BC3FA0"/>
    <w:rsid w:val="00BC74E9"/>
    <w:rsid w:val="00BD2ED4"/>
    <w:rsid w:val="00BF68A8"/>
    <w:rsid w:val="00C003F9"/>
    <w:rsid w:val="00C04B1D"/>
    <w:rsid w:val="00C11A03"/>
    <w:rsid w:val="00C11CFC"/>
    <w:rsid w:val="00C22C0C"/>
    <w:rsid w:val="00C313C3"/>
    <w:rsid w:val="00C4340D"/>
    <w:rsid w:val="00C4527F"/>
    <w:rsid w:val="00C463DD"/>
    <w:rsid w:val="00C4724C"/>
    <w:rsid w:val="00C5253A"/>
    <w:rsid w:val="00C55A50"/>
    <w:rsid w:val="00C61557"/>
    <w:rsid w:val="00C629A0"/>
    <w:rsid w:val="00C64629"/>
    <w:rsid w:val="00C745C3"/>
    <w:rsid w:val="00C82629"/>
    <w:rsid w:val="00C85769"/>
    <w:rsid w:val="00C8690F"/>
    <w:rsid w:val="00C95FDF"/>
    <w:rsid w:val="00C96DF2"/>
    <w:rsid w:val="00CA3F76"/>
    <w:rsid w:val="00CB0C2F"/>
    <w:rsid w:val="00CB3E03"/>
    <w:rsid w:val="00CB7E50"/>
    <w:rsid w:val="00CC3E24"/>
    <w:rsid w:val="00CC6F0F"/>
    <w:rsid w:val="00CD4AA6"/>
    <w:rsid w:val="00CE4164"/>
    <w:rsid w:val="00CE4480"/>
    <w:rsid w:val="00CE4A8F"/>
    <w:rsid w:val="00CE5538"/>
    <w:rsid w:val="00CF5477"/>
    <w:rsid w:val="00D007A3"/>
    <w:rsid w:val="00D01F5A"/>
    <w:rsid w:val="00D02309"/>
    <w:rsid w:val="00D04228"/>
    <w:rsid w:val="00D05632"/>
    <w:rsid w:val="00D05C4E"/>
    <w:rsid w:val="00D2031B"/>
    <w:rsid w:val="00D248B6"/>
    <w:rsid w:val="00D25FE2"/>
    <w:rsid w:val="00D32CAA"/>
    <w:rsid w:val="00D37D1E"/>
    <w:rsid w:val="00D43252"/>
    <w:rsid w:val="00D47EEA"/>
    <w:rsid w:val="00D5238B"/>
    <w:rsid w:val="00D57269"/>
    <w:rsid w:val="00D574E0"/>
    <w:rsid w:val="00D61F94"/>
    <w:rsid w:val="00D636C1"/>
    <w:rsid w:val="00D6541B"/>
    <w:rsid w:val="00D672C3"/>
    <w:rsid w:val="00D74115"/>
    <w:rsid w:val="00D773DF"/>
    <w:rsid w:val="00D804A1"/>
    <w:rsid w:val="00D8059C"/>
    <w:rsid w:val="00D94B61"/>
    <w:rsid w:val="00D95303"/>
    <w:rsid w:val="00D978C6"/>
    <w:rsid w:val="00DA057F"/>
    <w:rsid w:val="00DA3C1C"/>
    <w:rsid w:val="00DB1592"/>
    <w:rsid w:val="00DB1A04"/>
    <w:rsid w:val="00DB6C36"/>
    <w:rsid w:val="00DD13F8"/>
    <w:rsid w:val="00DD3679"/>
    <w:rsid w:val="00DD6A1F"/>
    <w:rsid w:val="00DD7F2E"/>
    <w:rsid w:val="00DE4B91"/>
    <w:rsid w:val="00E03535"/>
    <w:rsid w:val="00E041EA"/>
    <w:rsid w:val="00E046DF"/>
    <w:rsid w:val="00E20158"/>
    <w:rsid w:val="00E24C35"/>
    <w:rsid w:val="00E27346"/>
    <w:rsid w:val="00E3099D"/>
    <w:rsid w:val="00E4777B"/>
    <w:rsid w:val="00E47990"/>
    <w:rsid w:val="00E636D3"/>
    <w:rsid w:val="00E71BC8"/>
    <w:rsid w:val="00E7223A"/>
    <w:rsid w:val="00E7260F"/>
    <w:rsid w:val="00E72BB4"/>
    <w:rsid w:val="00E73F5D"/>
    <w:rsid w:val="00E77E4E"/>
    <w:rsid w:val="00E834D5"/>
    <w:rsid w:val="00E84304"/>
    <w:rsid w:val="00E96630"/>
    <w:rsid w:val="00EA2459"/>
    <w:rsid w:val="00EC7670"/>
    <w:rsid w:val="00ED48FE"/>
    <w:rsid w:val="00ED55EA"/>
    <w:rsid w:val="00ED7A2A"/>
    <w:rsid w:val="00EE2144"/>
    <w:rsid w:val="00EE282A"/>
    <w:rsid w:val="00EF1D7F"/>
    <w:rsid w:val="00F020F5"/>
    <w:rsid w:val="00F05B62"/>
    <w:rsid w:val="00F10FE9"/>
    <w:rsid w:val="00F1544A"/>
    <w:rsid w:val="00F1602A"/>
    <w:rsid w:val="00F17F8A"/>
    <w:rsid w:val="00F316A6"/>
    <w:rsid w:val="00F31E5F"/>
    <w:rsid w:val="00F4130F"/>
    <w:rsid w:val="00F54F0B"/>
    <w:rsid w:val="00F6100A"/>
    <w:rsid w:val="00F61DDC"/>
    <w:rsid w:val="00F63013"/>
    <w:rsid w:val="00F675C8"/>
    <w:rsid w:val="00F7119F"/>
    <w:rsid w:val="00F757B2"/>
    <w:rsid w:val="00F808C1"/>
    <w:rsid w:val="00F93781"/>
    <w:rsid w:val="00FA188B"/>
    <w:rsid w:val="00FA45CB"/>
    <w:rsid w:val="00FB613B"/>
    <w:rsid w:val="00FB6798"/>
    <w:rsid w:val="00FC6064"/>
    <w:rsid w:val="00FC68B7"/>
    <w:rsid w:val="00FD170C"/>
    <w:rsid w:val="00FD188D"/>
    <w:rsid w:val="00FD25C9"/>
    <w:rsid w:val="00FD3F98"/>
    <w:rsid w:val="00FD786A"/>
    <w:rsid w:val="00FE106A"/>
    <w:rsid w:val="00FE53ED"/>
    <w:rsid w:val="00FE64EB"/>
    <w:rsid w:val="00FE6C49"/>
    <w:rsid w:val="00FF145D"/>
    <w:rsid w:val="00FF374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AF73E79"/>
  <w15:docId w15:val="{CEDF9C95-BD67-4ED6-8D2C-912C2425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link w:val="Heading2Char"/>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basedOn w:val="DefaultParagraphFont"/>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basedOn w:val="DefaultParagraphFont"/>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tyle>
  <w:style w:type="character" w:styleId="LineNumber">
    <w:name w:val="line number"/>
    <w:basedOn w:val="DefaultParagraphFont"/>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link w:val="HeaderChar"/>
    <w:rsid w:val="004C0276"/>
    <w:pPr>
      <w:pBdr>
        <w:bottom w:val="single" w:sz="4" w:space="4" w:color="auto"/>
      </w:pBdr>
      <w:spacing w:line="240" w:lineRule="auto"/>
    </w:pPr>
    <w:rPr>
      <w:b/>
      <w:sz w:val="18"/>
    </w:rPr>
  </w:style>
  <w:style w:type="character" w:customStyle="1" w:styleId="SingleTxtGChar">
    <w:name w:val="_ Single Txt_G Char"/>
    <w:link w:val="SingleTxtG"/>
    <w:qFormat/>
    <w:rsid w:val="009753E1"/>
    <w:rPr>
      <w:lang w:eastAsia="en-US"/>
    </w:rPr>
  </w:style>
  <w:style w:type="character" w:customStyle="1" w:styleId="Heading2Char">
    <w:name w:val="Heading 2 Char"/>
    <w:basedOn w:val="DefaultParagraphFont"/>
    <w:link w:val="Heading2"/>
    <w:rsid w:val="009753E1"/>
    <w:rPr>
      <w:lang w:eastAsia="en-US"/>
    </w:rPr>
  </w:style>
  <w:style w:type="character" w:customStyle="1" w:styleId="HeaderChar">
    <w:name w:val="Header Char"/>
    <w:aliases w:val="6_G Char"/>
    <w:basedOn w:val="DefaultParagraphFont"/>
    <w:link w:val="Header"/>
    <w:rsid w:val="009753E1"/>
    <w:rPr>
      <w:b/>
      <w:sz w:val="18"/>
      <w:lang w:eastAsia="en-US"/>
    </w:rPr>
  </w:style>
  <w:style w:type="character" w:customStyle="1" w:styleId="FooterChar">
    <w:name w:val="Footer Char"/>
    <w:aliases w:val="3_G Char"/>
    <w:basedOn w:val="DefaultParagraphFont"/>
    <w:link w:val="Footer"/>
    <w:uiPriority w:val="99"/>
    <w:rsid w:val="009753E1"/>
    <w:rPr>
      <w:sz w:val="16"/>
      <w:lang w:eastAsia="en-US"/>
    </w:rPr>
  </w:style>
  <w:style w:type="character" w:customStyle="1" w:styleId="FootnoteTextChar">
    <w:name w:val="Footnote Text Char"/>
    <w:aliases w:val="5_G Char"/>
    <w:basedOn w:val="DefaultParagraphFont"/>
    <w:link w:val="FootnoteText"/>
    <w:rsid w:val="009753E1"/>
    <w:rPr>
      <w:sz w:val="18"/>
      <w:lang w:eastAsia="en-US"/>
    </w:rPr>
  </w:style>
  <w:style w:type="character" w:customStyle="1" w:styleId="HChGChar">
    <w:name w:val="_ H _Ch_G Char"/>
    <w:link w:val="HChG"/>
    <w:rsid w:val="009753E1"/>
    <w:rPr>
      <w:b/>
      <w:sz w:val="28"/>
      <w:lang w:eastAsia="en-US"/>
    </w:rPr>
  </w:style>
  <w:style w:type="character" w:customStyle="1" w:styleId="CommentTextChar">
    <w:name w:val="Comment Text Char"/>
    <w:basedOn w:val="DefaultParagraphFont"/>
    <w:link w:val="CommentText"/>
    <w:uiPriority w:val="99"/>
    <w:rsid w:val="009753E1"/>
    <w:rPr>
      <w:lang w:eastAsia="en-US"/>
    </w:rPr>
  </w:style>
  <w:style w:type="table" w:customStyle="1" w:styleId="Grilledutableau6">
    <w:name w:val="Grille du tableau6"/>
    <w:basedOn w:val="TableNormal"/>
    <w:uiPriority w:val="59"/>
    <w:rsid w:val="009753E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9753E1"/>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9753E1"/>
    <w:rPr>
      <w:b/>
      <w:lang w:eastAsia="en-US"/>
    </w:rPr>
  </w:style>
  <w:style w:type="paragraph" w:styleId="BalloonText">
    <w:name w:val="Balloon Text"/>
    <w:basedOn w:val="Normal"/>
    <w:link w:val="BalloonTextChar"/>
    <w:rsid w:val="009753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753E1"/>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5D3C11"/>
    <w:pPr>
      <w:spacing w:line="240" w:lineRule="auto"/>
    </w:pPr>
    <w:rPr>
      <w:b/>
      <w:bCs/>
    </w:rPr>
  </w:style>
  <w:style w:type="character" w:customStyle="1" w:styleId="CommentSubjectChar">
    <w:name w:val="Comment Subject Char"/>
    <w:basedOn w:val="CommentTextChar"/>
    <w:link w:val="CommentSubject"/>
    <w:semiHidden/>
    <w:rsid w:val="005D3C11"/>
    <w:rPr>
      <w:b/>
      <w:bCs/>
      <w:lang w:eastAsia="en-US"/>
    </w:rPr>
  </w:style>
  <w:style w:type="paragraph" w:styleId="Revision">
    <w:name w:val="Revision"/>
    <w:hidden/>
    <w:uiPriority w:val="99"/>
    <w:semiHidden/>
    <w:rsid w:val="005D3C11"/>
    <w:rPr>
      <w:lang w:eastAsia="en-US"/>
    </w:rPr>
  </w:style>
  <w:style w:type="paragraph" w:styleId="ListParagraph">
    <w:name w:val="List Paragraph"/>
    <w:basedOn w:val="Normal"/>
    <w:uiPriority w:val="34"/>
    <w:qFormat/>
    <w:rsid w:val="0083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2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AEFA-C9C5-4E65-AB41-864257DC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TRANS_WP15_AC2_E.dotm</Template>
  <TotalTime>0</TotalTime>
  <Pages>26</Pages>
  <Words>9120</Words>
  <Characters>51990</Characters>
  <Application>Microsoft Office Word</Application>
  <DocSecurity>4</DocSecurity>
  <Lines>433</Lines>
  <Paragraphs>121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Secretariat</cp:lastModifiedBy>
  <cp:revision>2</cp:revision>
  <cp:lastPrinted>2018-10-09T09:27:00Z</cp:lastPrinted>
  <dcterms:created xsi:type="dcterms:W3CDTF">2018-10-23T07:48:00Z</dcterms:created>
  <dcterms:modified xsi:type="dcterms:W3CDTF">2018-10-23T07:48:00Z</dcterms:modified>
</cp:coreProperties>
</file>