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A97EEB" w:rsidRDefault="002D5AAC" w:rsidP="0082754E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74B17" w:rsidRDefault="0082754E" w:rsidP="0082754E">
            <w:pPr>
              <w:jc w:val="right"/>
              <w:rPr>
                <w:lang w:val="en-US"/>
              </w:rPr>
            </w:pPr>
            <w:r w:rsidRPr="0082754E">
              <w:rPr>
                <w:sz w:val="40"/>
              </w:rPr>
              <w:t>ECE</w:t>
            </w:r>
            <w:r>
              <w:t>/TRANS/2018/13</w:t>
            </w:r>
            <w:r w:rsidR="00BC75F1">
              <w:rPr>
                <w:lang w:val="en-US"/>
              </w:rPr>
              <w:t>/Rev.1</w:t>
            </w:r>
          </w:p>
        </w:tc>
      </w:tr>
      <w:tr w:rsidR="002D5AAC" w:rsidRPr="00574B1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275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2754E" w:rsidRDefault="00574B17" w:rsidP="008275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</w:t>
            </w:r>
            <w:r w:rsidR="0082754E">
              <w:rPr>
                <w:lang w:val="en-US"/>
              </w:rPr>
              <w:t xml:space="preserve"> 2017</w:t>
            </w:r>
          </w:p>
          <w:p w:rsidR="0082754E" w:rsidRDefault="0082754E" w:rsidP="008275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2754E" w:rsidRPr="000F4D85" w:rsidRDefault="0082754E" w:rsidP="0082754E">
            <w:pPr>
              <w:spacing w:line="240" w:lineRule="exact"/>
              <w:rPr>
                <w:lang w:val="en-GB"/>
              </w:rPr>
            </w:pPr>
            <w:r>
              <w:rPr>
                <w:lang w:val="en-US"/>
              </w:rPr>
              <w:t>Original: English</w:t>
            </w:r>
            <w:r w:rsidR="000F4D85" w:rsidRPr="000F4D85">
              <w:rPr>
                <w:lang w:val="en-GB"/>
              </w:rPr>
              <w:t>, French and Russian</w:t>
            </w:r>
          </w:p>
        </w:tc>
      </w:tr>
    </w:tbl>
    <w:p w:rsidR="008A37C8" w:rsidRDefault="008A37C8" w:rsidP="00155A4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5366E" w:rsidRPr="0075366E" w:rsidRDefault="0075366E" w:rsidP="00155A4A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75366E">
        <w:rPr>
          <w:sz w:val="28"/>
          <w:szCs w:val="28"/>
        </w:rPr>
        <w:t>Комитет по внутреннему транспорту</w:t>
      </w:r>
    </w:p>
    <w:p w:rsidR="0075366E" w:rsidRPr="0075366E" w:rsidRDefault="0075366E" w:rsidP="00155A4A">
      <w:pPr>
        <w:pStyle w:val="SingleTxtGR"/>
        <w:spacing w:after="0"/>
        <w:ind w:left="0"/>
        <w:jc w:val="left"/>
        <w:rPr>
          <w:b/>
          <w:bCs/>
        </w:rPr>
      </w:pPr>
      <w:r w:rsidRPr="0075366E">
        <w:rPr>
          <w:b/>
          <w:bCs/>
        </w:rPr>
        <w:t>Восьмидесятая сессия</w:t>
      </w:r>
    </w:p>
    <w:p w:rsidR="0075366E" w:rsidRPr="0075366E" w:rsidRDefault="0075366E" w:rsidP="00155A4A">
      <w:pPr>
        <w:pStyle w:val="SingleTxtGR"/>
        <w:spacing w:after="0"/>
        <w:ind w:left="0"/>
        <w:jc w:val="left"/>
      </w:pPr>
      <w:r w:rsidRPr="0075366E">
        <w:t>Женева, 20</w:t>
      </w:r>
      <w:r w:rsidR="00DC03C6" w:rsidRPr="00574B17">
        <w:t>-</w:t>
      </w:r>
      <w:r w:rsidRPr="0075366E">
        <w:t>23 февраля 2018</w:t>
      </w:r>
      <w:r w:rsidR="00155A4A">
        <w:t> год</w:t>
      </w:r>
      <w:r w:rsidRPr="0075366E">
        <w:t>а</w:t>
      </w:r>
    </w:p>
    <w:p w:rsidR="0075366E" w:rsidRPr="0075366E" w:rsidRDefault="0075366E" w:rsidP="00155A4A">
      <w:pPr>
        <w:pStyle w:val="SingleTxtGR"/>
        <w:spacing w:after="0"/>
        <w:ind w:left="0"/>
        <w:jc w:val="left"/>
      </w:pPr>
      <w:r w:rsidRPr="0075366E">
        <w:t>Пункт 5 e) предварительной повестки дня</w:t>
      </w:r>
    </w:p>
    <w:p w:rsidR="0075366E" w:rsidRPr="0075366E" w:rsidRDefault="0075366E" w:rsidP="00155A4A">
      <w:pPr>
        <w:pStyle w:val="SingleTxtGR"/>
        <w:spacing w:after="0"/>
        <w:ind w:left="0"/>
        <w:jc w:val="left"/>
        <w:rPr>
          <w:b/>
          <w:bCs/>
        </w:rPr>
      </w:pPr>
      <w:r w:rsidRPr="0075366E">
        <w:rPr>
          <w:b/>
          <w:bCs/>
        </w:rPr>
        <w:t xml:space="preserve">Стратегические вопросы, связанные с разными </w:t>
      </w:r>
      <w:r w:rsidR="00155A4A">
        <w:rPr>
          <w:b/>
          <w:bCs/>
        </w:rPr>
        <w:br/>
      </w:r>
      <w:r w:rsidRPr="0075366E">
        <w:rPr>
          <w:b/>
          <w:bCs/>
        </w:rPr>
        <w:t>видами транспорта и тематическими направлениями:</w:t>
      </w:r>
    </w:p>
    <w:p w:rsidR="0075366E" w:rsidRPr="0075366E" w:rsidRDefault="0075366E" w:rsidP="00155A4A">
      <w:pPr>
        <w:pStyle w:val="SingleTxtGR"/>
        <w:spacing w:after="0"/>
        <w:ind w:left="0"/>
        <w:jc w:val="left"/>
        <w:rPr>
          <w:b/>
          <w:bCs/>
        </w:rPr>
      </w:pPr>
      <w:r w:rsidRPr="0075366E">
        <w:rPr>
          <w:b/>
          <w:bCs/>
        </w:rPr>
        <w:t>Железнодорожный транспорт</w:t>
      </w:r>
    </w:p>
    <w:p w:rsidR="0075366E" w:rsidRPr="0075366E" w:rsidRDefault="0075366E" w:rsidP="0075366E">
      <w:pPr>
        <w:pStyle w:val="HChGR"/>
      </w:pPr>
      <w:r w:rsidRPr="0075366E">
        <w:tab/>
      </w:r>
      <w:r w:rsidRPr="0075366E">
        <w:tab/>
      </w:r>
      <w:r w:rsidR="0001735D">
        <w:t>Пересмотренный к</w:t>
      </w:r>
      <w:r w:rsidRPr="0075366E">
        <w:t>руг ведения Группы экспертов ЕЭК по единому железнодорожному праву</w:t>
      </w:r>
    </w:p>
    <w:p w:rsidR="0075366E" w:rsidRDefault="0075366E" w:rsidP="0075366E">
      <w:pPr>
        <w:pStyle w:val="H1GR"/>
        <w:rPr>
          <w:lang w:val="en-US"/>
        </w:rPr>
      </w:pPr>
      <w:r w:rsidRPr="0075366E">
        <w:tab/>
      </w:r>
      <w:r w:rsidRPr="0075366E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75366E" w:rsidRPr="0075366E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75366E" w:rsidRPr="0075366E" w:rsidRDefault="0075366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5366E">
              <w:rPr>
                <w:rFonts w:cs="Times New Roman"/>
              </w:rPr>
              <w:tab/>
            </w:r>
            <w:r w:rsidRPr="0075366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5366E" w:rsidRPr="0075366E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5366E" w:rsidRPr="0075366E" w:rsidRDefault="0075366E" w:rsidP="00B5429B">
            <w:pPr>
              <w:pStyle w:val="SingleTxtGR"/>
            </w:pPr>
            <w:r w:rsidRPr="0075366E">
              <w:tab/>
              <w:t>В настоящей записке представлены положения о круге ведения Группы экспертов по единому железнодорожному праву, с тем чтобы она могла продолжить свою работу и обсуждения в течение следующего двухлетнего периода.</w:t>
            </w:r>
          </w:p>
        </w:tc>
      </w:tr>
      <w:tr w:rsidR="0075366E" w:rsidRPr="0075366E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5366E" w:rsidRPr="0075366E" w:rsidRDefault="0075366E" w:rsidP="00B5429B">
            <w:pPr>
              <w:pStyle w:val="SingleTxtGR"/>
            </w:pPr>
            <w:r w:rsidRPr="0075366E">
              <w:tab/>
              <w:t>Комитет, возможно, пожелает утвердить эти положения о круге ведения, выбрав один из предложенных вариантов, и</w:t>
            </w:r>
            <w:r w:rsidR="00315F6B">
              <w:t>,</w:t>
            </w:r>
            <w:r w:rsidRPr="0075366E">
              <w:t xml:space="preserve"> соответственно</w:t>
            </w:r>
            <w:r w:rsidR="00315F6B">
              <w:t>,</w:t>
            </w:r>
            <w:r w:rsidRPr="0075366E">
              <w:t xml:space="preserve"> продлить срок действия мандата группы еще на два</w:t>
            </w:r>
            <w:r w:rsidR="00155A4A">
              <w:t> год</w:t>
            </w:r>
            <w:r w:rsidRPr="0075366E">
              <w:t>а.</w:t>
            </w:r>
          </w:p>
        </w:tc>
      </w:tr>
      <w:tr w:rsidR="0075366E" w:rsidRPr="0075366E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75366E" w:rsidRPr="0075366E" w:rsidRDefault="0075366E" w:rsidP="00850215">
            <w:pPr>
              <w:rPr>
                <w:rFonts w:cs="Times New Roman"/>
              </w:rPr>
            </w:pPr>
          </w:p>
        </w:tc>
      </w:tr>
    </w:tbl>
    <w:p w:rsidR="0075366E" w:rsidRPr="0075366E" w:rsidRDefault="0075366E" w:rsidP="0003066A">
      <w:pPr>
        <w:pStyle w:val="HChGR"/>
      </w:pPr>
      <w:r w:rsidRPr="0075366E">
        <w:tab/>
        <w:t>I.</w:t>
      </w:r>
      <w:r w:rsidRPr="0075366E">
        <w:tab/>
        <w:t>Круг вопросов и ожидаемые результаты</w:t>
      </w:r>
    </w:p>
    <w:p w:rsidR="0075366E" w:rsidRPr="0075366E" w:rsidRDefault="0075366E" w:rsidP="0003066A">
      <w:pPr>
        <w:pStyle w:val="SingleTxtGR"/>
      </w:pPr>
      <w:r w:rsidRPr="0075366E">
        <w:t>1.</w:t>
      </w:r>
      <w:r w:rsidRPr="0075366E">
        <w:tab/>
        <w:t xml:space="preserve">В соответствии с Совместной декларацией о развитии евро-азиатских железнодорожных перевозок и деятельности по созданию единого железнодорожного права, подписанной на совещании министров стран − членов ЕЭК на тему </w:t>
      </w:r>
      <w:r w:rsidR="00155A4A">
        <w:t>«</w:t>
      </w:r>
      <w:r w:rsidRPr="0075366E">
        <w:t>Введение в действие евро-азиатской транспортной сети</w:t>
      </w:r>
      <w:r w:rsidR="00155A4A">
        <w:t>»</w:t>
      </w:r>
      <w:r w:rsidRPr="0075366E">
        <w:t xml:space="preserve"> 26 февраля 2013</w:t>
      </w:r>
      <w:r w:rsidR="00155A4A">
        <w:t> год</w:t>
      </w:r>
      <w:r w:rsidRPr="0075366E">
        <w:t>а, и подготовленными Группой экспертов проектами правовых положений для формирования единого железнодорожного права на данном этапе Группа сосредоточит свою деятельность на следующих вопросах</w:t>
      </w:r>
      <w:r w:rsidR="00264626">
        <w:t>:</w:t>
      </w:r>
    </w:p>
    <w:p w:rsidR="0075366E" w:rsidRPr="0075366E" w:rsidRDefault="0075366E" w:rsidP="0075366E">
      <w:pPr>
        <w:pStyle w:val="SingleTxtGR"/>
      </w:pPr>
      <w:r w:rsidRPr="0075366E">
        <w:tab/>
      </w:r>
      <w:r w:rsidR="00B01C5F">
        <w:rPr>
          <w:lang w:val="en-US"/>
        </w:rPr>
        <w:t>a</w:t>
      </w:r>
      <w:r w:rsidR="0003066A">
        <w:t>)</w:t>
      </w:r>
      <w:r w:rsidRPr="0075366E">
        <w:tab/>
      </w:r>
      <w:r w:rsidR="001E66A4">
        <w:t xml:space="preserve">Окончательная </w:t>
      </w:r>
      <w:r w:rsidRPr="0075366E">
        <w:t xml:space="preserve">доработка необходимых документов для выполнения международных железнодорожных перевозок в соответствии с единым железнодорожным правом, включая </w:t>
      </w:r>
      <w:r w:rsidR="000668D2">
        <w:t xml:space="preserve">стандартный образец </w:t>
      </w:r>
      <w:r w:rsidR="000668D2" w:rsidRPr="0075366E">
        <w:t>накладн</w:t>
      </w:r>
      <w:r w:rsidR="000668D2">
        <w:t>ой</w:t>
      </w:r>
      <w:r w:rsidR="000668D2" w:rsidRPr="0075366E">
        <w:t xml:space="preserve"> </w:t>
      </w:r>
      <w:r w:rsidRPr="0075366E">
        <w:t>для нов</w:t>
      </w:r>
      <w:r w:rsidR="00C4652E">
        <w:t>ых положений</w:t>
      </w:r>
      <w:r w:rsidRPr="0075366E">
        <w:t xml:space="preserve"> и руководство к </w:t>
      </w:r>
      <w:r w:rsidR="00C4652E" w:rsidRPr="0075366E">
        <w:t>н</w:t>
      </w:r>
      <w:r w:rsidR="00C4652E">
        <w:t>им</w:t>
      </w:r>
      <w:r w:rsidRPr="0075366E">
        <w:t>;</w:t>
      </w:r>
    </w:p>
    <w:p w:rsidR="0075366E" w:rsidRDefault="0075366E" w:rsidP="0075366E">
      <w:pPr>
        <w:pStyle w:val="SingleTxtGR"/>
      </w:pPr>
      <w:r w:rsidRPr="0075366E">
        <w:lastRenderedPageBreak/>
        <w:tab/>
      </w:r>
      <w:r w:rsidR="002F716F">
        <w:rPr>
          <w:lang w:val="en-US"/>
        </w:rPr>
        <w:t>b</w:t>
      </w:r>
      <w:r w:rsidRPr="0075366E">
        <w:t>)</w:t>
      </w:r>
      <w:r w:rsidRPr="0075366E">
        <w:tab/>
      </w:r>
      <w:r w:rsidR="004B37E8">
        <w:t xml:space="preserve">Мониторинг </w:t>
      </w:r>
      <w:r w:rsidR="00E10603" w:rsidRPr="0075366E">
        <w:t>осуществлени</w:t>
      </w:r>
      <w:r w:rsidR="00E10603">
        <w:t>я</w:t>
      </w:r>
      <w:r w:rsidR="00E10603" w:rsidRPr="0075366E">
        <w:t xml:space="preserve"> </w:t>
      </w:r>
      <w:r w:rsidR="00E10603">
        <w:t xml:space="preserve">фактических </w:t>
      </w:r>
      <w:r w:rsidRPr="0075366E">
        <w:t>реальных опытных перевозок по согласованным коридорам или другим коридорам,</w:t>
      </w:r>
      <w:r w:rsidR="004B37E8">
        <w:t xml:space="preserve"> проводимый </w:t>
      </w:r>
      <w:r w:rsidR="004B37E8">
        <w:t>железнодорожными компаниями Группы</w:t>
      </w:r>
      <w:r w:rsidR="004B37E8">
        <w:t>,</w:t>
      </w:r>
      <w:r w:rsidRPr="0075366E">
        <w:t xml:space="preserve"> если таковые были предложены правительствами, с тем чтобы гарантировать оперативную пригодность и эффективность подготовленных правовых положений</w:t>
      </w:r>
      <w:r w:rsidR="006579F5">
        <w:t>.</w:t>
      </w:r>
    </w:p>
    <w:p w:rsidR="00EF0ED1" w:rsidRDefault="00EF0ED1" w:rsidP="0075366E">
      <w:pPr>
        <w:pStyle w:val="SingleTxtGR"/>
      </w:pPr>
      <w:r w:rsidRPr="00574B17">
        <w:tab/>
      </w:r>
      <w:r>
        <w:rPr>
          <w:lang w:val="en-US"/>
        </w:rPr>
        <w:t>c</w:t>
      </w:r>
      <w:r w:rsidRPr="00574B17">
        <w:t>)</w:t>
      </w:r>
      <w:r w:rsidRPr="00574B17">
        <w:tab/>
      </w:r>
      <w:r w:rsidR="00C317BA">
        <w:t>Разработать п</w:t>
      </w:r>
      <w:r w:rsidR="002142E0" w:rsidRPr="00574B17">
        <w:t>роект документа (или систем</w:t>
      </w:r>
      <w:r w:rsidR="00166581">
        <w:t xml:space="preserve">у </w:t>
      </w:r>
      <w:r w:rsidR="002142E0" w:rsidRPr="00574B17">
        <w:t xml:space="preserve">документов) </w:t>
      </w:r>
      <w:r w:rsidR="00EB6D00">
        <w:t>по</w:t>
      </w:r>
      <w:r w:rsidR="0090433A">
        <w:br/>
      </w:r>
      <w:r w:rsidR="002142E0" w:rsidRPr="00574B17">
        <w:t>едино</w:t>
      </w:r>
      <w:r w:rsidR="00EB6D00">
        <w:t>му</w:t>
      </w:r>
      <w:r w:rsidR="002142E0" w:rsidRPr="00574B17">
        <w:t xml:space="preserve"> железнодорожно</w:t>
      </w:r>
      <w:r w:rsidR="00EB6D00">
        <w:t>му</w:t>
      </w:r>
      <w:r w:rsidR="002142E0" w:rsidRPr="00574B17">
        <w:t xml:space="preserve"> </w:t>
      </w:r>
      <w:r w:rsidR="00793364">
        <w:t>праву</w:t>
      </w:r>
      <w:r w:rsidR="002142E0" w:rsidRPr="00574B17">
        <w:t>, который может быть принят в качестве юридически обязательного документа; документ (или систем</w:t>
      </w:r>
      <w:r w:rsidR="00EB6D00">
        <w:t>а</w:t>
      </w:r>
      <w:r w:rsidR="002142E0" w:rsidRPr="00574B17">
        <w:t xml:space="preserve"> документов) должен:</w:t>
      </w:r>
    </w:p>
    <w:p w:rsidR="007D4B83" w:rsidRPr="007D4B83" w:rsidRDefault="007D4B83" w:rsidP="007D4B83">
      <w:pPr>
        <w:pStyle w:val="SingleTxtGR"/>
      </w:pPr>
      <w:r>
        <w:tab/>
      </w:r>
      <w:r w:rsidRPr="0075366E">
        <w:t>i)</w:t>
      </w:r>
      <w:r w:rsidR="009F19B6">
        <w:tab/>
      </w:r>
      <w:r w:rsidR="00FA65DE">
        <w:t>у</w:t>
      </w:r>
      <w:r w:rsidR="009F19B6" w:rsidRPr="009F19B6">
        <w:t>читывать</w:t>
      </w:r>
      <w:r w:rsidR="0003066A">
        <w:t xml:space="preserve"> </w:t>
      </w:r>
      <w:r w:rsidR="009F19B6">
        <w:t xml:space="preserve">подготовленный </w:t>
      </w:r>
      <w:r w:rsidR="009F19B6" w:rsidRPr="009F19B6">
        <w:t>проект правовы</w:t>
      </w:r>
      <w:r w:rsidR="009F19B6">
        <w:t>х</w:t>
      </w:r>
      <w:r w:rsidR="009F19B6" w:rsidRPr="009F19B6">
        <w:t xml:space="preserve"> положени</w:t>
      </w:r>
      <w:r w:rsidR="009F19B6">
        <w:t>й</w:t>
      </w:r>
      <w:r w:rsidR="009F19B6" w:rsidRPr="009F19B6">
        <w:t xml:space="preserve"> о договоре перевоз</w:t>
      </w:r>
      <w:r w:rsidR="009F19B6">
        <w:t>ок</w:t>
      </w:r>
      <w:r w:rsidR="009F19B6" w:rsidRPr="009F19B6">
        <w:t>;</w:t>
      </w:r>
    </w:p>
    <w:p w:rsidR="007D4B83" w:rsidRPr="0075366E" w:rsidRDefault="007D4B83" w:rsidP="007D4B83">
      <w:pPr>
        <w:pStyle w:val="SingleTxtGR"/>
      </w:pPr>
      <w:r w:rsidRPr="00574B17">
        <w:tab/>
      </w:r>
      <w:proofErr w:type="spellStart"/>
      <w:r w:rsidRPr="0075366E">
        <w:t>ii</w:t>
      </w:r>
      <w:proofErr w:type="spellEnd"/>
      <w:r w:rsidRPr="0075366E">
        <w:t>)</w:t>
      </w:r>
      <w:r w:rsidRPr="0075366E">
        <w:tab/>
      </w:r>
      <w:r w:rsidR="00CB0C24" w:rsidRPr="00CB0C24">
        <w:t>включить необходимые формальные положения</w:t>
      </w:r>
      <w:r w:rsidR="00EF6890">
        <w:t>, такие</w:t>
      </w:r>
      <w:r w:rsidR="00102163">
        <w:t xml:space="preserve"> как</w:t>
      </w:r>
      <w:r w:rsidR="00102163">
        <w:br/>
      </w:r>
      <w:r w:rsidR="00CB0C24" w:rsidRPr="00CB0C24">
        <w:t xml:space="preserve">депозитарий, менеджмент, секретариат, Административный комитет, </w:t>
      </w:r>
      <w:r w:rsidR="003F2D61">
        <w:t>процедура</w:t>
      </w:r>
      <w:r w:rsidR="00CB0C24" w:rsidRPr="00CB0C24">
        <w:t xml:space="preserve"> внесени</w:t>
      </w:r>
      <w:r w:rsidR="003F2D61">
        <w:t>я</w:t>
      </w:r>
      <w:r w:rsidR="00CB0C24" w:rsidRPr="00CB0C24">
        <w:t xml:space="preserve"> </w:t>
      </w:r>
      <w:r w:rsidR="003F2D61">
        <w:t>поправок</w:t>
      </w:r>
      <w:r w:rsidR="00CB0C24" w:rsidRPr="00CB0C24">
        <w:t>, избирательные права, и т.д.;</w:t>
      </w:r>
    </w:p>
    <w:p w:rsidR="007D4B83" w:rsidRPr="0075366E" w:rsidRDefault="007D4B83" w:rsidP="007D4B83">
      <w:pPr>
        <w:pStyle w:val="SingleTxtGR"/>
      </w:pPr>
      <w:r w:rsidRPr="00574B17">
        <w:tab/>
      </w:r>
      <w:proofErr w:type="spellStart"/>
      <w:r w:rsidRPr="0075366E">
        <w:t>iii</w:t>
      </w:r>
      <w:proofErr w:type="spellEnd"/>
      <w:r w:rsidRPr="0075366E">
        <w:t>)</w:t>
      </w:r>
      <w:r w:rsidRPr="0075366E">
        <w:tab/>
      </w:r>
      <w:r w:rsidR="007C61B8" w:rsidRPr="007C61B8">
        <w:t xml:space="preserve">быть структурирован таким образом, </w:t>
      </w:r>
      <w:r w:rsidR="00311E67">
        <w:t>чтобы позволить</w:t>
      </w:r>
      <w:r w:rsidR="007C61B8" w:rsidRPr="007C61B8">
        <w:t xml:space="preserve"> легко</w:t>
      </w:r>
      <w:r w:rsidR="008931A9">
        <w:br/>
      </w:r>
      <w:r w:rsidR="007C61B8" w:rsidRPr="007C61B8">
        <w:t>дополнить его положениями</w:t>
      </w:r>
      <w:r w:rsidR="00311E67">
        <w:t xml:space="preserve"> по другим вопросам, касающих</w:t>
      </w:r>
      <w:r w:rsidR="007C61B8" w:rsidRPr="007C61B8">
        <w:t xml:space="preserve">ся международных железнодорожных грузовых перевозок, </w:t>
      </w:r>
      <w:r w:rsidR="00311E67">
        <w:t>если</w:t>
      </w:r>
      <w:r w:rsidR="007C61B8" w:rsidRPr="007C61B8">
        <w:t xml:space="preserve"> </w:t>
      </w:r>
      <w:r w:rsidR="00311E67" w:rsidRPr="007C61B8">
        <w:t xml:space="preserve">Группа </w:t>
      </w:r>
      <w:r w:rsidR="001D2D2E">
        <w:t>по</w:t>
      </w:r>
      <w:r w:rsidR="007C61B8" w:rsidRPr="007C61B8">
        <w:t xml:space="preserve">считает </w:t>
      </w:r>
      <w:r w:rsidR="005169A7">
        <w:t>это</w:t>
      </w:r>
      <w:r w:rsidR="008931A9">
        <w:br/>
      </w:r>
      <w:bookmarkStart w:id="0" w:name="_GoBack"/>
      <w:bookmarkEnd w:id="0"/>
      <w:r w:rsidR="007C61B8" w:rsidRPr="007C61B8">
        <w:t>целесообразным;</w:t>
      </w:r>
    </w:p>
    <w:p w:rsidR="007D4B83" w:rsidRPr="00574B17" w:rsidRDefault="001F3786" w:rsidP="007D4B83">
      <w:pPr>
        <w:pStyle w:val="SingleTxtGR"/>
      </w:pPr>
      <w:r>
        <w:tab/>
      </w:r>
      <w:r>
        <w:rPr>
          <w:lang w:val="en-US"/>
        </w:rPr>
        <w:t>d</w:t>
      </w:r>
      <w:r w:rsidRPr="00574B17">
        <w:t>)</w:t>
      </w:r>
      <w:r w:rsidR="00131CAC" w:rsidRPr="00574B17">
        <w:tab/>
        <w:t>Обсу</w:t>
      </w:r>
      <w:r w:rsidR="00131CAC">
        <w:t>дить</w:t>
      </w:r>
      <w:r w:rsidR="00131CAC" w:rsidRPr="00574B17">
        <w:t xml:space="preserve"> други</w:t>
      </w:r>
      <w:r w:rsidR="00131CAC">
        <w:t>е</w:t>
      </w:r>
      <w:r w:rsidR="00131CAC" w:rsidRPr="00574B17">
        <w:t xml:space="preserve"> </w:t>
      </w:r>
      <w:r w:rsidR="001A6750">
        <w:t>вопросы</w:t>
      </w:r>
      <w:r w:rsidR="007D37E0">
        <w:t xml:space="preserve"> о </w:t>
      </w:r>
      <w:r w:rsidR="007D37E0" w:rsidRPr="00D77619">
        <w:t>международных же</w:t>
      </w:r>
      <w:r w:rsidR="007D37E0">
        <w:t>лезнодорожных грузовых перевозках</w:t>
      </w:r>
      <w:r w:rsidR="001A6750">
        <w:t xml:space="preserve">, которые, </w:t>
      </w:r>
      <w:r w:rsidR="00131CAC" w:rsidRPr="00574B17">
        <w:t xml:space="preserve">при необходимости, </w:t>
      </w:r>
      <w:r w:rsidR="001A6750">
        <w:t>могут быть добавлены</w:t>
      </w:r>
      <w:r w:rsidR="00131CAC" w:rsidRPr="00574B17">
        <w:t xml:space="preserve"> в упоминаемый в</w:t>
      </w:r>
      <w:r w:rsidR="00131CAC">
        <w:t xml:space="preserve">ыше </w:t>
      </w:r>
      <w:r w:rsidR="00C413A0">
        <w:t>в</w:t>
      </w:r>
      <w:r w:rsidR="00C413A0" w:rsidRPr="00131CAC">
        <w:t xml:space="preserve"> </w:t>
      </w:r>
      <w:r w:rsidR="00C413A0">
        <w:t>(</w:t>
      </w:r>
      <w:r w:rsidR="00C413A0" w:rsidRPr="00131CAC">
        <w:rPr>
          <w:lang w:val="en-US"/>
        </w:rPr>
        <w:t>c</w:t>
      </w:r>
      <w:r w:rsidR="00C413A0" w:rsidRPr="00D77619">
        <w:t>)</w:t>
      </w:r>
      <w:r w:rsidR="00C413A0">
        <w:t xml:space="preserve"> документ</w:t>
      </w:r>
      <w:r w:rsidR="00131CAC" w:rsidRPr="00574B17">
        <w:t xml:space="preserve">; </w:t>
      </w:r>
      <w:r w:rsidR="00E675A6">
        <w:t>э</w:t>
      </w:r>
      <w:r w:rsidR="00131CAC" w:rsidRPr="00574B17">
        <w:t>ти вопросы могут включать:</w:t>
      </w:r>
    </w:p>
    <w:p w:rsidR="001F3786" w:rsidRPr="0075366E" w:rsidRDefault="001F3786" w:rsidP="001F3786">
      <w:pPr>
        <w:pStyle w:val="SingleTxtGR"/>
      </w:pPr>
      <w:r>
        <w:tab/>
      </w:r>
      <w:r w:rsidRPr="0075366E">
        <w:t>i)</w:t>
      </w:r>
      <w:r w:rsidRPr="0075366E">
        <w:tab/>
      </w:r>
      <w:r w:rsidR="00982112" w:rsidRPr="0075366E">
        <w:t xml:space="preserve">Общие </w:t>
      </w:r>
      <w:r w:rsidRPr="0075366E">
        <w:t xml:space="preserve">положения, касающиеся перевозки опасных грузов; </w:t>
      </w:r>
    </w:p>
    <w:p w:rsidR="001F3786" w:rsidRPr="0075366E" w:rsidRDefault="001F3786" w:rsidP="001F3786">
      <w:pPr>
        <w:pStyle w:val="SingleTxtGR"/>
      </w:pPr>
      <w:r w:rsidRPr="00D77619">
        <w:tab/>
      </w:r>
      <w:proofErr w:type="spellStart"/>
      <w:r>
        <w:t>ii</w:t>
      </w:r>
      <w:proofErr w:type="spellEnd"/>
      <w:r w:rsidRPr="0075366E">
        <w:t>)</w:t>
      </w:r>
      <w:r w:rsidRPr="0075366E">
        <w:tab/>
      </w:r>
      <w:r w:rsidR="00982112" w:rsidRPr="0075366E">
        <w:t xml:space="preserve">Общие </w:t>
      </w:r>
      <w:r w:rsidRPr="0075366E">
        <w:t>положения, касающиеся использования грузовых вагонов;</w:t>
      </w:r>
    </w:p>
    <w:p w:rsidR="001F3786" w:rsidRPr="0075366E" w:rsidRDefault="001F3786" w:rsidP="001F3786">
      <w:pPr>
        <w:pStyle w:val="SingleTxtGR"/>
      </w:pPr>
      <w:r w:rsidRPr="00D77619">
        <w:tab/>
      </w:r>
      <w:r>
        <w:t>i</w:t>
      </w:r>
      <w:r>
        <w:rPr>
          <w:lang w:val="en-US"/>
        </w:rPr>
        <w:t>ii</w:t>
      </w:r>
      <w:r w:rsidR="00982112">
        <w:t>)</w:t>
      </w:r>
      <w:r w:rsidRPr="0075366E">
        <w:tab/>
      </w:r>
      <w:r w:rsidR="00982112" w:rsidRPr="0075366E">
        <w:t xml:space="preserve">Общие </w:t>
      </w:r>
      <w:r w:rsidRPr="0075366E">
        <w:t>положения о железнодорожной инфраструктуре;</w:t>
      </w:r>
    </w:p>
    <w:p w:rsidR="0075366E" w:rsidRPr="0075366E" w:rsidRDefault="001F3786" w:rsidP="00405B56">
      <w:pPr>
        <w:pStyle w:val="SingleTxtGR"/>
      </w:pPr>
      <w:r w:rsidRPr="00D77619">
        <w:tab/>
      </w:r>
      <w:proofErr w:type="spellStart"/>
      <w:r>
        <w:rPr>
          <w:lang w:val="en-US"/>
        </w:rPr>
        <w:t>i</w:t>
      </w:r>
      <w:proofErr w:type="spellEnd"/>
      <w:r w:rsidRPr="0075366E">
        <w:t>v)</w:t>
      </w:r>
      <w:r w:rsidRPr="0075366E">
        <w:tab/>
      </w:r>
      <w:r w:rsidR="00982112" w:rsidRPr="0075366E">
        <w:t xml:space="preserve">Общие </w:t>
      </w:r>
      <w:r w:rsidRPr="0075366E">
        <w:t>положения</w:t>
      </w:r>
      <w:r w:rsidR="001E228F">
        <w:t xml:space="preserve"> в отношении подвижного состава.</w:t>
      </w:r>
    </w:p>
    <w:p w:rsidR="0075366E" w:rsidRPr="0075366E" w:rsidRDefault="0075366E" w:rsidP="0075366E">
      <w:pPr>
        <w:pStyle w:val="HChGR"/>
      </w:pPr>
      <w:r w:rsidRPr="0075366E">
        <w:tab/>
        <w:t>II.</w:t>
      </w:r>
      <w:r w:rsidRPr="0075366E">
        <w:tab/>
        <w:t>Методы работы</w:t>
      </w:r>
    </w:p>
    <w:p w:rsidR="0075366E" w:rsidRPr="0075366E" w:rsidRDefault="000D590F" w:rsidP="0075366E">
      <w:pPr>
        <w:pStyle w:val="SingleTxtGR"/>
      </w:pPr>
      <w:r w:rsidRPr="00574B17">
        <w:t>2</w:t>
      </w:r>
      <w:r w:rsidR="0075366E" w:rsidRPr="0075366E">
        <w:t>.</w:t>
      </w:r>
      <w:r w:rsidR="0075366E" w:rsidRPr="0075366E">
        <w:tab/>
        <w:t>Группа экспертов создается и функционирует в соответствии с Руководящими принципами создания и функционирования групп специалистов в рамках ЕЭК, утвержденными Исполнительным комитетом ЕЭК 31 марта 2010</w:t>
      </w:r>
      <w:r w:rsidR="00155A4A">
        <w:t> год</w:t>
      </w:r>
      <w:r w:rsidR="0075366E" w:rsidRPr="0075366E">
        <w:t xml:space="preserve">а (ECE/EX/2/Rev.1). На своем первом заседании Группа экспертов утвердит план работы, в котором четко устанавливаются цели и виды деятельности, включая сроки их выполнения. </w:t>
      </w:r>
    </w:p>
    <w:p w:rsidR="0075366E" w:rsidRPr="0075366E" w:rsidRDefault="000D590F" w:rsidP="0075366E">
      <w:pPr>
        <w:pStyle w:val="SingleTxtGR"/>
      </w:pPr>
      <w:r w:rsidRPr="00574B17">
        <w:t>3</w:t>
      </w:r>
      <w:r w:rsidR="0075366E" w:rsidRPr="0075366E">
        <w:t>.</w:t>
      </w:r>
      <w:r w:rsidR="0075366E" w:rsidRPr="0075366E">
        <w:tab/>
        <w:t>Предполагается, что Группа экспертов проведет два совещания в 2018</w:t>
      </w:r>
      <w:r w:rsidR="00155A4A">
        <w:t> год</w:t>
      </w:r>
      <w:r w:rsidR="0075366E" w:rsidRPr="0075366E">
        <w:t>у и по крайней мере три совещания в 2019</w:t>
      </w:r>
      <w:r w:rsidR="00155A4A">
        <w:t> год</w:t>
      </w:r>
      <w:r w:rsidR="0075366E" w:rsidRPr="0075366E">
        <w:t>у во Дворце Наций в Женеве, перед тем как завершить свою деятельность путем представления доклада Рабочей группе по железнодорожному транспорту на ее семьдесят третьей сессии (ноябрь 2019</w:t>
      </w:r>
      <w:r w:rsidR="00155A4A">
        <w:t> год</w:t>
      </w:r>
      <w:r w:rsidR="0075366E" w:rsidRPr="0075366E">
        <w:t xml:space="preserve">а, Женева). Этот доклад должен также содержать предложения по процедурам мониторинга и последующей деятельности. </w:t>
      </w:r>
    </w:p>
    <w:p w:rsidR="0075366E" w:rsidRPr="0075366E" w:rsidRDefault="000D590F" w:rsidP="0075366E">
      <w:pPr>
        <w:pStyle w:val="SingleTxtGR"/>
      </w:pPr>
      <w:r w:rsidRPr="00574B17">
        <w:t>4</w:t>
      </w:r>
      <w:r w:rsidR="0075366E" w:rsidRPr="0075366E">
        <w:t>.</w:t>
      </w:r>
      <w:r w:rsidR="0075366E" w:rsidRPr="0075366E">
        <w:tab/>
        <w:t>Перевод документов и синхронный перевод для сессий Группы, проводимых во Дворце Наций в Женеве, на английский, французский и русский языки будут осуществляться силами служб ООН (ЮНОГ).</w:t>
      </w:r>
    </w:p>
    <w:p w:rsidR="0075366E" w:rsidRPr="0075366E" w:rsidRDefault="000D590F" w:rsidP="0075366E">
      <w:pPr>
        <w:pStyle w:val="SingleTxtGR"/>
      </w:pPr>
      <w:r w:rsidRPr="00574B17">
        <w:t>5</w:t>
      </w:r>
      <w:r w:rsidR="0075366E" w:rsidRPr="0075366E">
        <w:t>.</w:t>
      </w:r>
      <w:r w:rsidR="0075366E" w:rsidRPr="0075366E">
        <w:tab/>
        <w:t>Участие в работе Группы экспертов открыто д</w:t>
      </w:r>
      <w:r w:rsidR="00856B9F">
        <w:t>ля всех заинтересованных стран-</w:t>
      </w:r>
      <w:r w:rsidR="0075366E" w:rsidRPr="0075366E">
        <w:t>членов Организации Объединенных Наций и экспертов. В ее работе предлагается принять участие представителям заинтересованных межправительственных и неправительственных организаций, а также заинтересованных железнодорожных, грузовых и транспортно-экспедиторских компаний, которые могут представлять свои экспертные мнения в соответствии с правилами и существующей практикой Организации Объединенных Наций.</w:t>
      </w:r>
    </w:p>
    <w:p w:rsidR="0075366E" w:rsidRPr="0075366E" w:rsidRDefault="0075366E" w:rsidP="0075366E">
      <w:pPr>
        <w:pStyle w:val="HChGR"/>
      </w:pPr>
      <w:r w:rsidRPr="0075366E">
        <w:lastRenderedPageBreak/>
        <w:tab/>
        <w:t>III.</w:t>
      </w:r>
      <w:r w:rsidRPr="0075366E">
        <w:tab/>
        <w:t>Секретариат</w:t>
      </w:r>
    </w:p>
    <w:p w:rsidR="00E12C5F" w:rsidRPr="00574B17" w:rsidRDefault="000D590F" w:rsidP="0075366E">
      <w:pPr>
        <w:pStyle w:val="SingleTxtGR"/>
      </w:pPr>
      <w:r w:rsidRPr="00574B17">
        <w:t>6</w:t>
      </w:r>
      <w:r w:rsidR="0075366E" w:rsidRPr="0075366E">
        <w:t>.</w:t>
      </w:r>
      <w:r w:rsidR="0075366E" w:rsidRPr="0075366E">
        <w:tab/>
        <w:t>ЕЭК предоставляет услуги секретариата для работы Группы экспертов и обеспечивает тесное сотрудничество со всеми заинтересованными сторонами, включая Европейскую комиссию, Межправительственную организацию по международным железнодорожным перевозкам (ОТИФ), Организацию сотрудничества железных дорог (ОСЖД), Международный комитет железнодорожного транспорта (МКЖТ) и соответствующие региональные комиссии Организации Объединенных Наций, в частности ЭСКАТО.</w:t>
      </w:r>
    </w:p>
    <w:p w:rsidR="0075366E" w:rsidRPr="00574B17" w:rsidRDefault="0075366E" w:rsidP="0075366E">
      <w:pPr>
        <w:pStyle w:val="SingleTxtGR"/>
        <w:spacing w:before="240" w:after="0"/>
        <w:jc w:val="center"/>
        <w:rPr>
          <w:u w:val="single"/>
        </w:rPr>
      </w:pPr>
      <w:r w:rsidRPr="00574B17">
        <w:rPr>
          <w:u w:val="single"/>
        </w:rPr>
        <w:tab/>
      </w:r>
      <w:r w:rsidRPr="00574B17">
        <w:rPr>
          <w:u w:val="single"/>
        </w:rPr>
        <w:tab/>
      </w:r>
      <w:r w:rsidRPr="00574B17">
        <w:rPr>
          <w:u w:val="single"/>
        </w:rPr>
        <w:tab/>
      </w:r>
    </w:p>
    <w:sectPr w:rsidR="0075366E" w:rsidRPr="00574B17" w:rsidSect="00827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FF" w:rsidRPr="00A312BC" w:rsidRDefault="00A128FF" w:rsidP="00A312BC"/>
  </w:endnote>
  <w:endnote w:type="continuationSeparator" w:id="0">
    <w:p w:rsidR="00A128FF" w:rsidRPr="00A312BC" w:rsidRDefault="00A128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4E" w:rsidRPr="0082754E" w:rsidRDefault="0082754E">
    <w:pPr>
      <w:pStyle w:val="Footer"/>
    </w:pPr>
    <w:r w:rsidRPr="0082754E">
      <w:rPr>
        <w:b/>
        <w:sz w:val="18"/>
      </w:rPr>
      <w:fldChar w:fldCharType="begin"/>
    </w:r>
    <w:r w:rsidRPr="0082754E">
      <w:rPr>
        <w:b/>
        <w:sz w:val="18"/>
      </w:rPr>
      <w:instrText xml:space="preserve"> PAGE  \* MERGEFORMAT </w:instrText>
    </w:r>
    <w:r w:rsidRPr="0082754E">
      <w:rPr>
        <w:b/>
        <w:sz w:val="18"/>
      </w:rPr>
      <w:fldChar w:fldCharType="separate"/>
    </w:r>
    <w:r w:rsidR="008931A9">
      <w:rPr>
        <w:b/>
        <w:noProof/>
        <w:sz w:val="18"/>
      </w:rPr>
      <w:t>2</w:t>
    </w:r>
    <w:r w:rsidRPr="0082754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4E" w:rsidRPr="0082754E" w:rsidRDefault="0082754E" w:rsidP="0082754E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82754E">
      <w:rPr>
        <w:b/>
        <w:sz w:val="18"/>
      </w:rPr>
      <w:fldChar w:fldCharType="begin"/>
    </w:r>
    <w:r w:rsidRPr="0082754E">
      <w:rPr>
        <w:b/>
        <w:sz w:val="18"/>
      </w:rPr>
      <w:instrText xml:space="preserve"> PAGE  \* MERGEFORMAT </w:instrText>
    </w:r>
    <w:r w:rsidRPr="0082754E">
      <w:rPr>
        <w:b/>
        <w:sz w:val="18"/>
      </w:rPr>
      <w:fldChar w:fldCharType="separate"/>
    </w:r>
    <w:r w:rsidR="00751800">
      <w:rPr>
        <w:b/>
        <w:noProof/>
        <w:sz w:val="18"/>
      </w:rPr>
      <w:t>3</w:t>
    </w:r>
    <w:r w:rsidRPr="008275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2754E" w:rsidRDefault="00042B72" w:rsidP="0082754E">
    <w:pPr>
      <w:spacing w:before="1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FF" w:rsidRPr="001075E9" w:rsidRDefault="00A128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28FF" w:rsidRDefault="00A128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4E" w:rsidRPr="0082754E" w:rsidRDefault="00BC75F1">
    <w:pPr>
      <w:pStyle w:val="Header"/>
    </w:pPr>
    <w:fldSimple w:instr=" TITLE  \* MERGEFORMAT ">
      <w:r w:rsidR="00A97EEB">
        <w:t>ECE/TRANS/2018/13</w:t>
      </w:r>
    </w:fldSimple>
    <w:r w:rsidR="004074ED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4E" w:rsidRPr="00574B17" w:rsidRDefault="00BC75F1" w:rsidP="0082754E">
    <w:pPr>
      <w:pStyle w:val="Header"/>
      <w:jc w:val="right"/>
      <w:rPr>
        <w:lang w:val="en-US"/>
      </w:rPr>
    </w:pPr>
    <w:fldSimple w:instr=" TITLE  \* MERGEFORMAT ">
      <w:r w:rsidR="00A97EEB">
        <w:t>ECE/TRANS/2018/13</w:t>
      </w:r>
    </w:fldSimple>
    <w:r w:rsidR="004074ED">
      <w:rPr>
        <w:lang w:val="ru-RU"/>
      </w:rPr>
      <w:t>/</w:t>
    </w:r>
    <w:r w:rsidR="004074ED">
      <w:rPr>
        <w:lang w:val="en-US"/>
      </w:rPr>
      <w:t>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4E" w:rsidRPr="00574B17" w:rsidRDefault="0082754E" w:rsidP="00574B17">
    <w:pPr>
      <w:pStyle w:val="Header"/>
      <w:pBdr>
        <w:bottom w:val="none" w:sz="0" w:space="0" w:color="auto"/>
      </w:pBd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FF"/>
    <w:rsid w:val="0001527D"/>
    <w:rsid w:val="0001735D"/>
    <w:rsid w:val="0003066A"/>
    <w:rsid w:val="00033EE1"/>
    <w:rsid w:val="00042B72"/>
    <w:rsid w:val="000558BD"/>
    <w:rsid w:val="000668D2"/>
    <w:rsid w:val="00093C59"/>
    <w:rsid w:val="000B57E7"/>
    <w:rsid w:val="000B6373"/>
    <w:rsid w:val="000D590F"/>
    <w:rsid w:val="000E4E5B"/>
    <w:rsid w:val="000F09DF"/>
    <w:rsid w:val="000F4D85"/>
    <w:rsid w:val="000F61B2"/>
    <w:rsid w:val="00102163"/>
    <w:rsid w:val="001075E9"/>
    <w:rsid w:val="00131CAC"/>
    <w:rsid w:val="0014152F"/>
    <w:rsid w:val="0015271D"/>
    <w:rsid w:val="00155A4A"/>
    <w:rsid w:val="00166581"/>
    <w:rsid w:val="00180183"/>
    <w:rsid w:val="0018024D"/>
    <w:rsid w:val="0018649F"/>
    <w:rsid w:val="00196389"/>
    <w:rsid w:val="001A6750"/>
    <w:rsid w:val="001B3EF6"/>
    <w:rsid w:val="001C7A89"/>
    <w:rsid w:val="001D2D2E"/>
    <w:rsid w:val="001E228F"/>
    <w:rsid w:val="001E66A4"/>
    <w:rsid w:val="001F3786"/>
    <w:rsid w:val="002142E0"/>
    <w:rsid w:val="00255343"/>
    <w:rsid w:val="00264626"/>
    <w:rsid w:val="0027151D"/>
    <w:rsid w:val="002A2EFC"/>
    <w:rsid w:val="002A7D59"/>
    <w:rsid w:val="002B0106"/>
    <w:rsid w:val="002B74B1"/>
    <w:rsid w:val="002C0E18"/>
    <w:rsid w:val="002D5AAC"/>
    <w:rsid w:val="002E4A04"/>
    <w:rsid w:val="002E5067"/>
    <w:rsid w:val="002F405F"/>
    <w:rsid w:val="002F716F"/>
    <w:rsid w:val="002F7EEC"/>
    <w:rsid w:val="00301299"/>
    <w:rsid w:val="00305C08"/>
    <w:rsid w:val="00307FB6"/>
    <w:rsid w:val="00311E67"/>
    <w:rsid w:val="00315F6B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1473"/>
    <w:rsid w:val="003F2D61"/>
    <w:rsid w:val="00405B56"/>
    <w:rsid w:val="004074ED"/>
    <w:rsid w:val="00407B78"/>
    <w:rsid w:val="00424203"/>
    <w:rsid w:val="00425506"/>
    <w:rsid w:val="00452493"/>
    <w:rsid w:val="00453318"/>
    <w:rsid w:val="00454AF2"/>
    <w:rsid w:val="00454E07"/>
    <w:rsid w:val="00472C5C"/>
    <w:rsid w:val="00474B5F"/>
    <w:rsid w:val="004B37E8"/>
    <w:rsid w:val="004E05B7"/>
    <w:rsid w:val="0050108D"/>
    <w:rsid w:val="00513081"/>
    <w:rsid w:val="005169A7"/>
    <w:rsid w:val="00517901"/>
    <w:rsid w:val="00526683"/>
    <w:rsid w:val="005639C1"/>
    <w:rsid w:val="005709E0"/>
    <w:rsid w:val="00572E19"/>
    <w:rsid w:val="00574B17"/>
    <w:rsid w:val="005961C8"/>
    <w:rsid w:val="005966F1"/>
    <w:rsid w:val="005B1565"/>
    <w:rsid w:val="005D7914"/>
    <w:rsid w:val="005E2B41"/>
    <w:rsid w:val="005F0B42"/>
    <w:rsid w:val="006345DB"/>
    <w:rsid w:val="00640F49"/>
    <w:rsid w:val="006579F5"/>
    <w:rsid w:val="00680D03"/>
    <w:rsid w:val="00681A10"/>
    <w:rsid w:val="006A1ED8"/>
    <w:rsid w:val="006C2031"/>
    <w:rsid w:val="006D461A"/>
    <w:rsid w:val="006E0DE6"/>
    <w:rsid w:val="006F35EE"/>
    <w:rsid w:val="007021FF"/>
    <w:rsid w:val="00712895"/>
    <w:rsid w:val="00717A0D"/>
    <w:rsid w:val="007218A9"/>
    <w:rsid w:val="00734ACB"/>
    <w:rsid w:val="00746548"/>
    <w:rsid w:val="00751800"/>
    <w:rsid w:val="0075366E"/>
    <w:rsid w:val="00757357"/>
    <w:rsid w:val="00792497"/>
    <w:rsid w:val="00793364"/>
    <w:rsid w:val="007C61B8"/>
    <w:rsid w:val="007D37E0"/>
    <w:rsid w:val="007D4B83"/>
    <w:rsid w:val="007E796F"/>
    <w:rsid w:val="00806737"/>
    <w:rsid w:val="00825F8D"/>
    <w:rsid w:val="0082754E"/>
    <w:rsid w:val="00834B71"/>
    <w:rsid w:val="00856B9F"/>
    <w:rsid w:val="0086445C"/>
    <w:rsid w:val="008931A9"/>
    <w:rsid w:val="00894693"/>
    <w:rsid w:val="008A08D7"/>
    <w:rsid w:val="008A37C8"/>
    <w:rsid w:val="008B6909"/>
    <w:rsid w:val="008D53B6"/>
    <w:rsid w:val="008F7609"/>
    <w:rsid w:val="0090433A"/>
    <w:rsid w:val="00906890"/>
    <w:rsid w:val="00911BE4"/>
    <w:rsid w:val="009406A8"/>
    <w:rsid w:val="00942FA3"/>
    <w:rsid w:val="00951972"/>
    <w:rsid w:val="009608F3"/>
    <w:rsid w:val="00964F30"/>
    <w:rsid w:val="00982112"/>
    <w:rsid w:val="009A24AC"/>
    <w:rsid w:val="009C6FE6"/>
    <w:rsid w:val="009D7E7D"/>
    <w:rsid w:val="009F19B6"/>
    <w:rsid w:val="00A128FF"/>
    <w:rsid w:val="00A14DA8"/>
    <w:rsid w:val="00A26AB4"/>
    <w:rsid w:val="00A26F1F"/>
    <w:rsid w:val="00A312BC"/>
    <w:rsid w:val="00A6048A"/>
    <w:rsid w:val="00A84021"/>
    <w:rsid w:val="00A84D35"/>
    <w:rsid w:val="00A917B3"/>
    <w:rsid w:val="00A97EEB"/>
    <w:rsid w:val="00AB4B51"/>
    <w:rsid w:val="00B01C5F"/>
    <w:rsid w:val="00B10CC7"/>
    <w:rsid w:val="00B36DF7"/>
    <w:rsid w:val="00B539E7"/>
    <w:rsid w:val="00B62458"/>
    <w:rsid w:val="00BA3C1B"/>
    <w:rsid w:val="00BC18B2"/>
    <w:rsid w:val="00BC682E"/>
    <w:rsid w:val="00BC75F1"/>
    <w:rsid w:val="00BD33EE"/>
    <w:rsid w:val="00BE1CC7"/>
    <w:rsid w:val="00C106D6"/>
    <w:rsid w:val="00C119AE"/>
    <w:rsid w:val="00C317BA"/>
    <w:rsid w:val="00C413A0"/>
    <w:rsid w:val="00C4652E"/>
    <w:rsid w:val="00C60F0C"/>
    <w:rsid w:val="00C805C9"/>
    <w:rsid w:val="00C92939"/>
    <w:rsid w:val="00CA1679"/>
    <w:rsid w:val="00CB0C24"/>
    <w:rsid w:val="00CB151C"/>
    <w:rsid w:val="00CE5A1A"/>
    <w:rsid w:val="00CF55F6"/>
    <w:rsid w:val="00D07895"/>
    <w:rsid w:val="00D26B18"/>
    <w:rsid w:val="00D33D63"/>
    <w:rsid w:val="00D41C46"/>
    <w:rsid w:val="00D5253A"/>
    <w:rsid w:val="00D90028"/>
    <w:rsid w:val="00D90138"/>
    <w:rsid w:val="00D93530"/>
    <w:rsid w:val="00DC03C6"/>
    <w:rsid w:val="00DD78D1"/>
    <w:rsid w:val="00DE32CD"/>
    <w:rsid w:val="00DF5767"/>
    <w:rsid w:val="00DF71B9"/>
    <w:rsid w:val="00E10603"/>
    <w:rsid w:val="00E12C5F"/>
    <w:rsid w:val="00E157D3"/>
    <w:rsid w:val="00E33510"/>
    <w:rsid w:val="00E6515E"/>
    <w:rsid w:val="00E675A6"/>
    <w:rsid w:val="00E73F76"/>
    <w:rsid w:val="00EA2C9F"/>
    <w:rsid w:val="00EA420E"/>
    <w:rsid w:val="00EB6D00"/>
    <w:rsid w:val="00ED0BDA"/>
    <w:rsid w:val="00EE142A"/>
    <w:rsid w:val="00EF0ED1"/>
    <w:rsid w:val="00EF1360"/>
    <w:rsid w:val="00EF3220"/>
    <w:rsid w:val="00EF6890"/>
    <w:rsid w:val="00F203FA"/>
    <w:rsid w:val="00F2523A"/>
    <w:rsid w:val="00F43903"/>
    <w:rsid w:val="00F94155"/>
    <w:rsid w:val="00F9783F"/>
    <w:rsid w:val="00FA65DE"/>
    <w:rsid w:val="00FD2EF7"/>
    <w:rsid w:val="00FD3B8E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E8A013"/>
  <w15:docId w15:val="{356DE326-3420-4B32-80D2-829D3DDA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75366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ECE/TRANS/2018/13</vt:lpstr>
      <vt:lpstr>ECE/TRANS/2018/13</vt:lpstr>
      <vt:lpstr>A/</vt:lpstr>
    </vt:vector>
  </TitlesOfParts>
  <Company>DCM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ECE/TRANS/2018/13</dc:title>
  <dc:subject/>
  <dc:creator>Ovchinnikova Olga</dc:creator>
  <cp:keywords/>
  <cp:lastModifiedBy>Yana Brynkina</cp:lastModifiedBy>
  <cp:revision>2</cp:revision>
  <cp:lastPrinted>2018-02-20T10:33:00Z</cp:lastPrinted>
  <dcterms:created xsi:type="dcterms:W3CDTF">2018-02-22T09:23:00Z</dcterms:created>
  <dcterms:modified xsi:type="dcterms:W3CDTF">2018-02-22T09:23:00Z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