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12DB5" w:rsidTr="00C97039">
        <w:trPr>
          <w:trHeight w:hRule="exact" w:val="851"/>
        </w:trPr>
        <w:tc>
          <w:tcPr>
            <w:tcW w:w="1276" w:type="dxa"/>
            <w:tcBorders>
              <w:bottom w:val="single" w:sz="4" w:space="0" w:color="auto"/>
            </w:tcBorders>
          </w:tcPr>
          <w:p w:rsidR="00F35BAF" w:rsidRPr="00712DB5" w:rsidRDefault="00F35BAF" w:rsidP="001853F5">
            <w:bookmarkStart w:id="0" w:name="_GoBack"/>
            <w:bookmarkEnd w:id="0"/>
          </w:p>
        </w:tc>
        <w:tc>
          <w:tcPr>
            <w:tcW w:w="2268" w:type="dxa"/>
            <w:tcBorders>
              <w:bottom w:val="single" w:sz="4" w:space="0" w:color="auto"/>
            </w:tcBorders>
            <w:vAlign w:val="bottom"/>
          </w:tcPr>
          <w:p w:rsidR="00F35BAF" w:rsidRPr="00712DB5" w:rsidRDefault="00F35BAF" w:rsidP="00C97039">
            <w:pPr>
              <w:spacing w:after="80" w:line="300" w:lineRule="exact"/>
              <w:rPr>
                <w:sz w:val="28"/>
              </w:rPr>
            </w:pPr>
            <w:r w:rsidRPr="00712DB5">
              <w:rPr>
                <w:sz w:val="28"/>
              </w:rPr>
              <w:t>Nations Unies</w:t>
            </w:r>
          </w:p>
        </w:tc>
        <w:tc>
          <w:tcPr>
            <w:tcW w:w="6095" w:type="dxa"/>
            <w:gridSpan w:val="2"/>
            <w:tcBorders>
              <w:bottom w:val="single" w:sz="4" w:space="0" w:color="auto"/>
            </w:tcBorders>
            <w:vAlign w:val="bottom"/>
          </w:tcPr>
          <w:p w:rsidR="00F35BAF" w:rsidRPr="00712DB5" w:rsidRDefault="001853F5" w:rsidP="001853F5">
            <w:pPr>
              <w:jc w:val="right"/>
            </w:pPr>
            <w:r w:rsidRPr="00712DB5">
              <w:rPr>
                <w:sz w:val="40"/>
              </w:rPr>
              <w:t>ECE</w:t>
            </w:r>
            <w:r w:rsidRPr="00712DB5">
              <w:t>/TRANS/WP.29/2018/9</w:t>
            </w:r>
          </w:p>
        </w:tc>
      </w:tr>
      <w:tr w:rsidR="00F35BAF" w:rsidRPr="00712DB5" w:rsidTr="00C97039">
        <w:trPr>
          <w:trHeight w:hRule="exact" w:val="2835"/>
        </w:trPr>
        <w:tc>
          <w:tcPr>
            <w:tcW w:w="1276" w:type="dxa"/>
            <w:tcBorders>
              <w:top w:val="single" w:sz="4" w:space="0" w:color="auto"/>
              <w:bottom w:val="single" w:sz="12" w:space="0" w:color="auto"/>
            </w:tcBorders>
          </w:tcPr>
          <w:p w:rsidR="00F35BAF" w:rsidRPr="00712DB5" w:rsidRDefault="00F35BAF" w:rsidP="00C97039">
            <w:pPr>
              <w:spacing w:before="120"/>
              <w:jc w:val="center"/>
            </w:pPr>
            <w:r w:rsidRPr="00712DB5">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12DB5" w:rsidRDefault="00F35BAF" w:rsidP="00C97039">
            <w:pPr>
              <w:spacing w:before="120" w:line="420" w:lineRule="exact"/>
              <w:rPr>
                <w:b/>
                <w:sz w:val="40"/>
                <w:szCs w:val="40"/>
              </w:rPr>
            </w:pPr>
            <w:r w:rsidRPr="00712DB5">
              <w:rPr>
                <w:b/>
                <w:sz w:val="40"/>
                <w:szCs w:val="40"/>
              </w:rPr>
              <w:t>Conseil économique et social</w:t>
            </w:r>
          </w:p>
        </w:tc>
        <w:tc>
          <w:tcPr>
            <w:tcW w:w="2835" w:type="dxa"/>
            <w:tcBorders>
              <w:top w:val="single" w:sz="4" w:space="0" w:color="auto"/>
              <w:bottom w:val="single" w:sz="12" w:space="0" w:color="auto"/>
            </w:tcBorders>
          </w:tcPr>
          <w:p w:rsidR="00F35BAF" w:rsidRPr="00712DB5" w:rsidRDefault="001853F5" w:rsidP="00C97039">
            <w:pPr>
              <w:spacing w:before="240"/>
            </w:pPr>
            <w:r w:rsidRPr="00712DB5">
              <w:t>Distr. générale</w:t>
            </w:r>
          </w:p>
          <w:p w:rsidR="001853F5" w:rsidRPr="00712DB5" w:rsidRDefault="001853F5" w:rsidP="001853F5">
            <w:pPr>
              <w:spacing w:line="240" w:lineRule="exact"/>
            </w:pPr>
            <w:r w:rsidRPr="00712DB5">
              <w:t>28 décembre 2017</w:t>
            </w:r>
          </w:p>
          <w:p w:rsidR="001853F5" w:rsidRPr="00712DB5" w:rsidRDefault="001853F5" w:rsidP="001853F5">
            <w:pPr>
              <w:spacing w:line="240" w:lineRule="exact"/>
            </w:pPr>
            <w:r w:rsidRPr="00712DB5">
              <w:t>Français</w:t>
            </w:r>
          </w:p>
          <w:p w:rsidR="001853F5" w:rsidRPr="00712DB5" w:rsidRDefault="001853F5" w:rsidP="00712DB5">
            <w:pPr>
              <w:spacing w:line="240" w:lineRule="exact"/>
            </w:pPr>
            <w:r w:rsidRPr="00712DB5">
              <w:t>Original</w:t>
            </w:r>
            <w:r w:rsidR="00712DB5" w:rsidRPr="00712DB5">
              <w:t> :</w:t>
            </w:r>
            <w:r w:rsidRPr="00712DB5">
              <w:t xml:space="preserve"> anglais</w:t>
            </w:r>
          </w:p>
        </w:tc>
      </w:tr>
    </w:tbl>
    <w:p w:rsidR="007F20FA" w:rsidRPr="00712DB5" w:rsidRDefault="007F20FA" w:rsidP="007F20FA">
      <w:pPr>
        <w:spacing w:before="120"/>
        <w:rPr>
          <w:b/>
          <w:sz w:val="28"/>
          <w:szCs w:val="28"/>
        </w:rPr>
      </w:pPr>
      <w:r w:rsidRPr="00712DB5">
        <w:rPr>
          <w:b/>
          <w:sz w:val="28"/>
          <w:szCs w:val="28"/>
        </w:rPr>
        <w:t>Commission économique pour l’Europe</w:t>
      </w:r>
    </w:p>
    <w:p w:rsidR="007F20FA" w:rsidRPr="00712DB5" w:rsidRDefault="007F20FA" w:rsidP="007F20FA">
      <w:pPr>
        <w:spacing w:before="120"/>
        <w:rPr>
          <w:sz w:val="28"/>
          <w:szCs w:val="28"/>
        </w:rPr>
      </w:pPr>
      <w:r w:rsidRPr="00712DB5">
        <w:rPr>
          <w:sz w:val="28"/>
          <w:szCs w:val="28"/>
        </w:rPr>
        <w:t>Comité des transports intérieurs</w:t>
      </w:r>
    </w:p>
    <w:p w:rsidR="001853F5" w:rsidRPr="00712DB5" w:rsidRDefault="001853F5" w:rsidP="00AF0CB5">
      <w:pPr>
        <w:spacing w:before="120"/>
        <w:rPr>
          <w:b/>
          <w:sz w:val="24"/>
          <w:szCs w:val="24"/>
        </w:rPr>
      </w:pPr>
      <w:r w:rsidRPr="00712DB5">
        <w:rPr>
          <w:b/>
          <w:sz w:val="24"/>
          <w:szCs w:val="24"/>
        </w:rPr>
        <w:t>Forum mondial de l’harmonisation</w:t>
      </w:r>
      <w:r w:rsidR="00712DB5" w:rsidRPr="00712DB5">
        <w:rPr>
          <w:b/>
          <w:sz w:val="24"/>
          <w:szCs w:val="24"/>
        </w:rPr>
        <w:t xml:space="preserve"> </w:t>
      </w:r>
      <w:r w:rsidRPr="00712DB5">
        <w:rPr>
          <w:b/>
          <w:sz w:val="24"/>
          <w:szCs w:val="24"/>
        </w:rPr>
        <w:br/>
        <w:t>des Règlements concernant les véhicules</w:t>
      </w:r>
    </w:p>
    <w:p w:rsidR="001853F5" w:rsidRPr="00712DB5" w:rsidRDefault="001853F5" w:rsidP="00257168">
      <w:pPr>
        <w:spacing w:before="120" w:line="240" w:lineRule="exact"/>
        <w:rPr>
          <w:b/>
        </w:rPr>
      </w:pPr>
      <w:r w:rsidRPr="00712DB5">
        <w:rPr>
          <w:b/>
        </w:rPr>
        <w:t>174</w:t>
      </w:r>
      <w:r w:rsidRPr="00712DB5">
        <w:rPr>
          <w:b/>
          <w:vertAlign w:val="superscript"/>
        </w:rPr>
        <w:t>e</w:t>
      </w:r>
      <w:r w:rsidRPr="00712DB5">
        <w:rPr>
          <w:b/>
        </w:rPr>
        <w:t> session</w:t>
      </w:r>
    </w:p>
    <w:p w:rsidR="001853F5" w:rsidRPr="00712DB5" w:rsidRDefault="001853F5" w:rsidP="00257168">
      <w:pPr>
        <w:spacing w:line="240" w:lineRule="exact"/>
      </w:pPr>
      <w:r w:rsidRPr="00712DB5">
        <w:t>Genève, 13-16 mars 2018</w:t>
      </w:r>
    </w:p>
    <w:p w:rsidR="001853F5" w:rsidRPr="00712DB5" w:rsidRDefault="001853F5" w:rsidP="001853F5">
      <w:pPr>
        <w:kinsoku/>
        <w:overflowPunct/>
        <w:autoSpaceDE/>
        <w:autoSpaceDN/>
        <w:adjustRightInd/>
        <w:snapToGrid/>
        <w:rPr>
          <w:rFonts w:eastAsia="Times New Roman"/>
        </w:rPr>
      </w:pPr>
      <w:r w:rsidRPr="00712DB5">
        <w:t>Point 4.7.1 de l’ordre du jour provisoire</w:t>
      </w:r>
    </w:p>
    <w:p w:rsidR="00F9573C" w:rsidRPr="00712DB5" w:rsidRDefault="001853F5" w:rsidP="00712DB5">
      <w:pPr>
        <w:kinsoku/>
        <w:overflowPunct/>
        <w:autoSpaceDE/>
        <w:autoSpaceDN/>
        <w:adjustRightInd/>
        <w:snapToGrid/>
        <w:rPr>
          <w:b/>
        </w:rPr>
      </w:pPr>
      <w:r w:rsidRPr="00712DB5">
        <w:rPr>
          <w:b/>
        </w:rPr>
        <w:t>Accord de 1958</w:t>
      </w:r>
      <w:r w:rsidR="00712DB5" w:rsidRPr="00712DB5">
        <w:rPr>
          <w:b/>
        </w:rPr>
        <w:t xml:space="preserve"> : </w:t>
      </w:r>
      <w:r w:rsidRPr="00712DB5">
        <w:rPr>
          <w:b/>
        </w:rPr>
        <w:br/>
        <w:t>Examen de projets d</w:t>
      </w:r>
      <w:r w:rsidR="00712DB5" w:rsidRPr="00712DB5">
        <w:rPr>
          <w:b/>
        </w:rPr>
        <w:t>’</w:t>
      </w:r>
      <w:r w:rsidRPr="00712DB5">
        <w:rPr>
          <w:b/>
        </w:rPr>
        <w:t>amendements</w:t>
      </w:r>
      <w:r w:rsidR="00712DB5">
        <w:rPr>
          <w:b/>
        </w:rPr>
        <w:t xml:space="preserve"> </w:t>
      </w:r>
      <w:r w:rsidRPr="00712DB5">
        <w:rPr>
          <w:b/>
        </w:rPr>
        <w:t xml:space="preserve">à des Règlements </w:t>
      </w:r>
      <w:r w:rsidR="00A92A9E">
        <w:rPr>
          <w:b/>
        </w:rPr>
        <w:br/>
      </w:r>
      <w:r w:rsidRPr="00712DB5">
        <w:rPr>
          <w:b/>
        </w:rPr>
        <w:t>existants, soumis par le GRRF</w:t>
      </w:r>
    </w:p>
    <w:p w:rsidR="00F40E55" w:rsidRPr="00712DB5" w:rsidRDefault="001853F5" w:rsidP="001853F5">
      <w:pPr>
        <w:pStyle w:val="HChG"/>
      </w:pPr>
      <w:r w:rsidRPr="00712DB5">
        <w:tab/>
      </w:r>
      <w:r w:rsidRPr="00712DB5">
        <w:tab/>
      </w:r>
      <w:r w:rsidR="00646DBD" w:rsidRPr="00712DB5">
        <w:t>Proposition de complément 15 à la série 11 d’amendements au Règlement n</w:t>
      </w:r>
      <w:r w:rsidR="00646DBD" w:rsidRPr="00712DB5">
        <w:rPr>
          <w:vertAlign w:val="superscript"/>
        </w:rPr>
        <w:t>o</w:t>
      </w:r>
      <w:r w:rsidR="00646DBD" w:rsidRPr="00712DB5">
        <w:t> 13 (Freinage des véhicules lourds)</w:t>
      </w:r>
    </w:p>
    <w:p w:rsidR="00F40E55" w:rsidRPr="00712DB5" w:rsidRDefault="001853F5" w:rsidP="001853F5">
      <w:pPr>
        <w:pStyle w:val="H1G"/>
      </w:pPr>
      <w:r w:rsidRPr="00712DB5">
        <w:tab/>
      </w:r>
      <w:r w:rsidRPr="00712DB5">
        <w:tab/>
      </w:r>
      <w:r w:rsidR="00646DBD" w:rsidRPr="00712DB5">
        <w:t xml:space="preserve">Communication du Groupe de travail en matière de roulement </w:t>
      </w:r>
      <w:r w:rsidRPr="00712DB5">
        <w:br/>
      </w:r>
      <w:r w:rsidR="00646DBD" w:rsidRPr="00712DB5">
        <w:t>et de freinage</w:t>
      </w:r>
      <w:r w:rsidRPr="00712DB5">
        <w:rPr>
          <w:rStyle w:val="FootnoteReference"/>
          <w:b w:val="0"/>
          <w:sz w:val="20"/>
          <w:vertAlign w:val="baseline"/>
        </w:rPr>
        <w:footnoteReference w:customMarkFollows="1" w:id="2"/>
        <w:t>*</w:t>
      </w:r>
    </w:p>
    <w:p w:rsidR="00F40E55" w:rsidRPr="00712DB5" w:rsidRDefault="00646DBD" w:rsidP="001853F5">
      <w:pPr>
        <w:pStyle w:val="SingleTxtG"/>
        <w:ind w:firstLine="567"/>
      </w:pPr>
      <w:r w:rsidRPr="00712DB5">
        <w:t>Le texte reproduit ci-après, adopté par le Groupe de travail en matière de roulement et de freinage (GRRF) à sa quatre-vingt-quatrième session (ECE/TRANS/WP.29/GRRF/84, par. 15), est fondé sur les documents ECE/TRANS/WP.29/GRRF/2017/2, ECE/TRANS/WP.29/GRRF/2017/11 et ECE/TRANS/WP.29/GRRF/2017/12, ainsi que sur l’annexe V du rapport. Il est soumis au Forum mondial de l’harmonisation des Règlements concernant les véhicules (WP.29) et au Comité d</w:t>
      </w:r>
      <w:r w:rsidR="00712DB5" w:rsidRPr="00712DB5">
        <w:t>’</w:t>
      </w:r>
      <w:r w:rsidRPr="00712DB5">
        <w:t>administration (AC.1) pour examen à leurs sessions de mars 2018.</w:t>
      </w:r>
    </w:p>
    <w:p w:rsidR="00F40E55" w:rsidRPr="00712DB5" w:rsidRDefault="00646DBD" w:rsidP="001853F5">
      <w:pPr>
        <w:pStyle w:val="HChG"/>
      </w:pPr>
      <w:r w:rsidRPr="00712DB5">
        <w:br w:type="page"/>
      </w:r>
      <w:r w:rsidRPr="00712DB5">
        <w:lastRenderedPageBreak/>
        <w:tab/>
      </w:r>
      <w:r w:rsidRPr="00712DB5">
        <w:tab/>
        <w:t>Complément 15 à la série 11 d’amendements au</w:t>
      </w:r>
      <w:r w:rsidR="00384C1E" w:rsidRPr="00712DB5">
        <w:t xml:space="preserve"> </w:t>
      </w:r>
      <w:r w:rsidRPr="00712DB5">
        <w:t>Règlement n</w:t>
      </w:r>
      <w:r w:rsidRPr="00712DB5">
        <w:rPr>
          <w:vertAlign w:val="superscript"/>
        </w:rPr>
        <w:t>o</w:t>
      </w:r>
      <w:r w:rsidRPr="00712DB5">
        <w:t> 13 (Freinage des véhicules lourds)</w:t>
      </w:r>
    </w:p>
    <w:p w:rsidR="00F40E55" w:rsidRPr="00712DB5" w:rsidRDefault="00646DBD" w:rsidP="001853F5">
      <w:pPr>
        <w:pStyle w:val="SingleTxtG"/>
      </w:pPr>
      <w:r w:rsidRPr="00712DB5">
        <w:rPr>
          <w:i/>
        </w:rPr>
        <w:t>Note de bas de page 12</w:t>
      </w:r>
      <w:r w:rsidRPr="00712DB5">
        <w:t>, lire :</w:t>
      </w:r>
    </w:p>
    <w:p w:rsidR="001853F5" w:rsidRPr="00712DB5" w:rsidRDefault="001853F5" w:rsidP="001853F5">
      <w:pPr>
        <w:pStyle w:val="Footer"/>
        <w:tabs>
          <w:tab w:val="right" w:pos="2608"/>
        </w:tabs>
        <w:spacing w:after="80" w:line="240" w:lineRule="atLeast"/>
        <w:ind w:left="1134"/>
      </w:pPr>
      <w:r w:rsidRPr="00712DB5">
        <w:t>« </w:t>
      </w:r>
      <w:r w:rsidRPr="00712DB5">
        <w:rPr>
          <w:u w:val="single"/>
        </w:rPr>
        <w:tab/>
      </w:r>
    </w:p>
    <w:p w:rsidR="00F40E55" w:rsidRPr="00712DB5" w:rsidRDefault="001853F5" w:rsidP="001853F5">
      <w:pPr>
        <w:pStyle w:val="FootnoteText"/>
        <w:tabs>
          <w:tab w:val="clear" w:pos="1021"/>
          <w:tab w:val="right" w:pos="1588"/>
        </w:tabs>
        <w:ind w:left="1701" w:hanging="1701"/>
      </w:pPr>
      <w:r w:rsidRPr="00712DB5">
        <w:rPr>
          <w:vertAlign w:val="superscript"/>
        </w:rPr>
        <w:tab/>
      </w:r>
      <w:r w:rsidR="00646DBD" w:rsidRPr="00712DB5">
        <w:rPr>
          <w:vertAlign w:val="superscript"/>
        </w:rPr>
        <w:t>12</w:t>
      </w:r>
      <w:r w:rsidRPr="00712DB5">
        <w:tab/>
      </w:r>
      <w:r w:rsidR="00646DBD" w:rsidRPr="00712DB5">
        <w:t>Sont dispensés de la présente prescription les véhicules tout-terrain, les véhicules spéciaux (par exemple, les engins mobiles montés sur un châssis de véhicule non normalisé, les grues mobiles, les véhicules à propulsion hydrostatique sur lesquels le système hydraulique sert aussi au freinage et à des fonctions auxiliaires, ainsi que les véhicules ayant un châssis non normalisé sur lesquels les capteurs d’accélération latérale et/ou de vitesse angulaire de lacet, nécessaires à la fonction de contrôle de stabilité, ne peuvent pas être installés dans la zone désignée à proximité du centre de gravité du véhicule sans que soit compromis leur usage spécifique), les véhicules de la catégorie N</w:t>
      </w:r>
      <w:r w:rsidR="00646DBD" w:rsidRPr="00712DB5">
        <w:rPr>
          <w:vertAlign w:val="subscript"/>
        </w:rPr>
        <w:t>2</w:t>
      </w:r>
      <w:r w:rsidR="00646DBD" w:rsidRPr="00712DB5">
        <w:t xml:space="preserve"> dont la masse brute est comprise entre 3,5 et 7,5 tonnes, qui sont montés sur un châssis surbaissé non normalisé, qui ont plus de deux essieux et qui sont équipés d’une transmission hydraulique, les autobus de la classe I et de la classe A des catégories M</w:t>
      </w:r>
      <w:r w:rsidR="00646DBD" w:rsidRPr="00712DB5">
        <w:rPr>
          <w:vertAlign w:val="subscript"/>
        </w:rPr>
        <w:t>2</w:t>
      </w:r>
      <w:r w:rsidR="00646DBD" w:rsidRPr="00712DB5">
        <w:t xml:space="preserve"> et M</w:t>
      </w:r>
      <w:r w:rsidR="00646DBD" w:rsidRPr="00712DB5">
        <w:rPr>
          <w:vertAlign w:val="subscript"/>
        </w:rPr>
        <w:t>3</w:t>
      </w:r>
      <w:r w:rsidR="00646DBD" w:rsidRPr="00712DB5">
        <w:t>, les autobus et les autocars articulés, et les tracteurs de la catégorie N</w:t>
      </w:r>
      <w:r w:rsidR="00646DBD" w:rsidRPr="00712DB5">
        <w:rPr>
          <w:vertAlign w:val="subscript"/>
        </w:rPr>
        <w:t>2</w:t>
      </w:r>
      <w:r w:rsidR="00646DBD" w:rsidRPr="00712DB5">
        <w:t xml:space="preserve"> pour semi-remorque dont la masse brute est comprise entre 3,5 et 7,5</w:t>
      </w:r>
      <w:r w:rsidR="00FA709B">
        <w:t> tonnes</w:t>
      </w:r>
      <w:r w:rsidR="00646DBD" w:rsidRPr="00712DB5">
        <w:t>.</w:t>
      </w:r>
      <w:r w:rsidRPr="00712DB5">
        <w:t> »</w:t>
      </w:r>
      <w:r w:rsidR="00646DBD" w:rsidRPr="00712DB5">
        <w:t>.</w:t>
      </w:r>
    </w:p>
    <w:p w:rsidR="00F40E55" w:rsidRPr="00712DB5" w:rsidRDefault="00646DBD" w:rsidP="001853F5">
      <w:pPr>
        <w:pStyle w:val="SingleTxtG"/>
        <w:spacing w:before="120"/>
        <w:rPr>
          <w:i/>
        </w:rPr>
      </w:pPr>
      <w:r w:rsidRPr="00712DB5">
        <w:rPr>
          <w:i/>
        </w:rPr>
        <w:t>Annexe 5,</w:t>
      </w:r>
    </w:p>
    <w:p w:rsidR="00F40E55" w:rsidRPr="00712DB5" w:rsidRDefault="00646DBD" w:rsidP="001853F5">
      <w:pPr>
        <w:pStyle w:val="SingleTxtG"/>
      </w:pPr>
      <w:r w:rsidRPr="00712DB5">
        <w:rPr>
          <w:i/>
        </w:rPr>
        <w:t>Paragraphes 2.2 et 2.2.1</w:t>
      </w:r>
      <w:r w:rsidRPr="00712DB5">
        <w:t>, supprimer.</w:t>
      </w:r>
    </w:p>
    <w:p w:rsidR="00F40E55" w:rsidRPr="00712DB5" w:rsidRDefault="00646DBD" w:rsidP="001853F5">
      <w:pPr>
        <w:pStyle w:val="SingleTxtG"/>
      </w:pPr>
      <w:r w:rsidRPr="00712DB5">
        <w:rPr>
          <w:i/>
        </w:rPr>
        <w:t>Les paragraphes 2.3 à 2.4.1</w:t>
      </w:r>
      <w:r w:rsidRPr="00712DB5">
        <w:t xml:space="preserve"> deviennent les paragraphes 2.2 à 2.3.1.</w:t>
      </w:r>
    </w:p>
    <w:p w:rsidR="00F40E55" w:rsidRPr="00712DB5" w:rsidRDefault="00646DBD" w:rsidP="001853F5">
      <w:pPr>
        <w:pStyle w:val="SingleTxtG"/>
        <w:rPr>
          <w:i/>
        </w:rPr>
      </w:pPr>
      <w:r w:rsidRPr="00712DB5">
        <w:rPr>
          <w:i/>
        </w:rPr>
        <w:t>Annexe 12,</w:t>
      </w:r>
    </w:p>
    <w:p w:rsidR="00F40E55" w:rsidRPr="00712DB5" w:rsidRDefault="00646DBD" w:rsidP="001853F5">
      <w:pPr>
        <w:pStyle w:val="SingleTxtG"/>
      </w:pPr>
      <w:r w:rsidRPr="00712DB5">
        <w:rPr>
          <w:i/>
        </w:rPr>
        <w:t>Paragraphes 2.3.10 et 2.3.11</w:t>
      </w:r>
      <w:r w:rsidRPr="00712DB5">
        <w:t>, supprimer.</w:t>
      </w:r>
    </w:p>
    <w:p w:rsidR="00F40E55" w:rsidRPr="00712DB5" w:rsidRDefault="00646DBD" w:rsidP="001853F5">
      <w:pPr>
        <w:pStyle w:val="SingleTxtG"/>
      </w:pPr>
      <w:r w:rsidRPr="00712DB5">
        <w:rPr>
          <w:i/>
        </w:rPr>
        <w:t>Ancien paragraphe 2.3.12</w:t>
      </w:r>
      <w:r w:rsidRPr="00FA709B">
        <w:t>,</w:t>
      </w:r>
      <w:r w:rsidRPr="00712DB5">
        <w:rPr>
          <w:i/>
        </w:rPr>
        <w:t xml:space="preserve"> </w:t>
      </w:r>
      <w:r w:rsidRPr="00712DB5">
        <w:t>lire (et renuméroter en conséquence)</w:t>
      </w:r>
      <w:r w:rsidR="00712DB5" w:rsidRPr="00712DB5">
        <w:t> :</w:t>
      </w:r>
    </w:p>
    <w:p w:rsidR="00F40E55" w:rsidRPr="00712DB5" w:rsidRDefault="00712DB5" w:rsidP="006077F8">
      <w:pPr>
        <w:pStyle w:val="SingleTxtG"/>
        <w:tabs>
          <w:tab w:val="left" w:pos="2268"/>
        </w:tabs>
        <w:ind w:left="2835" w:hanging="1701"/>
      </w:pPr>
      <w:r w:rsidRPr="00712DB5">
        <w:t>« </w:t>
      </w:r>
      <w:r w:rsidR="00646DBD" w:rsidRPr="00712DB5">
        <w:t>2.3.10</w:t>
      </w:r>
      <w:r w:rsidR="00646DBD" w:rsidRPr="00712DB5">
        <w:tab/>
        <w:t>s</w:t>
      </w:r>
      <w:r w:rsidR="00646DBD" w:rsidRPr="00712DB5">
        <w:rPr>
          <w:vertAlign w:val="subscript"/>
        </w:rPr>
        <w:t>cd</w:t>
      </w:r>
      <w:r w:rsidR="00646DBD" w:rsidRPr="00712DB5">
        <w:tab/>
        <w:t>Course différentielle maximale que le compensateur peut admettre, de par ses propriétés géométriques et sa construction, lorsque seul un frein est actionné en marche avant tandis que l’autre est actionné dans l’autre sens, de façon à garantir l’application de tensions égales à chacun(e) des deux câbles/tiges.</w:t>
      </w:r>
    </w:p>
    <w:p w:rsidR="00F40E55" w:rsidRPr="00712DB5" w:rsidRDefault="00646DBD" w:rsidP="006077F8">
      <w:pPr>
        <w:spacing w:after="120"/>
        <w:ind w:left="2835"/>
      </w:pPr>
      <w:r w:rsidRPr="00712DB5">
        <w:t>(</w:t>
      </w:r>
      <w:r w:rsidR="006077F8" w:rsidRPr="00712DB5">
        <w:t>V</w:t>
      </w:r>
      <w:r w:rsidRPr="00712DB5">
        <w:t>oir la figure 5A de l’appendice 1</w:t>
      </w:r>
      <w:r w:rsidR="00FA709B">
        <w:t>.</w:t>
      </w:r>
      <w:r w:rsidRPr="00712DB5">
        <w:t>)</w:t>
      </w:r>
      <w:r w:rsidR="00712DB5" w:rsidRPr="00712DB5">
        <w:t> »</w:t>
      </w:r>
      <w:r w:rsidRPr="00712DB5">
        <w:t>.</w:t>
      </w:r>
    </w:p>
    <w:p w:rsidR="00F40E55" w:rsidRPr="00712DB5" w:rsidRDefault="00646DBD" w:rsidP="001853F5">
      <w:pPr>
        <w:pStyle w:val="SingleTxtG"/>
      </w:pPr>
      <w:r w:rsidRPr="00712DB5">
        <w:rPr>
          <w:i/>
        </w:rPr>
        <w:t>Note de bas de page 1</w:t>
      </w:r>
      <w:r w:rsidRPr="00712DB5">
        <w:t>, supprimer.</w:t>
      </w:r>
    </w:p>
    <w:p w:rsidR="00F40E55" w:rsidRPr="00712DB5" w:rsidRDefault="00646DBD" w:rsidP="001853F5">
      <w:pPr>
        <w:pStyle w:val="SingleTxtG"/>
      </w:pPr>
      <w:r w:rsidRPr="00712DB5">
        <w:rPr>
          <w:i/>
        </w:rPr>
        <w:t>Paragraphe 8.1.2</w:t>
      </w:r>
      <w:r w:rsidRPr="00712DB5">
        <w:t>, lire :</w:t>
      </w:r>
    </w:p>
    <w:p w:rsidR="00F40E55" w:rsidRPr="00712DB5" w:rsidRDefault="00712DB5" w:rsidP="001853F5">
      <w:pPr>
        <w:pStyle w:val="SingleTxtG"/>
        <w:ind w:left="2268" w:hanging="1134"/>
      </w:pPr>
      <w:r w:rsidRPr="00712DB5">
        <w:t>« </w:t>
      </w:r>
      <w:r w:rsidR="00646DBD" w:rsidRPr="00712DB5">
        <w:t>8.1.2</w:t>
      </w:r>
      <w:r w:rsidR="00646DBD" w:rsidRPr="00712DB5">
        <w:tab/>
        <w:t>Les détails concernant la traction doivent être fournis, afin qu’il puisse être démontré que l’articulation du compensateur suffit à garantir l’application de tensions égales à chacun des câbles arrière. Le compensateur doit être suffisamment large pour faciliter les courses différentielles de gauche à droite. Les mâchoires de la chape d’attelage doivent aussi être suffisamment profondes par rapport à leur largeur afin qu’elles n’entravent pas l’articulation lorsque le compensateur n’est pas parallèle aux essieux.</w:t>
      </w:r>
    </w:p>
    <w:p w:rsidR="00F40E55" w:rsidRPr="00712DB5" w:rsidRDefault="00646DBD" w:rsidP="001853F5">
      <w:pPr>
        <w:pStyle w:val="SingleTxtG"/>
        <w:ind w:left="2268"/>
      </w:pPr>
      <w:r w:rsidRPr="00712DB5">
        <w:t>La course différentielle au niveau du compensateur (s</w:t>
      </w:r>
      <w:r w:rsidRPr="00712DB5">
        <w:rPr>
          <w:vertAlign w:val="subscript"/>
        </w:rPr>
        <w:t>cd</w:t>
      </w:r>
      <w:r w:rsidRPr="00712DB5">
        <w:t>) doit être calculée à l’aide de la formule suivante</w:t>
      </w:r>
      <w:r w:rsidR="00712DB5" w:rsidRPr="00712DB5">
        <w:t> :</w:t>
      </w:r>
    </w:p>
    <w:p w:rsidR="006077F8" w:rsidRPr="00712DB5" w:rsidRDefault="00646DBD" w:rsidP="006077F8">
      <w:pPr>
        <w:pStyle w:val="SingleTxtG"/>
        <w:ind w:left="2268"/>
      </w:pPr>
      <w:r w:rsidRPr="00712DB5">
        <w:t>S</w:t>
      </w:r>
      <w:r w:rsidRPr="00712DB5">
        <w:rPr>
          <w:vertAlign w:val="subscript"/>
        </w:rPr>
        <w:t>cd</w:t>
      </w:r>
      <w:r w:rsidRPr="00712DB5">
        <w:t xml:space="preserve"> ≥ 1</w:t>
      </w:r>
      <w:r w:rsidR="00FA709B">
        <w:t>,</w:t>
      </w:r>
      <w:r w:rsidRPr="00712DB5">
        <w:t>2 • S</w:t>
      </w:r>
      <w:r w:rsidRPr="00712DB5">
        <w:rPr>
          <w:vertAlign w:val="subscript"/>
        </w:rPr>
        <w:t>r</w:t>
      </w:r>
      <w:r w:rsidR="00712DB5" w:rsidRPr="00712DB5">
        <w:t> »</w:t>
      </w:r>
      <w:r w:rsidRPr="00712DB5">
        <w:t>.</w:t>
      </w:r>
    </w:p>
    <w:p w:rsidR="00F40E55" w:rsidRPr="00712DB5" w:rsidRDefault="006077F8" w:rsidP="006077F8">
      <w:pPr>
        <w:pStyle w:val="SingleTxtG"/>
        <w:rPr>
          <w:b/>
        </w:rPr>
      </w:pPr>
      <w:r w:rsidRPr="00712DB5">
        <w:br w:type="page"/>
      </w:r>
      <w:r w:rsidR="00646DBD" w:rsidRPr="00712DB5">
        <w:rPr>
          <w:i/>
        </w:rPr>
        <w:lastRenderedPageBreak/>
        <w:t>Annexe 12, appendice 1, figure 5A</w:t>
      </w:r>
      <w:r w:rsidR="00646DBD" w:rsidRPr="00712DB5">
        <w:t>, lire :</w:t>
      </w:r>
    </w:p>
    <w:p w:rsidR="00784B0F" w:rsidRPr="00712DB5" w:rsidRDefault="00784B0F" w:rsidP="00784B0F">
      <w:pPr>
        <w:pStyle w:val="H23G"/>
        <w:rPr>
          <w:b w:val="0"/>
        </w:rPr>
      </w:pPr>
      <w:r w:rsidRPr="00712DB5">
        <w:tab/>
      </w:r>
      <w:r w:rsidRPr="00712DB5">
        <w:tab/>
      </w:r>
      <w:r w:rsidRPr="00712DB5">
        <w:rPr>
          <w:b w:val="0"/>
        </w:rPr>
        <w:t>Figure 5A</w:t>
      </w:r>
      <w:r w:rsidR="00712DB5" w:rsidRPr="00712DB5">
        <w:rPr>
          <w:b w:val="0"/>
        </w:rPr>
        <w:t xml:space="preserve"> </w:t>
      </w:r>
      <w:r w:rsidRPr="00712DB5">
        <w:br/>
        <w:t xml:space="preserve">Freins à transmission mécanique </w:t>
      </w:r>
      <w:r w:rsidRPr="00712DB5">
        <w:br/>
      </w:r>
      <w:r w:rsidRPr="00712DB5">
        <w:rPr>
          <w:b w:val="0"/>
        </w:rPr>
        <w:t>(Voir par. 2.3 de la présente annexe)</w:t>
      </w:r>
    </w:p>
    <w:p w:rsidR="00784B0F" w:rsidRPr="00712DB5" w:rsidRDefault="00784B0F" w:rsidP="00784B0F">
      <w:pPr>
        <w:ind w:left="284"/>
      </w:pPr>
      <w:r w:rsidRPr="00712DB5">
        <w:rPr>
          <w:noProof/>
        </w:rPr>
        <mc:AlternateContent>
          <mc:Choice Requires="wps">
            <w:drawing>
              <wp:anchor distT="45720" distB="45720" distL="114300" distR="114300" simplePos="0" relativeHeight="251660288" behindDoc="0" locked="0" layoutInCell="1" allowOverlap="1" wp14:anchorId="6F40D7DE" wp14:editId="25A6463A">
                <wp:simplePos x="0" y="0"/>
                <wp:positionH relativeFrom="column">
                  <wp:posOffset>3179051</wp:posOffset>
                </wp:positionH>
                <wp:positionV relativeFrom="paragraph">
                  <wp:posOffset>746413</wp:posOffset>
                </wp:positionV>
                <wp:extent cx="1639018" cy="56070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018" cy="560705"/>
                        </a:xfrm>
                        <a:prstGeom prst="rect">
                          <a:avLst/>
                        </a:prstGeom>
                        <a:solidFill>
                          <a:srgbClr val="FFFFFF"/>
                        </a:solidFill>
                        <a:ln w="9525">
                          <a:noFill/>
                          <a:miter lim="800000"/>
                          <a:headEnd/>
                          <a:tailEnd/>
                        </a:ln>
                      </wps:spPr>
                      <wps:txbx>
                        <w:txbxContent>
                          <w:p w:rsidR="00784B0F" w:rsidRPr="0062099F" w:rsidRDefault="00784B0F" w:rsidP="00784B0F">
                            <w:pPr>
                              <w:rPr>
                                <w:b/>
                                <w:sz w:val="16"/>
                                <w:szCs w:val="16"/>
                              </w:rPr>
                            </w:pPr>
                            <w:r w:rsidRPr="0062099F">
                              <w:rPr>
                                <w:b/>
                                <w:sz w:val="16"/>
                                <w:szCs w:val="16"/>
                              </w:rPr>
                              <w:t>Augmentation de la course d’un seul c</w:t>
                            </w:r>
                            <w:r>
                              <w:rPr>
                                <w:b/>
                                <w:sz w:val="16"/>
                                <w:szCs w:val="16"/>
                              </w:rPr>
                              <w:t>ô</w:t>
                            </w:r>
                            <w:r w:rsidRPr="0062099F">
                              <w:rPr>
                                <w:b/>
                                <w:sz w:val="16"/>
                                <w:szCs w:val="16"/>
                              </w:rPr>
                              <w:t>té lorsqu’un frein passe en mode de fonctionnement inverse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0D7DE" id="_x0000_t202" coordsize="21600,21600" o:spt="202" path="m,l,21600r21600,l21600,xe">
                <v:stroke joinstyle="miter"/>
                <v:path gradientshapeok="t" o:connecttype="rect"/>
              </v:shapetype>
              <v:shape id="Zone de texte 2" o:spid="_x0000_s1026" type="#_x0000_t202" style="position:absolute;left:0;text-align:left;margin-left:250.3pt;margin-top:58.75pt;width:129.05pt;height:44.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" stroked="f">
                <v:textbox inset="0,0,0,0">
                  <w:txbxContent>
                    <w:p w:rsidR="00784B0F" w:rsidRPr="0062099F" w:rsidRDefault="00784B0F" w:rsidP="00784B0F">
                      <w:pPr>
                        <w:rPr>
                          <w:b/>
                          <w:sz w:val="16"/>
                          <w:szCs w:val="16"/>
                        </w:rPr>
                      </w:pPr>
                      <w:r w:rsidRPr="0062099F">
                        <w:rPr>
                          <w:b/>
                          <w:sz w:val="16"/>
                          <w:szCs w:val="16"/>
                        </w:rPr>
                        <w:t>Augmentation de la course d’un seul c</w:t>
                      </w:r>
                      <w:r>
                        <w:rPr>
                          <w:b/>
                          <w:sz w:val="16"/>
                          <w:szCs w:val="16"/>
                        </w:rPr>
                        <w:t>ô</w:t>
                      </w:r>
                      <w:r w:rsidRPr="0062099F">
                        <w:rPr>
                          <w:b/>
                          <w:sz w:val="16"/>
                          <w:szCs w:val="16"/>
                        </w:rPr>
                        <w:t>té lorsqu’un frein passe en mode de fonctionnement inverse</w:t>
                      </w:r>
                    </w:p>
                  </w:txbxContent>
                </v:textbox>
              </v:shape>
            </w:pict>
          </mc:Fallback>
        </mc:AlternateContent>
      </w:r>
      <w:r w:rsidRPr="00712DB5">
        <w:rPr>
          <w:noProof/>
        </w:rPr>
        <mc:AlternateContent>
          <mc:Choice Requires="wps">
            <w:drawing>
              <wp:anchor distT="45720" distB="45720" distL="114300" distR="114300" simplePos="0" relativeHeight="251720704" behindDoc="0" locked="0" layoutInCell="1" allowOverlap="1" wp14:anchorId="2DD12A4E" wp14:editId="4C50AF67">
                <wp:simplePos x="0" y="0"/>
                <wp:positionH relativeFrom="column">
                  <wp:posOffset>812165</wp:posOffset>
                </wp:positionH>
                <wp:positionV relativeFrom="paragraph">
                  <wp:posOffset>1533789</wp:posOffset>
                </wp:positionV>
                <wp:extent cx="3735070" cy="264160"/>
                <wp:effectExtent l="0" t="0" r="0" b="254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264160"/>
                        </a:xfrm>
                        <a:prstGeom prst="rect">
                          <a:avLst/>
                        </a:prstGeom>
                        <a:solidFill>
                          <a:srgbClr val="FFFFFF"/>
                        </a:solidFill>
                        <a:ln w="9525">
                          <a:noFill/>
                          <a:miter lim="800000"/>
                          <a:headEnd/>
                          <a:tailEnd/>
                        </a:ln>
                      </wps:spPr>
                      <wps:txbx>
                        <w:txbxContent>
                          <w:p w:rsidR="00784B0F" w:rsidRPr="0062099F" w:rsidRDefault="00784B0F" w:rsidP="00784B0F">
                            <w:pPr>
                              <w:rPr>
                                <w:b/>
                                <w:sz w:val="16"/>
                                <w:szCs w:val="16"/>
                              </w:rPr>
                            </w:pPr>
                            <w:r w:rsidRPr="00567F5A">
                              <w:rPr>
                                <w:b/>
                                <w:sz w:val="16"/>
                                <w:szCs w:val="16"/>
                              </w:rPr>
                              <w:t>La géométrie du compensateur permet une tension égale des deux câbles arrière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12A4E" id="_x0000_s1027" type="#_x0000_t202" style="position:absolute;left:0;text-align:left;margin-left:63.95pt;margin-top:120.75pt;width:294.1pt;height:20.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" stroked="f">
                <v:textbox inset="0,0,0,0">
                  <w:txbxContent>
                    <w:p w:rsidR="00784B0F" w:rsidRPr="0062099F" w:rsidRDefault="00784B0F" w:rsidP="00784B0F">
                      <w:pPr>
                        <w:rPr>
                          <w:b/>
                          <w:sz w:val="16"/>
                          <w:szCs w:val="16"/>
                        </w:rPr>
                      </w:pPr>
                      <w:r w:rsidRPr="00567F5A">
                        <w:rPr>
                          <w:b/>
                          <w:sz w:val="16"/>
                          <w:szCs w:val="16"/>
                        </w:rPr>
                        <w:t>La géométrie du compensateur permet une tension égale des deux câbles arrière</w:t>
                      </w:r>
                    </w:p>
                  </w:txbxContent>
                </v:textbox>
              </v:shape>
            </w:pict>
          </mc:Fallback>
        </mc:AlternateContent>
      </w:r>
      <w:r w:rsidRPr="00712DB5">
        <w:rPr>
          <w:noProof/>
          <w:lang w:eastAsia="fr-CH"/>
        </w:rPr>
        <w:drawing>
          <wp:inline distT="0" distB="0" distL="0" distR="0" wp14:anchorId="158EED1D" wp14:editId="272B39FE">
            <wp:extent cx="5781600" cy="3866400"/>
            <wp:effectExtent l="0" t="0" r="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8">
                      <a:extLst>
                        <a:ext uri="{28A0092B-C50C-407E-A947-70E740481C1C}">
                          <a14:useLocalDpi xmlns:a14="http://schemas.microsoft.com/office/drawing/2010/main" val="0"/>
                        </a:ext>
                      </a:extLst>
                    </a:blip>
                    <a:srcRect r="7977" b="4003"/>
                    <a:stretch/>
                  </pic:blipFill>
                  <pic:spPr bwMode="auto">
                    <a:xfrm>
                      <a:off x="0" y="0"/>
                      <a:ext cx="5781600" cy="3866400"/>
                    </a:xfrm>
                    <a:prstGeom prst="rect">
                      <a:avLst/>
                    </a:prstGeom>
                    <a:noFill/>
                    <a:ln>
                      <a:noFill/>
                    </a:ln>
                    <a:extLst>
                      <a:ext uri="{53640926-AAD7-44D8-BBD7-CCE9431645EC}">
                        <a14:shadowObscured xmlns:a14="http://schemas.microsoft.com/office/drawing/2010/main"/>
                      </a:ext>
                    </a:extLst>
                  </pic:spPr>
                </pic:pic>
              </a:graphicData>
            </a:graphic>
          </wp:inline>
        </w:drawing>
      </w:r>
      <w:r w:rsidRPr="00712DB5">
        <w:t> ».</w:t>
      </w:r>
    </w:p>
    <w:p w:rsidR="00F40E55" w:rsidRPr="00712DB5" w:rsidRDefault="00646DBD" w:rsidP="00784B0F">
      <w:pPr>
        <w:pStyle w:val="SingleTxtG"/>
        <w:rPr>
          <w:i/>
        </w:rPr>
      </w:pPr>
      <w:r w:rsidRPr="00712DB5">
        <w:rPr>
          <w:i/>
        </w:rPr>
        <w:t>Annexe 12, appendice 4,</w:t>
      </w:r>
    </w:p>
    <w:p w:rsidR="00F40E55" w:rsidRPr="00712DB5" w:rsidRDefault="00646DBD" w:rsidP="006077F8">
      <w:pPr>
        <w:pStyle w:val="SingleTxtG"/>
      </w:pPr>
      <w:r w:rsidRPr="00712DB5">
        <w:rPr>
          <w:i/>
        </w:rPr>
        <w:t>Paragraphes 6.1.1 à 6.1.3</w:t>
      </w:r>
      <w:r w:rsidRPr="00712DB5">
        <w:t>, supprimer.</w:t>
      </w:r>
    </w:p>
    <w:p w:rsidR="00F40E55" w:rsidRPr="00712DB5" w:rsidRDefault="00646DBD" w:rsidP="006077F8">
      <w:pPr>
        <w:pStyle w:val="SingleTxtG"/>
      </w:pPr>
      <w:r w:rsidRPr="00712DB5">
        <w:rPr>
          <w:i/>
        </w:rPr>
        <w:t>Ajouter les nouveaux paragraphes 6.1.1 et 6.1.2</w:t>
      </w:r>
      <w:r w:rsidRPr="00712DB5">
        <w:t>, comme suit</w:t>
      </w:r>
      <w:r w:rsidR="00712DB5" w:rsidRPr="00712DB5">
        <w:t> :</w:t>
      </w:r>
    </w:p>
    <w:p w:rsidR="00F40E55" w:rsidRPr="00712DB5" w:rsidRDefault="00646DBD" w:rsidP="006077F8">
      <w:pPr>
        <w:pStyle w:val="SingleTxtG"/>
        <w:ind w:left="2268" w:hanging="1134"/>
        <w:jc w:val="left"/>
      </w:pPr>
      <w:r w:rsidRPr="00712DB5">
        <w:t>«</w:t>
      </w:r>
      <w:r w:rsidR="00712DB5" w:rsidRPr="00712DB5">
        <w:t> </w:t>
      </w:r>
      <w:r w:rsidRPr="00712DB5">
        <w:t>6.1.1</w:t>
      </w:r>
      <w:r w:rsidRPr="00712DB5">
        <w:tab/>
        <w:t>Course différentielle maximale que le compensateur peut admettre</w:t>
      </w:r>
      <w:r w:rsidR="00712DB5" w:rsidRPr="00712DB5">
        <w:t xml:space="preserve"> </w:t>
      </w:r>
      <w:r w:rsidRPr="00712DB5">
        <w:br/>
        <w:t>s</w:t>
      </w:r>
      <w:r w:rsidRPr="00712DB5">
        <w:rPr>
          <w:vertAlign w:val="subscript"/>
        </w:rPr>
        <w:t xml:space="preserve">cd </w:t>
      </w:r>
      <w:r w:rsidRPr="00712DB5">
        <w:t>=</w:t>
      </w:r>
      <w:r w:rsidRPr="00712DB5">
        <w:tab/>
      </w:r>
      <w:r w:rsidRPr="00712DB5">
        <w:tab/>
        <w:t>mm</w:t>
      </w:r>
    </w:p>
    <w:p w:rsidR="001853F5" w:rsidRPr="00712DB5" w:rsidRDefault="00646DBD" w:rsidP="006077F8">
      <w:pPr>
        <w:pStyle w:val="SingleTxtG"/>
        <w:ind w:left="2268" w:hanging="1134"/>
        <w:jc w:val="left"/>
      </w:pPr>
      <w:r w:rsidRPr="00712DB5">
        <w:t>6.1.2</w:t>
      </w:r>
      <w:r w:rsidRPr="00712DB5">
        <w:tab/>
      </w:r>
      <w:r w:rsidRPr="00712DB5">
        <w:tab/>
        <w:t>Rapport 1,2</w:t>
      </w:r>
      <w:r w:rsidR="00784B0F" w:rsidRPr="00712DB5">
        <w:t> </w:t>
      </w:r>
      <w:r w:rsidRPr="00712DB5">
        <w:t>*</w:t>
      </w:r>
      <w:r w:rsidR="00784B0F" w:rsidRPr="00712DB5">
        <w:t> </w:t>
      </w:r>
      <w:r w:rsidRPr="00712DB5">
        <w:t>s</w:t>
      </w:r>
      <w:r w:rsidRPr="00712DB5">
        <w:rPr>
          <w:vertAlign w:val="subscript"/>
        </w:rPr>
        <w:t>R</w:t>
      </w:r>
      <w:r w:rsidRPr="00712DB5">
        <w:t xml:space="preserve"> = ___________ mm</w:t>
      </w:r>
      <w:r w:rsidR="00712DB5" w:rsidRPr="00712DB5">
        <w:t xml:space="preserve"> </w:t>
      </w:r>
      <w:r w:rsidRPr="00712DB5">
        <w:br/>
      </w:r>
      <w:r w:rsidRPr="00712DB5">
        <w:tab/>
        <w:t>(ne doit pas dépasser s</w:t>
      </w:r>
      <w:r w:rsidRPr="00712DB5">
        <w:rPr>
          <w:vertAlign w:val="subscript"/>
        </w:rPr>
        <w:t>cd</w:t>
      </w:r>
      <w:r w:rsidRPr="00712DB5">
        <w:t>)</w:t>
      </w:r>
      <w:r w:rsidR="00712DB5" w:rsidRPr="00712DB5">
        <w:t> </w:t>
      </w:r>
      <w:r w:rsidRPr="00712DB5">
        <w:t>».</w:t>
      </w:r>
    </w:p>
    <w:p w:rsidR="006077F8" w:rsidRPr="00712DB5" w:rsidRDefault="006077F8" w:rsidP="006077F8">
      <w:pPr>
        <w:pStyle w:val="SingleTxtG"/>
        <w:spacing w:before="240" w:after="0"/>
        <w:jc w:val="center"/>
        <w:rPr>
          <w:u w:val="single"/>
        </w:rPr>
      </w:pPr>
      <w:r w:rsidRPr="00712DB5">
        <w:rPr>
          <w:u w:val="single"/>
        </w:rPr>
        <w:tab/>
      </w:r>
      <w:r w:rsidRPr="00712DB5">
        <w:rPr>
          <w:u w:val="single"/>
        </w:rPr>
        <w:tab/>
      </w:r>
      <w:r w:rsidRPr="00712DB5">
        <w:rPr>
          <w:u w:val="single"/>
        </w:rPr>
        <w:tab/>
      </w:r>
    </w:p>
    <w:sectPr w:rsidR="006077F8" w:rsidRPr="00712DB5" w:rsidSect="001853F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33" w:rsidRDefault="00A14D33" w:rsidP="00F95C08">
      <w:pPr>
        <w:spacing w:line="240" w:lineRule="auto"/>
      </w:pPr>
    </w:p>
  </w:endnote>
  <w:endnote w:type="continuationSeparator" w:id="0">
    <w:p w:rsidR="00A14D33" w:rsidRPr="00AC3823" w:rsidRDefault="00A14D33" w:rsidP="00AC3823">
      <w:pPr>
        <w:pStyle w:val="Footer"/>
      </w:pPr>
    </w:p>
  </w:endnote>
  <w:endnote w:type="continuationNotice" w:id="1">
    <w:p w:rsidR="00A14D33" w:rsidRDefault="00A14D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F5" w:rsidRPr="001853F5" w:rsidRDefault="001853F5" w:rsidP="001853F5">
    <w:pPr>
      <w:pStyle w:val="Footer"/>
      <w:tabs>
        <w:tab w:val="right" w:pos="9638"/>
      </w:tabs>
    </w:pPr>
    <w:r w:rsidRPr="001853F5">
      <w:rPr>
        <w:b/>
        <w:sz w:val="18"/>
      </w:rPr>
      <w:fldChar w:fldCharType="begin"/>
    </w:r>
    <w:r w:rsidRPr="001853F5">
      <w:rPr>
        <w:b/>
        <w:sz w:val="18"/>
      </w:rPr>
      <w:instrText xml:space="preserve"> PAGE  \* MERGEFORMAT </w:instrText>
    </w:r>
    <w:r w:rsidRPr="001853F5">
      <w:rPr>
        <w:b/>
        <w:sz w:val="18"/>
      </w:rPr>
      <w:fldChar w:fldCharType="separate"/>
    </w:r>
    <w:r w:rsidR="000F4468">
      <w:rPr>
        <w:b/>
        <w:noProof/>
        <w:sz w:val="18"/>
      </w:rPr>
      <w:t>2</w:t>
    </w:r>
    <w:r w:rsidRPr="001853F5">
      <w:rPr>
        <w:b/>
        <w:sz w:val="18"/>
      </w:rPr>
      <w:fldChar w:fldCharType="end"/>
    </w:r>
    <w:r>
      <w:rPr>
        <w:b/>
        <w:sz w:val="18"/>
      </w:rPr>
      <w:tab/>
    </w:r>
    <w:r>
      <w:t>GE.17-23234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F5" w:rsidRPr="001853F5" w:rsidRDefault="001853F5" w:rsidP="001853F5">
    <w:pPr>
      <w:pStyle w:val="Footer"/>
      <w:tabs>
        <w:tab w:val="right" w:pos="9638"/>
      </w:tabs>
      <w:rPr>
        <w:b/>
        <w:sz w:val="18"/>
      </w:rPr>
    </w:pPr>
    <w:r>
      <w:t>GE.17-23234</w:t>
    </w:r>
    <w:r>
      <w:tab/>
    </w:r>
    <w:r w:rsidRPr="001853F5">
      <w:rPr>
        <w:b/>
        <w:sz w:val="18"/>
      </w:rPr>
      <w:fldChar w:fldCharType="begin"/>
    </w:r>
    <w:r w:rsidRPr="001853F5">
      <w:rPr>
        <w:b/>
        <w:sz w:val="18"/>
      </w:rPr>
      <w:instrText xml:space="preserve"> PAGE  \* MERGEFORMAT </w:instrText>
    </w:r>
    <w:r w:rsidRPr="001853F5">
      <w:rPr>
        <w:b/>
        <w:sz w:val="18"/>
      </w:rPr>
      <w:fldChar w:fldCharType="separate"/>
    </w:r>
    <w:r w:rsidR="000F4468">
      <w:rPr>
        <w:b/>
        <w:noProof/>
        <w:sz w:val="18"/>
      </w:rPr>
      <w:t>3</w:t>
    </w:r>
    <w:r w:rsidRPr="001853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1853F5" w:rsidRDefault="001853F5" w:rsidP="001853F5">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17-23234  (F)</w:t>
    </w:r>
    <w:r w:rsidR="00384C1E">
      <w:rPr>
        <w:sz w:val="20"/>
      </w:rPr>
      <w:t xml:space="preserve">    020118   030118</w:t>
    </w:r>
    <w:r>
      <w:rPr>
        <w:sz w:val="20"/>
      </w:rPr>
      <w:br/>
    </w:r>
    <w:r w:rsidRPr="001853F5">
      <w:rPr>
        <w:rFonts w:ascii="C39T30Lfz" w:hAnsi="C39T30Lfz"/>
        <w:sz w:val="56"/>
      </w:rPr>
      <w:t></w:t>
    </w:r>
    <w:r w:rsidRPr="001853F5">
      <w:rPr>
        <w:rFonts w:ascii="C39T30Lfz" w:hAnsi="C39T30Lfz"/>
        <w:sz w:val="56"/>
      </w:rPr>
      <w:t></w:t>
    </w:r>
    <w:r w:rsidRPr="001853F5">
      <w:rPr>
        <w:rFonts w:ascii="C39T30Lfz" w:hAnsi="C39T30Lfz"/>
        <w:sz w:val="56"/>
      </w:rPr>
      <w:t></w:t>
    </w:r>
    <w:r w:rsidRPr="001853F5">
      <w:rPr>
        <w:rFonts w:ascii="C39T30Lfz" w:hAnsi="C39T30Lfz"/>
        <w:sz w:val="56"/>
      </w:rPr>
      <w:t></w:t>
    </w:r>
    <w:r w:rsidRPr="001853F5">
      <w:rPr>
        <w:rFonts w:ascii="C39T30Lfz" w:hAnsi="C39T30Lfz"/>
        <w:sz w:val="56"/>
      </w:rPr>
      <w:t></w:t>
    </w:r>
    <w:r w:rsidRPr="001853F5">
      <w:rPr>
        <w:rFonts w:ascii="C39T30Lfz" w:hAnsi="C39T30Lfz"/>
        <w:sz w:val="56"/>
      </w:rPr>
      <w:t></w:t>
    </w:r>
    <w:r w:rsidRPr="001853F5">
      <w:rPr>
        <w:rFonts w:ascii="C39T30Lfz" w:hAnsi="C39T30Lfz"/>
        <w:sz w:val="56"/>
      </w:rPr>
      <w:t></w:t>
    </w:r>
    <w:r w:rsidRPr="001853F5">
      <w:rPr>
        <w:rFonts w:ascii="C39T30Lfz" w:hAnsi="C39T30Lfz"/>
        <w:sz w:val="56"/>
      </w:rPr>
      <w:t></w:t>
    </w:r>
    <w:r w:rsidRPr="001853F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33" w:rsidRPr="00AC3823" w:rsidRDefault="00A14D33" w:rsidP="00AC3823">
      <w:pPr>
        <w:pStyle w:val="Footer"/>
        <w:tabs>
          <w:tab w:val="right" w:pos="2155"/>
        </w:tabs>
        <w:spacing w:after="80" w:line="240" w:lineRule="atLeast"/>
        <w:ind w:left="680"/>
        <w:rPr>
          <w:u w:val="single"/>
        </w:rPr>
      </w:pPr>
      <w:r>
        <w:rPr>
          <w:u w:val="single"/>
        </w:rPr>
        <w:tab/>
      </w:r>
    </w:p>
  </w:footnote>
  <w:footnote w:type="continuationSeparator" w:id="0">
    <w:p w:rsidR="00A14D33" w:rsidRPr="00AC3823" w:rsidRDefault="00A14D33" w:rsidP="00AC3823">
      <w:pPr>
        <w:pStyle w:val="Footer"/>
        <w:tabs>
          <w:tab w:val="right" w:pos="2155"/>
        </w:tabs>
        <w:spacing w:after="80" w:line="240" w:lineRule="atLeast"/>
        <w:ind w:left="680"/>
        <w:rPr>
          <w:u w:val="single"/>
        </w:rPr>
      </w:pPr>
      <w:r>
        <w:rPr>
          <w:u w:val="single"/>
        </w:rPr>
        <w:tab/>
      </w:r>
    </w:p>
  </w:footnote>
  <w:footnote w:type="continuationNotice" w:id="1">
    <w:p w:rsidR="00A14D33" w:rsidRPr="00AC3823" w:rsidRDefault="00A14D33">
      <w:pPr>
        <w:spacing w:line="240" w:lineRule="auto"/>
        <w:rPr>
          <w:sz w:val="2"/>
          <w:szCs w:val="2"/>
        </w:rPr>
      </w:pPr>
    </w:p>
  </w:footnote>
  <w:footnote w:id="2">
    <w:p w:rsidR="001853F5" w:rsidRPr="001853F5" w:rsidRDefault="001853F5">
      <w:pPr>
        <w:pStyle w:val="FootnoteText"/>
      </w:pPr>
      <w:r>
        <w:rPr>
          <w:rStyle w:val="FootnoteReference"/>
        </w:rPr>
        <w:tab/>
      </w:r>
      <w:r w:rsidRPr="001853F5">
        <w:rPr>
          <w:rStyle w:val="FootnoteReference"/>
          <w:sz w:val="20"/>
          <w:vertAlign w:val="baseline"/>
        </w:rPr>
        <w:t>*</w:t>
      </w:r>
      <w:r>
        <w:rPr>
          <w:rStyle w:val="FootnoteReference"/>
          <w:sz w:val="20"/>
          <w:vertAlign w:val="baseline"/>
        </w:rPr>
        <w:tab/>
      </w:r>
      <w:r>
        <w:t>Conformément au programme de travail du Comité des transports intérieurs pour la période 2016-2017 (ECE/TRANS/254, par.</w:t>
      </w:r>
      <w:r w:rsidR="00712DB5">
        <w:t> </w:t>
      </w:r>
      <w: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F5" w:rsidRPr="001853F5" w:rsidRDefault="000F4468">
    <w:pPr>
      <w:pStyle w:val="Header"/>
    </w:pPr>
    <w:r>
      <w:fldChar w:fldCharType="begin"/>
    </w:r>
    <w:r>
      <w:instrText xml:space="preserve"> TITLE  \* MERGEFORMAT </w:instrText>
    </w:r>
    <w:r>
      <w:fldChar w:fldCharType="separate"/>
    </w:r>
    <w:r w:rsidR="00646DBD">
      <w:t>ECE/TRANS/WP.29/2018/9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F5" w:rsidRPr="001853F5" w:rsidRDefault="000F4468" w:rsidP="001853F5">
    <w:pPr>
      <w:pStyle w:val="Header"/>
      <w:jc w:val="right"/>
    </w:pPr>
    <w:r>
      <w:fldChar w:fldCharType="begin"/>
    </w:r>
    <w:r>
      <w:instrText xml:space="preserve"> TITLE  \* MERGEFORMAT </w:instrText>
    </w:r>
    <w:r>
      <w:fldChar w:fldCharType="separate"/>
    </w:r>
    <w:r w:rsidR="00646DBD">
      <w:t>ECE/TRANS/WP.29/2018/9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33"/>
    <w:rsid w:val="00017F94"/>
    <w:rsid w:val="00023842"/>
    <w:rsid w:val="000334F9"/>
    <w:rsid w:val="00045FEB"/>
    <w:rsid w:val="0007796D"/>
    <w:rsid w:val="000B7790"/>
    <w:rsid w:val="000F4468"/>
    <w:rsid w:val="00111F2F"/>
    <w:rsid w:val="0014365E"/>
    <w:rsid w:val="00143C66"/>
    <w:rsid w:val="00176178"/>
    <w:rsid w:val="001853F5"/>
    <w:rsid w:val="001F525A"/>
    <w:rsid w:val="00223272"/>
    <w:rsid w:val="0024779E"/>
    <w:rsid w:val="00257168"/>
    <w:rsid w:val="002744B8"/>
    <w:rsid w:val="002832AC"/>
    <w:rsid w:val="002D7C93"/>
    <w:rsid w:val="00305801"/>
    <w:rsid w:val="00384C1E"/>
    <w:rsid w:val="003916DE"/>
    <w:rsid w:val="00441C3B"/>
    <w:rsid w:val="00446FE5"/>
    <w:rsid w:val="00452396"/>
    <w:rsid w:val="004837D8"/>
    <w:rsid w:val="004E468C"/>
    <w:rsid w:val="005505B7"/>
    <w:rsid w:val="00571065"/>
    <w:rsid w:val="00573BE5"/>
    <w:rsid w:val="00586ED3"/>
    <w:rsid w:val="00596AA9"/>
    <w:rsid w:val="006077F8"/>
    <w:rsid w:val="00646DBD"/>
    <w:rsid w:val="00712DB5"/>
    <w:rsid w:val="0071601D"/>
    <w:rsid w:val="00784B0F"/>
    <w:rsid w:val="00786112"/>
    <w:rsid w:val="007A62E6"/>
    <w:rsid w:val="007F20FA"/>
    <w:rsid w:val="0080684C"/>
    <w:rsid w:val="00871C75"/>
    <w:rsid w:val="008776DC"/>
    <w:rsid w:val="009446C0"/>
    <w:rsid w:val="009705C8"/>
    <w:rsid w:val="009C1CF4"/>
    <w:rsid w:val="009F6B74"/>
    <w:rsid w:val="00A14D33"/>
    <w:rsid w:val="00A30353"/>
    <w:rsid w:val="00A92A9E"/>
    <w:rsid w:val="00AC3823"/>
    <w:rsid w:val="00AE323C"/>
    <w:rsid w:val="00AF0CB5"/>
    <w:rsid w:val="00B00181"/>
    <w:rsid w:val="00B00B0D"/>
    <w:rsid w:val="00B765F7"/>
    <w:rsid w:val="00B82BB4"/>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 w:val="00FA709B"/>
    <w:rsid w:val="00FF059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E7D7F1-22AE-44D3-8F43-4BDD0F01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3521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ECE/TRANS/WP.29/2018/9</vt:lpstr>
      <vt:lpstr>ECE/TRANS/WP.29/2018/9</vt:lpstr>
    </vt:vector>
  </TitlesOfParts>
  <Company>DCM</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ECE/TRANS/WP.29/2018/9</dc:title>
  <dc:subject/>
  <dc:creator>Pascale BEYSARD</dc:creator>
  <cp:keywords/>
  <cp:lastModifiedBy>Lucille Caillot</cp:lastModifiedBy>
  <cp:revision>2</cp:revision>
  <cp:lastPrinted>2018-01-03T08:42:00Z</cp:lastPrinted>
  <dcterms:created xsi:type="dcterms:W3CDTF">2018-01-22T12:09:00Z</dcterms:created>
  <dcterms:modified xsi:type="dcterms:W3CDTF">2018-01-22T12:09:00Z</dcterms:modified>
</cp:coreProperties>
</file>