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59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596B" w:rsidP="00BC596B">
            <w:pPr>
              <w:jc w:val="right"/>
            </w:pPr>
            <w:r w:rsidRPr="00BC596B">
              <w:rPr>
                <w:sz w:val="40"/>
              </w:rPr>
              <w:t>ECE</w:t>
            </w:r>
            <w:r>
              <w:t>/TRANS/WP.29/2018/11</w:t>
            </w:r>
          </w:p>
        </w:tc>
      </w:tr>
      <w:tr w:rsidR="002D5AAC" w:rsidRPr="0045421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59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596B" w:rsidRDefault="00BC596B" w:rsidP="00BC59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2017</w:t>
            </w:r>
          </w:p>
          <w:p w:rsidR="00BC596B" w:rsidRDefault="00BC596B" w:rsidP="00BC59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596B" w:rsidRPr="008D53B6" w:rsidRDefault="00BC596B" w:rsidP="00BC59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596B" w:rsidRPr="00C25EBB" w:rsidRDefault="00BC596B" w:rsidP="00BC596B">
      <w:pPr>
        <w:spacing w:before="120"/>
        <w:rPr>
          <w:bCs/>
          <w:sz w:val="28"/>
          <w:szCs w:val="28"/>
        </w:rPr>
      </w:pPr>
      <w:r w:rsidRPr="00C25EBB">
        <w:rPr>
          <w:bCs/>
          <w:sz w:val="28"/>
          <w:szCs w:val="28"/>
        </w:rPr>
        <w:t>Комитет по внутреннему транспорту</w:t>
      </w:r>
    </w:p>
    <w:p w:rsidR="00BC596B" w:rsidRPr="00BC596B" w:rsidRDefault="00BC596B" w:rsidP="00BC596B">
      <w:pPr>
        <w:spacing w:before="120"/>
        <w:rPr>
          <w:b/>
          <w:sz w:val="24"/>
          <w:szCs w:val="24"/>
        </w:rPr>
      </w:pPr>
      <w:r w:rsidRPr="00BC596B">
        <w:rPr>
          <w:b/>
          <w:sz w:val="24"/>
          <w:szCs w:val="24"/>
        </w:rPr>
        <w:t>Всемирный форум для согласования правил</w:t>
      </w:r>
      <w:r w:rsidRPr="00BC596B">
        <w:rPr>
          <w:b/>
          <w:sz w:val="24"/>
          <w:szCs w:val="24"/>
        </w:rPr>
        <w:br/>
        <w:t>в области транспортных средств</w:t>
      </w:r>
    </w:p>
    <w:p w:rsidR="00BC596B" w:rsidRPr="00C25EBB" w:rsidRDefault="00BC596B" w:rsidP="00BC596B">
      <w:pPr>
        <w:spacing w:before="120"/>
        <w:rPr>
          <w:b/>
          <w:sz w:val="22"/>
        </w:rPr>
      </w:pPr>
      <w:r w:rsidRPr="00C25EBB">
        <w:rPr>
          <w:b/>
          <w:sz w:val="22"/>
        </w:rPr>
        <w:t>174-я сессия</w:t>
      </w:r>
    </w:p>
    <w:p w:rsidR="00BC596B" w:rsidRPr="00792F58" w:rsidRDefault="00BC596B" w:rsidP="00BC596B">
      <w:r w:rsidRPr="00C25EBB">
        <w:rPr>
          <w:bCs/>
          <w:sz w:val="22"/>
        </w:rPr>
        <w:t>Женева, 13</w:t>
      </w:r>
      <w:r w:rsidRPr="00454215">
        <w:rPr>
          <w:bCs/>
          <w:sz w:val="22"/>
        </w:rPr>
        <w:t>–</w:t>
      </w:r>
      <w:r w:rsidRPr="00C25EBB">
        <w:rPr>
          <w:bCs/>
          <w:sz w:val="22"/>
        </w:rPr>
        <w:t>16 марта 2018 года</w:t>
      </w:r>
    </w:p>
    <w:p w:rsidR="00BC596B" w:rsidRPr="00792F58" w:rsidRDefault="00BC596B" w:rsidP="00BC596B">
      <w:r>
        <w:t>Пункт</w:t>
      </w:r>
      <w:r w:rsidRPr="00792F58">
        <w:t xml:space="preserve"> 4.7.4 </w:t>
      </w:r>
      <w:r w:rsidRPr="00C25EBB">
        <w:t>предварительной повестки дня</w:t>
      </w:r>
    </w:p>
    <w:p w:rsidR="00BC596B" w:rsidRPr="00C25EBB" w:rsidRDefault="00BC596B" w:rsidP="00BC596B">
      <w:pPr>
        <w:rPr>
          <w:b/>
        </w:rPr>
      </w:pPr>
      <w:r w:rsidRPr="00C25EBB">
        <w:rPr>
          <w:b/>
        </w:rPr>
        <w:t>Соглашение 1958 года:</w:t>
      </w:r>
    </w:p>
    <w:p w:rsidR="00BC596B" w:rsidRPr="00BC596B" w:rsidRDefault="00BC596B" w:rsidP="00BC596B">
      <w:pPr>
        <w:rPr>
          <w:b/>
        </w:rPr>
      </w:pPr>
      <w:r w:rsidRPr="00C25EBB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C25EBB">
        <w:rPr>
          <w:b/>
        </w:rPr>
        <w:t xml:space="preserve">к действующим правилам ООН, </w:t>
      </w:r>
      <w:r>
        <w:rPr>
          <w:b/>
        </w:rPr>
        <w:br/>
      </w:r>
      <w:r w:rsidRPr="00543E56">
        <w:rPr>
          <w:b/>
        </w:rPr>
        <w:t>представленных</w:t>
      </w:r>
      <w:r w:rsidRPr="00BC596B">
        <w:rPr>
          <w:b/>
        </w:rPr>
        <w:t xml:space="preserve"> </w:t>
      </w:r>
      <w:r>
        <w:rPr>
          <w:b/>
          <w:lang w:val="en-GB"/>
        </w:rPr>
        <w:t>GRRF</w:t>
      </w:r>
    </w:p>
    <w:p w:rsidR="00BC596B" w:rsidRPr="00024458" w:rsidRDefault="00BC596B" w:rsidP="00BC596B">
      <w:pPr>
        <w:pStyle w:val="HChGR"/>
      </w:pPr>
      <w:r>
        <w:tab/>
      </w:r>
      <w:r>
        <w:tab/>
        <w:t>Предложение</w:t>
      </w:r>
      <w:r w:rsidRPr="00024458">
        <w:t xml:space="preserve"> </w:t>
      </w:r>
      <w:r>
        <w:t>по</w:t>
      </w:r>
      <w:r w:rsidRPr="00024458">
        <w:t xml:space="preserve"> </w:t>
      </w:r>
      <w:r>
        <w:t>дополнению</w:t>
      </w:r>
      <w:r w:rsidRPr="00024458">
        <w:t xml:space="preserve"> 1 </w:t>
      </w:r>
      <w:r>
        <w:t>к</w:t>
      </w:r>
      <w:r w:rsidRPr="00024458">
        <w:t xml:space="preserve"> </w:t>
      </w:r>
      <w:r>
        <w:t>поправкам</w:t>
      </w:r>
      <w:r w:rsidRPr="00024458">
        <w:t xml:space="preserve"> </w:t>
      </w:r>
      <w:r>
        <w:t>серии</w:t>
      </w:r>
      <w:r w:rsidRPr="00024458">
        <w:t xml:space="preserve"> 02 </w:t>
      </w:r>
      <w:r>
        <w:t>к</w:t>
      </w:r>
      <w:r w:rsidRPr="00024458">
        <w:t xml:space="preserve"> </w:t>
      </w:r>
      <w:r>
        <w:t>Правилам</w:t>
      </w:r>
      <w:r w:rsidRPr="00024458">
        <w:t xml:space="preserve"> № 79 </w:t>
      </w:r>
      <w:r>
        <w:t>ООН</w:t>
      </w:r>
      <w:r w:rsidRPr="00024458">
        <w:t xml:space="preserve"> (</w:t>
      </w:r>
      <w:r>
        <w:t>механизмы рулевого управления</w:t>
      </w:r>
      <w:r w:rsidRPr="00024458">
        <w:t>)</w:t>
      </w:r>
    </w:p>
    <w:p w:rsidR="00BC596B" w:rsidRPr="00792F58" w:rsidRDefault="00BC596B" w:rsidP="00BC596B">
      <w:pPr>
        <w:pStyle w:val="H1GR"/>
      </w:pPr>
      <w:r>
        <w:tab/>
      </w:r>
      <w:r>
        <w:tab/>
      </w:r>
      <w:r w:rsidRPr="00B41AF6">
        <w:t>Представлено Рабочей группой по вопросам</w:t>
      </w:r>
      <w:r>
        <w:t xml:space="preserve"> торможения и ходовой части</w:t>
      </w:r>
      <w:r w:rsidRPr="00BC59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C596B" w:rsidRPr="00755CD2" w:rsidRDefault="00BC596B" w:rsidP="00BC596B">
      <w:pPr>
        <w:pStyle w:val="SingleTxtGR"/>
      </w:pPr>
      <w:r>
        <w:tab/>
      </w:r>
      <w:r w:rsidRPr="00B41AF6">
        <w:t>Воспроизведенный ниже текст был принят Рабочей группой по вопросам</w:t>
      </w:r>
      <w:r>
        <w:t xml:space="preserve"> </w:t>
      </w:r>
      <w:r w:rsidRPr="00B41AF6">
        <w:rPr>
          <w:bCs/>
          <w:szCs w:val="16"/>
        </w:rPr>
        <w:t>торможения и ходовой части</w:t>
      </w:r>
      <w:r w:rsidRPr="00B41AF6">
        <w:t xml:space="preserve"> (</w:t>
      </w:r>
      <w:r w:rsidRPr="00A90EA8">
        <w:rPr>
          <w:lang w:val="en-GB"/>
        </w:rPr>
        <w:t>GR</w:t>
      </w:r>
      <w:r>
        <w:rPr>
          <w:lang w:val="en-GB"/>
        </w:rPr>
        <w:t>RF</w:t>
      </w:r>
      <w:r w:rsidRPr="00B41AF6">
        <w:t xml:space="preserve">) </w:t>
      </w:r>
      <w:r>
        <w:t>на ее восемьдесят четвертой сессии</w:t>
      </w:r>
      <w:r w:rsidRPr="00755CD2">
        <w:t xml:space="preserve"> (</w:t>
      </w:r>
      <w:r w:rsidRPr="00A90EA8">
        <w:rPr>
          <w:lang w:val="en-GB"/>
        </w:rPr>
        <w:t>ECE</w:t>
      </w:r>
      <w:r w:rsidRPr="00755CD2">
        <w:t>/</w:t>
      </w:r>
      <w:r>
        <w:br/>
      </w:r>
      <w:r w:rsidRPr="00A90EA8">
        <w:rPr>
          <w:lang w:val="en-GB"/>
        </w:rPr>
        <w:t>TRANS</w:t>
      </w:r>
      <w:r w:rsidRPr="00755CD2">
        <w:t>/</w:t>
      </w:r>
      <w:r w:rsidRPr="00A90EA8">
        <w:rPr>
          <w:lang w:val="en-GB"/>
        </w:rPr>
        <w:t>WP</w:t>
      </w:r>
      <w:r w:rsidRPr="00755CD2">
        <w:t>.29/</w:t>
      </w:r>
      <w:r w:rsidRPr="00A90EA8">
        <w:rPr>
          <w:lang w:val="en-GB"/>
        </w:rPr>
        <w:t>GR</w:t>
      </w:r>
      <w:r>
        <w:rPr>
          <w:lang w:val="en-GB"/>
        </w:rPr>
        <w:t>RF</w:t>
      </w:r>
      <w:r w:rsidRPr="00755CD2">
        <w:t xml:space="preserve">/84, </w:t>
      </w:r>
      <w:r>
        <w:t>пункт</w:t>
      </w:r>
      <w:r>
        <w:rPr>
          <w:lang w:val="en-GB"/>
        </w:rPr>
        <w:t> </w:t>
      </w:r>
      <w:r w:rsidRPr="00755CD2">
        <w:t>49)</w:t>
      </w:r>
      <w:r w:rsidRPr="00755CD2">
        <w:rPr>
          <w:lang w:eastAsia="it-IT"/>
        </w:rPr>
        <w:t xml:space="preserve">. </w:t>
      </w:r>
      <w:r w:rsidRPr="00B41AF6">
        <w:rPr>
          <w:lang w:eastAsia="ja-JP"/>
        </w:rPr>
        <w:t xml:space="preserve">В его основу положен </w:t>
      </w:r>
      <w:r>
        <w:rPr>
          <w:lang w:eastAsia="ja-JP"/>
        </w:rPr>
        <w:t xml:space="preserve">официальный </w:t>
      </w:r>
      <w:r w:rsidRPr="00B41AF6">
        <w:rPr>
          <w:lang w:eastAsia="ja-JP"/>
        </w:rPr>
        <w:t>документ</w:t>
      </w:r>
      <w:r>
        <w:t> </w:t>
      </w:r>
      <w:r w:rsidRPr="00B94603">
        <w:rPr>
          <w:lang w:val="en-GB"/>
        </w:rPr>
        <w:t>ECE</w:t>
      </w:r>
      <w:r w:rsidRPr="00B41AF6">
        <w:t>/</w:t>
      </w:r>
      <w:r w:rsidRPr="00B94603">
        <w:rPr>
          <w:lang w:val="en-GB"/>
        </w:rPr>
        <w:t>TRANS</w:t>
      </w:r>
      <w:r w:rsidRPr="00B41AF6">
        <w:t>/</w:t>
      </w:r>
      <w:r w:rsidRPr="00B94603">
        <w:rPr>
          <w:lang w:val="en-GB"/>
        </w:rPr>
        <w:t>WP</w:t>
      </w:r>
      <w:r w:rsidRPr="00B41AF6">
        <w:t>.29/</w:t>
      </w:r>
      <w:r w:rsidRPr="00B94603">
        <w:rPr>
          <w:lang w:val="en-GB"/>
        </w:rPr>
        <w:t>GR</w:t>
      </w:r>
      <w:r>
        <w:rPr>
          <w:lang w:val="en-GB"/>
        </w:rPr>
        <w:t>RF</w:t>
      </w:r>
      <w:r w:rsidRPr="00B41AF6">
        <w:t xml:space="preserve">/84, </w:t>
      </w:r>
      <w:r>
        <w:t>приложение</w:t>
      </w:r>
      <w:r w:rsidRPr="00B41AF6">
        <w:t xml:space="preserve"> </w:t>
      </w:r>
      <w:r>
        <w:rPr>
          <w:lang w:val="en-GB"/>
        </w:rPr>
        <w:t>V</w:t>
      </w:r>
      <w:r w:rsidRPr="00B41AF6">
        <w:t xml:space="preserve"> </w:t>
      </w:r>
      <w:r>
        <w:t>к докладу</w:t>
      </w:r>
      <w:r w:rsidRPr="00B41AF6">
        <w:t xml:space="preserve">. </w:t>
      </w:r>
      <w:r w:rsidRPr="000208BA">
        <w:t>Этот текст представлен Всемирному форуму для согласования правил в области транспортных средств (</w:t>
      </w:r>
      <w:r w:rsidRPr="000208BA">
        <w:rPr>
          <w:lang w:val="en-GB"/>
        </w:rPr>
        <w:t>WP</w:t>
      </w:r>
      <w:r w:rsidRPr="000208BA">
        <w:t xml:space="preserve">.29) и Административному комитету </w:t>
      </w:r>
      <w:r>
        <w:rPr>
          <w:lang w:val="en-GB"/>
        </w:rPr>
        <w:t>AC</w:t>
      </w:r>
      <w:r>
        <w:t xml:space="preserve">.1 для </w:t>
      </w:r>
      <w:r w:rsidRPr="000208BA">
        <w:t>рассмотрения на их сессиях в марте 2018 года.</w:t>
      </w:r>
    </w:p>
    <w:p w:rsidR="00BC596B" w:rsidRPr="00755CD2" w:rsidRDefault="00BC596B" w:rsidP="00BC596B">
      <w:pPr>
        <w:spacing w:before="120" w:after="120" w:line="240" w:lineRule="auto"/>
        <w:ind w:left="1134" w:right="1140"/>
        <w:jc w:val="both"/>
      </w:pPr>
      <w:r w:rsidRPr="00755CD2">
        <w:br w:type="page"/>
      </w:r>
    </w:p>
    <w:p w:rsidR="00BC596B" w:rsidRPr="0016577C" w:rsidRDefault="00BC596B" w:rsidP="00BC596B">
      <w:pPr>
        <w:pStyle w:val="HChGR"/>
      </w:pPr>
      <w:r w:rsidRPr="00755CD2">
        <w:lastRenderedPageBreak/>
        <w:tab/>
      </w:r>
      <w:r w:rsidRPr="00755CD2">
        <w:tab/>
      </w:r>
      <w:r>
        <w:t>Дополнение</w:t>
      </w:r>
      <w:r w:rsidRPr="00024458">
        <w:t xml:space="preserve"> 1 </w:t>
      </w:r>
      <w:r>
        <w:t>к</w:t>
      </w:r>
      <w:r w:rsidRPr="00024458">
        <w:t xml:space="preserve"> </w:t>
      </w:r>
      <w:r>
        <w:t>поправкам</w:t>
      </w:r>
      <w:r w:rsidRPr="00024458">
        <w:t xml:space="preserve"> </w:t>
      </w:r>
      <w:r>
        <w:t>серии</w:t>
      </w:r>
      <w:r w:rsidRPr="00024458">
        <w:t xml:space="preserve"> 02 </w:t>
      </w:r>
      <w:r w:rsidRPr="00BC596B">
        <w:br/>
      </w:r>
      <w:r>
        <w:t>к</w:t>
      </w:r>
      <w:r w:rsidRPr="00024458">
        <w:t xml:space="preserve"> </w:t>
      </w:r>
      <w:r>
        <w:t>Правилам № 79 ООН</w:t>
      </w:r>
      <w:r w:rsidRPr="00024458">
        <w:t xml:space="preserve"> (</w:t>
      </w:r>
      <w:r>
        <w:t>механизмы рулевого управления</w:t>
      </w:r>
      <w:r w:rsidRPr="00024458">
        <w:t>)</w:t>
      </w:r>
    </w:p>
    <w:p w:rsidR="00BC596B" w:rsidRPr="0016577C" w:rsidRDefault="00BC596B" w:rsidP="00BC596B">
      <w:pPr>
        <w:pStyle w:val="SingleTxtGR"/>
      </w:pPr>
      <w:r>
        <w:rPr>
          <w:i/>
          <w:iCs/>
        </w:rPr>
        <w:t>Пункт</w:t>
      </w:r>
      <w:r w:rsidRPr="0016577C">
        <w:rPr>
          <w:i/>
          <w:iCs/>
        </w:rPr>
        <w:t xml:space="preserve"> </w:t>
      </w:r>
      <w:r w:rsidRPr="0016577C">
        <w:rPr>
          <w:i/>
        </w:rPr>
        <w:t>5.1.6.1.1</w:t>
      </w:r>
      <w:r w:rsidRPr="0016577C">
        <w:t xml:space="preserve"> </w:t>
      </w:r>
      <w:r>
        <w:t>изменить следующим образом</w:t>
      </w:r>
      <w:r w:rsidRPr="0016577C">
        <w:t>:</w:t>
      </w:r>
    </w:p>
    <w:p w:rsidR="00BC596B" w:rsidRPr="00F44C49" w:rsidRDefault="00BC596B" w:rsidP="00BC596B">
      <w:pPr>
        <w:pStyle w:val="SingleTxtGR"/>
        <w:ind w:left="2268" w:hanging="1134"/>
      </w:pPr>
      <w:r>
        <w:t>«</w:t>
      </w:r>
      <w:r w:rsidRPr="0016577C">
        <w:t>5.1.6.1.1</w:t>
      </w:r>
      <w:r w:rsidRPr="0016577C">
        <w:tab/>
        <w:t>Каждое срабатывание КФРУ немедленно сигнализируется водителю при помощи оптического предупредительного сигнала, который остается включенным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продолжительным.</w:t>
      </w:r>
    </w:p>
    <w:p w:rsidR="00BC596B" w:rsidRPr="009234DF" w:rsidRDefault="00BC596B" w:rsidP="00BC596B">
      <w:pPr>
        <w:pStyle w:val="SingleTxtGR"/>
        <w:ind w:left="2268" w:hanging="1134"/>
      </w:pPr>
      <w:r>
        <w:tab/>
      </w:r>
      <w:r>
        <w:tab/>
        <w:t>В</w:t>
      </w:r>
      <w:r w:rsidRPr="00C07CB0">
        <w:t xml:space="preserve"> </w:t>
      </w:r>
      <w:r>
        <w:t>случае</w:t>
      </w:r>
      <w:r w:rsidRPr="00C07CB0">
        <w:t xml:space="preserve"> </w:t>
      </w:r>
      <w:r>
        <w:t>срабатывания</w:t>
      </w:r>
      <w:r w:rsidRPr="00C07CB0">
        <w:t xml:space="preserve"> </w:t>
      </w:r>
      <w:r>
        <w:t>системы</w:t>
      </w:r>
      <w:r w:rsidRPr="00C07CB0">
        <w:t xml:space="preserve"> </w:t>
      </w:r>
      <w:r>
        <w:t>КФРУ</w:t>
      </w:r>
      <w:r w:rsidRPr="00C07CB0">
        <w:t xml:space="preserve">, </w:t>
      </w:r>
      <w:r>
        <w:t>контролируемой</w:t>
      </w:r>
      <w:r w:rsidRPr="00C07CB0">
        <w:t xml:space="preserve"> </w:t>
      </w:r>
      <w:r>
        <w:t>функцией</w:t>
      </w:r>
      <w:r w:rsidRPr="00C07CB0">
        <w:t xml:space="preserve"> электронного контроля устойчивости (</w:t>
      </w:r>
      <w:r>
        <w:t>ЭКУ</w:t>
      </w:r>
      <w:r w:rsidRPr="00C07CB0">
        <w:t xml:space="preserve">) </w:t>
      </w:r>
      <w:r>
        <w:t>или</w:t>
      </w:r>
      <w:r w:rsidRPr="00C07CB0">
        <w:t xml:space="preserve"> обеспечения устойчивости транспортного средства, </w:t>
      </w:r>
      <w:r>
        <w:t xml:space="preserve">как указано в соответствующих правилах ООН (т.е. в правилах № 13, </w:t>
      </w:r>
      <w:r w:rsidRPr="00477CA9">
        <w:t>13-</w:t>
      </w:r>
      <w:r w:rsidRPr="00A80DE6">
        <w:rPr>
          <w:lang w:val="en-US"/>
        </w:rPr>
        <w:t>H</w:t>
      </w:r>
      <w:r w:rsidRPr="00477CA9">
        <w:t xml:space="preserve"> </w:t>
      </w:r>
      <w:r>
        <w:t>или</w:t>
      </w:r>
      <w:r w:rsidRPr="00477CA9">
        <w:t xml:space="preserve"> 140</w:t>
      </w:r>
      <w:r>
        <w:t xml:space="preserve"> ООН), в качестве альтернативы упомянутому выше </w:t>
      </w:r>
      <w:r w:rsidRPr="0016577C">
        <w:t>оптическо</w:t>
      </w:r>
      <w:r>
        <w:t>му</w:t>
      </w:r>
      <w:r w:rsidRPr="0016577C">
        <w:t xml:space="preserve"> предупредительно</w:t>
      </w:r>
      <w:r>
        <w:t>му</w:t>
      </w:r>
      <w:r w:rsidRPr="0016577C">
        <w:t xml:space="preserve"> сигнал</w:t>
      </w:r>
      <w:r>
        <w:t>у может использоваться мигающий контрольный сигнал ЭКУ, указывающий на срабатывание ЭКУ, в течение всего времени ее срабатывания</w:t>
      </w:r>
      <w:r w:rsidR="00F53C70">
        <w:t>.</w:t>
      </w:r>
      <w:r>
        <w:t>»</w:t>
      </w:r>
      <w:r w:rsidR="009234DF" w:rsidRPr="009234DF">
        <w:t>.</w:t>
      </w:r>
    </w:p>
    <w:p w:rsidR="00BC596B" w:rsidRPr="00BC596B" w:rsidRDefault="00BC596B" w:rsidP="00BC59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BC59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07" w:rsidRPr="00A312BC" w:rsidRDefault="00927207" w:rsidP="00A312BC"/>
  </w:endnote>
  <w:endnote w:type="continuationSeparator" w:id="0">
    <w:p w:rsidR="00927207" w:rsidRPr="00A312BC" w:rsidRDefault="009272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6B" w:rsidRPr="00BC596B" w:rsidRDefault="00BC596B">
    <w:pPr>
      <w:pStyle w:val="Footer"/>
    </w:pPr>
    <w:r w:rsidRPr="00BC596B">
      <w:rPr>
        <w:b/>
        <w:sz w:val="18"/>
      </w:rPr>
      <w:fldChar w:fldCharType="begin"/>
    </w:r>
    <w:r w:rsidRPr="00BC596B">
      <w:rPr>
        <w:b/>
        <w:sz w:val="18"/>
      </w:rPr>
      <w:instrText xml:space="preserve"> PAGE  \* MERGEFORMAT </w:instrText>
    </w:r>
    <w:r w:rsidRPr="00BC596B">
      <w:rPr>
        <w:b/>
        <w:sz w:val="18"/>
      </w:rPr>
      <w:fldChar w:fldCharType="separate"/>
    </w:r>
    <w:r w:rsidR="00106875">
      <w:rPr>
        <w:b/>
        <w:noProof/>
        <w:sz w:val="18"/>
      </w:rPr>
      <w:t>2</w:t>
    </w:r>
    <w:r w:rsidRPr="00BC596B">
      <w:rPr>
        <w:b/>
        <w:sz w:val="18"/>
      </w:rPr>
      <w:fldChar w:fldCharType="end"/>
    </w:r>
    <w:r>
      <w:rPr>
        <w:b/>
        <w:sz w:val="18"/>
      </w:rPr>
      <w:tab/>
    </w:r>
    <w:r>
      <w:t>GE.17-23235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6B" w:rsidRPr="00BC596B" w:rsidRDefault="00BC596B" w:rsidP="00BC596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GE.17-23235</w:t>
    </w:r>
    <w:r>
      <w:tab/>
    </w:r>
    <w:r w:rsidRPr="00BC596B">
      <w:rPr>
        <w:b/>
        <w:sz w:val="18"/>
      </w:rPr>
      <w:fldChar w:fldCharType="begin"/>
    </w:r>
    <w:r w:rsidRPr="00BC596B">
      <w:rPr>
        <w:b/>
        <w:sz w:val="18"/>
      </w:rPr>
      <w:instrText xml:space="preserve"> PAGE  \* MERGEFORMAT </w:instrText>
    </w:r>
    <w:r w:rsidRPr="00BC59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59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C596B" w:rsidRDefault="00BC596B" w:rsidP="00BC596B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17-23235  (R)</w:t>
    </w:r>
    <w:r>
      <w:rPr>
        <w:lang w:val="en-US"/>
      </w:rPr>
      <w:t xml:space="preserve">  170118  170118</w:t>
    </w:r>
    <w:r>
      <w:br/>
    </w:r>
    <w:r w:rsidRPr="00BC596B">
      <w:rPr>
        <w:rFonts w:ascii="C39T30Lfz" w:hAnsi="C39T30Lfz"/>
        <w:spacing w:val="0"/>
        <w:w w:val="100"/>
        <w:sz w:val="56"/>
      </w:rPr>
      <w:t></w:t>
    </w:r>
    <w:r w:rsidRPr="00BC596B">
      <w:rPr>
        <w:rFonts w:ascii="C39T30Lfz" w:hAnsi="C39T30Lfz"/>
        <w:spacing w:val="0"/>
        <w:w w:val="100"/>
        <w:sz w:val="56"/>
      </w:rPr>
      <w:t></w:t>
    </w:r>
    <w:r w:rsidRPr="00BC596B">
      <w:rPr>
        <w:rFonts w:ascii="C39T30Lfz" w:hAnsi="C39T30Lfz"/>
        <w:spacing w:val="0"/>
        <w:w w:val="100"/>
        <w:sz w:val="56"/>
      </w:rPr>
      <w:t></w:t>
    </w:r>
    <w:r w:rsidRPr="00BC596B">
      <w:rPr>
        <w:rFonts w:ascii="C39T30Lfz" w:hAnsi="C39T30Lfz"/>
        <w:spacing w:val="0"/>
        <w:w w:val="100"/>
        <w:sz w:val="56"/>
      </w:rPr>
      <w:t></w:t>
    </w:r>
    <w:r w:rsidRPr="00BC596B">
      <w:rPr>
        <w:rFonts w:ascii="C39T30Lfz" w:hAnsi="C39T30Lfz"/>
        <w:spacing w:val="0"/>
        <w:w w:val="100"/>
        <w:sz w:val="56"/>
      </w:rPr>
      <w:t></w:t>
    </w:r>
    <w:r w:rsidRPr="00BC596B">
      <w:rPr>
        <w:rFonts w:ascii="C39T30Lfz" w:hAnsi="C39T30Lfz"/>
        <w:spacing w:val="0"/>
        <w:w w:val="100"/>
        <w:sz w:val="56"/>
      </w:rPr>
      <w:t></w:t>
    </w:r>
    <w:r w:rsidRPr="00BC596B">
      <w:rPr>
        <w:rFonts w:ascii="C39T30Lfz" w:hAnsi="C39T30Lfz"/>
        <w:spacing w:val="0"/>
        <w:w w:val="100"/>
        <w:sz w:val="56"/>
      </w:rPr>
      <w:t></w:t>
    </w:r>
    <w:r w:rsidRPr="00BC596B">
      <w:rPr>
        <w:rFonts w:ascii="C39T30Lfz" w:hAnsi="C39T30Lfz"/>
        <w:spacing w:val="0"/>
        <w:w w:val="100"/>
        <w:sz w:val="56"/>
      </w:rPr>
      <w:t></w:t>
    </w:r>
    <w:r w:rsidRPr="00BC59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07" w:rsidRPr="001075E9" w:rsidRDefault="009272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7207" w:rsidRDefault="009272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596B" w:rsidRPr="00BC596B" w:rsidRDefault="00BC596B">
      <w:pPr>
        <w:pStyle w:val="FootnoteText"/>
        <w:rPr>
          <w:sz w:val="20"/>
          <w:lang w:val="ru-RU"/>
        </w:rPr>
      </w:pPr>
      <w:r>
        <w:tab/>
      </w:r>
      <w:r w:rsidRPr="00BC596B">
        <w:rPr>
          <w:rStyle w:val="FootnoteReference"/>
          <w:sz w:val="20"/>
          <w:vertAlign w:val="baseline"/>
          <w:lang w:val="ru-RU"/>
        </w:rPr>
        <w:t>*</w:t>
      </w:r>
      <w:r w:rsidRPr="00BC596B">
        <w:rPr>
          <w:rStyle w:val="FootnoteReference"/>
          <w:vertAlign w:val="baseline"/>
          <w:lang w:val="ru-RU"/>
        </w:rPr>
        <w:tab/>
      </w:r>
      <w:r w:rsidRPr="006D46B3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6D46B3">
        <w:rPr>
          <w:szCs w:val="18"/>
          <w:lang w:val="ru-RU"/>
        </w:rPr>
        <w:t>на 2016–2017 годы (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 xml:space="preserve">/254, пункт 159, и 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>/2016/28/</w:t>
      </w:r>
      <w:r w:rsidRPr="006D46B3">
        <w:rPr>
          <w:szCs w:val="18"/>
          <w:lang w:val="en-US"/>
        </w:rPr>
        <w:t>Add</w:t>
      </w:r>
      <w:r w:rsidRPr="006D46B3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 </w:t>
      </w:r>
      <w:r w:rsidRPr="006D46B3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BC596B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6B" w:rsidRPr="00BC596B" w:rsidRDefault="00DE78BF">
    <w:pPr>
      <w:pStyle w:val="Header"/>
    </w:pPr>
    <w:fldSimple w:instr=" TITLE  \* MERGEFORMAT ">
      <w:r>
        <w:t>ECE/TRANS/WP.29/2018/11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6B" w:rsidRPr="00BC596B" w:rsidRDefault="00DE78BF" w:rsidP="00BC596B">
    <w:pPr>
      <w:pStyle w:val="Header"/>
      <w:jc w:val="right"/>
    </w:pPr>
    <w:fldSimple w:instr=" TITLE  \* MERGEFORMAT ">
      <w:r>
        <w:t>ECE/TRANS/WP.29/2018/11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7"/>
    <w:rsid w:val="00033EE1"/>
    <w:rsid w:val="00042B72"/>
    <w:rsid w:val="000558BD"/>
    <w:rsid w:val="000B57E7"/>
    <w:rsid w:val="000B6373"/>
    <w:rsid w:val="000E4E5B"/>
    <w:rsid w:val="000F09DF"/>
    <w:rsid w:val="000F61B2"/>
    <w:rsid w:val="00106875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215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3613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34DF"/>
    <w:rsid w:val="00927207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96917"/>
    <w:rsid w:val="00AB4B51"/>
    <w:rsid w:val="00AF6EDD"/>
    <w:rsid w:val="00B10CC7"/>
    <w:rsid w:val="00B36DF7"/>
    <w:rsid w:val="00B539E7"/>
    <w:rsid w:val="00B62458"/>
    <w:rsid w:val="00BC18B2"/>
    <w:rsid w:val="00BC596B"/>
    <w:rsid w:val="00BD33EE"/>
    <w:rsid w:val="00BE1CC7"/>
    <w:rsid w:val="00C106D6"/>
    <w:rsid w:val="00C119AE"/>
    <w:rsid w:val="00C45DB8"/>
    <w:rsid w:val="00C60F0C"/>
    <w:rsid w:val="00C805C9"/>
    <w:rsid w:val="00C92939"/>
    <w:rsid w:val="00CA1679"/>
    <w:rsid w:val="00CB151C"/>
    <w:rsid w:val="00CE5A1A"/>
    <w:rsid w:val="00CF55F6"/>
    <w:rsid w:val="00D270C1"/>
    <w:rsid w:val="00D33D63"/>
    <w:rsid w:val="00D5253A"/>
    <w:rsid w:val="00D90028"/>
    <w:rsid w:val="00D90138"/>
    <w:rsid w:val="00DD78D1"/>
    <w:rsid w:val="00DE32CD"/>
    <w:rsid w:val="00DE78BF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3C7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C39570-5433-44CF-90F9-EAB2A689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BC596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link w:val="H1GChar"/>
    <w:rsid w:val="00BC596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BC596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BC596B"/>
    <w:rPr>
      <w:lang w:val="fr-CH" w:eastAsia="en-US"/>
    </w:rPr>
  </w:style>
  <w:style w:type="character" w:customStyle="1" w:styleId="HChGChar">
    <w:name w:val="_ H _Ch_G Char"/>
    <w:link w:val="HChG"/>
    <w:rsid w:val="00BC596B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BC596B"/>
    <w:rPr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</vt:lpstr>
      <vt:lpstr>ECE/TRANS/WP.29/2018/11</vt:lpstr>
      <vt:lpstr>A/</vt:lpstr>
    </vt:vector>
  </TitlesOfParts>
  <Company>DCM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</dc:title>
  <dc:creator>Elena IZOTOVA</dc:creator>
  <cp:lastModifiedBy>CRP.1/A.6</cp:lastModifiedBy>
  <cp:revision>2</cp:revision>
  <cp:lastPrinted>2018-01-17T13:06:00Z</cp:lastPrinted>
  <dcterms:created xsi:type="dcterms:W3CDTF">2018-01-30T16:51:00Z</dcterms:created>
  <dcterms:modified xsi:type="dcterms:W3CDTF">2018-01-30T16:51:00Z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