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66EA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66EAD" w:rsidP="00B66EAD">
            <w:pPr>
              <w:jc w:val="right"/>
            </w:pPr>
            <w:r w:rsidRPr="00B66EAD">
              <w:rPr>
                <w:sz w:val="40"/>
              </w:rPr>
              <w:t>ECE</w:t>
            </w:r>
            <w:r>
              <w:t>/TRANS/WP.29/2018/26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66EAD" w:rsidP="00C97039">
            <w:pPr>
              <w:spacing w:before="240"/>
            </w:pPr>
            <w:r>
              <w:t>Distr. générale</w:t>
            </w:r>
          </w:p>
          <w:p w:rsidR="00B66EAD" w:rsidRDefault="00B66EAD" w:rsidP="00B66EAD">
            <w:pPr>
              <w:spacing w:line="240" w:lineRule="exact"/>
            </w:pPr>
            <w:r>
              <w:t>3 janvier 2018</w:t>
            </w:r>
          </w:p>
          <w:p w:rsidR="00B66EAD" w:rsidRDefault="00B66EAD" w:rsidP="00B66EAD">
            <w:pPr>
              <w:spacing w:line="240" w:lineRule="exact"/>
            </w:pPr>
            <w:r>
              <w:t>Français</w:t>
            </w:r>
          </w:p>
          <w:p w:rsidR="00B66EAD" w:rsidRPr="00DB58B5" w:rsidRDefault="00860AFC" w:rsidP="00B66EAD">
            <w:pPr>
              <w:spacing w:line="240" w:lineRule="exact"/>
            </w:pPr>
            <w:r>
              <w:t>Original </w:t>
            </w:r>
            <w:r w:rsidR="00B66EAD"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B5D54" w:rsidRPr="006E69F7" w:rsidRDefault="00CB5D54" w:rsidP="006E69F7">
      <w:pPr>
        <w:tabs>
          <w:tab w:val="center" w:pos="4819"/>
        </w:tabs>
        <w:spacing w:before="120"/>
        <w:rPr>
          <w:b/>
          <w:sz w:val="24"/>
          <w:szCs w:val="24"/>
        </w:rPr>
      </w:pPr>
      <w:r w:rsidRPr="006E69F7">
        <w:rPr>
          <w:b/>
          <w:sz w:val="24"/>
          <w:szCs w:val="24"/>
        </w:rPr>
        <w:t xml:space="preserve">Forum mondial de l’harmonisation </w:t>
      </w:r>
      <w:r w:rsidR="006E69F7">
        <w:rPr>
          <w:b/>
          <w:sz w:val="24"/>
          <w:szCs w:val="24"/>
        </w:rPr>
        <w:br/>
      </w:r>
      <w:r w:rsidRPr="006E69F7">
        <w:rPr>
          <w:b/>
          <w:sz w:val="24"/>
          <w:szCs w:val="24"/>
        </w:rPr>
        <w:t>des Règlements</w:t>
      </w:r>
      <w:r w:rsidR="006E69F7">
        <w:rPr>
          <w:b/>
          <w:sz w:val="24"/>
          <w:szCs w:val="24"/>
        </w:rPr>
        <w:t xml:space="preserve"> </w:t>
      </w:r>
      <w:r w:rsidRPr="006E69F7">
        <w:rPr>
          <w:b/>
          <w:sz w:val="24"/>
          <w:szCs w:val="24"/>
        </w:rPr>
        <w:t>concernant les véhicules</w:t>
      </w:r>
    </w:p>
    <w:p w:rsidR="00CB5D54" w:rsidRPr="004F3F33" w:rsidRDefault="00CB5D54" w:rsidP="00CB5D54">
      <w:pPr>
        <w:tabs>
          <w:tab w:val="center" w:pos="4819"/>
        </w:tabs>
        <w:spacing w:before="120"/>
        <w:rPr>
          <w:b/>
          <w:szCs w:val="24"/>
        </w:rPr>
      </w:pPr>
      <w:r w:rsidRPr="004F3F33">
        <w:rPr>
          <w:b/>
          <w:szCs w:val="24"/>
        </w:rPr>
        <w:t>174</w:t>
      </w:r>
      <w:r w:rsidR="006E69F7" w:rsidRPr="006E69F7">
        <w:rPr>
          <w:b/>
          <w:szCs w:val="24"/>
          <w:vertAlign w:val="superscript"/>
        </w:rPr>
        <w:t>e</w:t>
      </w:r>
      <w:r w:rsidR="006E69F7">
        <w:rPr>
          <w:b/>
          <w:szCs w:val="24"/>
        </w:rPr>
        <w:t> </w:t>
      </w:r>
      <w:r w:rsidRPr="004F3F33">
        <w:rPr>
          <w:b/>
          <w:szCs w:val="24"/>
        </w:rPr>
        <w:t>session</w:t>
      </w:r>
    </w:p>
    <w:p w:rsidR="00CB5D54" w:rsidRPr="004F3F33" w:rsidRDefault="00CB5D54" w:rsidP="00CB5D54">
      <w:pPr>
        <w:rPr>
          <w:szCs w:val="24"/>
        </w:rPr>
      </w:pPr>
      <w:r w:rsidRPr="004F3F33">
        <w:rPr>
          <w:szCs w:val="24"/>
        </w:rPr>
        <w:t>Genève, 13-16 mars 2018</w:t>
      </w:r>
    </w:p>
    <w:p w:rsidR="00CB5D54" w:rsidRPr="004F3F33" w:rsidRDefault="00CB5D54" w:rsidP="00CB5D54">
      <w:pPr>
        <w:rPr>
          <w:szCs w:val="24"/>
        </w:rPr>
      </w:pPr>
      <w:r w:rsidRPr="004F3F33">
        <w:rPr>
          <w:szCs w:val="24"/>
        </w:rPr>
        <w:t>Point 4.8.12 de l</w:t>
      </w:r>
      <w:r>
        <w:rPr>
          <w:szCs w:val="24"/>
        </w:rPr>
        <w:t>’</w:t>
      </w:r>
      <w:r w:rsidRPr="004F3F33">
        <w:rPr>
          <w:szCs w:val="24"/>
        </w:rPr>
        <w:t>ordre du jour provisoire</w:t>
      </w:r>
    </w:p>
    <w:p w:rsidR="00CB5D54" w:rsidRDefault="00CB5D54" w:rsidP="00CB5D54">
      <w:pPr>
        <w:rPr>
          <w:b/>
          <w:szCs w:val="24"/>
        </w:rPr>
      </w:pPr>
      <w:r w:rsidRPr="004F3F33">
        <w:rPr>
          <w:b/>
          <w:szCs w:val="24"/>
        </w:rPr>
        <w:t>Accord de 1958</w:t>
      </w:r>
      <w:r w:rsidR="006E69F7">
        <w:rPr>
          <w:b/>
          <w:szCs w:val="24"/>
        </w:rPr>
        <w:t> </w:t>
      </w:r>
      <w:r w:rsidRPr="004F3F33">
        <w:rPr>
          <w:b/>
          <w:szCs w:val="24"/>
        </w:rPr>
        <w:t>:</w:t>
      </w:r>
      <w:r w:rsidRPr="004F3F33">
        <w:rPr>
          <w:b/>
          <w:szCs w:val="24"/>
        </w:rPr>
        <w:br/>
        <w:t>Examen de projets d</w:t>
      </w:r>
      <w:r>
        <w:rPr>
          <w:b/>
          <w:szCs w:val="24"/>
        </w:rPr>
        <w:t>’</w:t>
      </w:r>
      <w:r w:rsidRPr="004F3F33">
        <w:rPr>
          <w:b/>
          <w:szCs w:val="24"/>
        </w:rPr>
        <w:t>amendements</w:t>
      </w:r>
      <w:r w:rsidR="006E69F7">
        <w:rPr>
          <w:b/>
          <w:szCs w:val="24"/>
        </w:rPr>
        <w:br/>
      </w:r>
      <w:r w:rsidRPr="004F3F33">
        <w:rPr>
          <w:b/>
          <w:szCs w:val="24"/>
        </w:rPr>
        <w:t>à des Règlements existants, soumis par le GRSG</w:t>
      </w:r>
    </w:p>
    <w:p w:rsidR="00CB5D54" w:rsidRPr="004F3F33" w:rsidRDefault="00CB5D54" w:rsidP="00CB5D54">
      <w:pPr>
        <w:pStyle w:val="HChG"/>
      </w:pPr>
      <w:r>
        <w:tab/>
      </w:r>
      <w:r>
        <w:tab/>
      </w:r>
      <w:r w:rsidRPr="004F3F33">
        <w:t xml:space="preserve">Proposition de </w:t>
      </w:r>
      <w:r>
        <w:t>c</w:t>
      </w:r>
      <w:r w:rsidRPr="004F3F33">
        <w:t>omplément 3 à la série 01 d</w:t>
      </w:r>
      <w:r>
        <w:t>’</w:t>
      </w:r>
      <w:r w:rsidR="006E69F7">
        <w:t>amendements au </w:t>
      </w:r>
      <w:r w:rsidRPr="004F3F33">
        <w:t>Règlement n</w:t>
      </w:r>
      <w:r w:rsidRPr="004F3F33">
        <w:rPr>
          <w:vertAlign w:val="superscript"/>
        </w:rPr>
        <w:t>o</w:t>
      </w:r>
      <w:r>
        <w:t> </w:t>
      </w:r>
      <w:r w:rsidRPr="004F3F33">
        <w:t>121 (Identification</w:t>
      </w:r>
      <w:r>
        <w:t xml:space="preserve"> </w:t>
      </w:r>
      <w:r w:rsidRPr="004F3F33">
        <w:t>des commandes</w:t>
      </w:r>
      <w:r>
        <w:t xml:space="preserve"> manuelles</w:t>
      </w:r>
      <w:r w:rsidRPr="004F3F33">
        <w:t>, des témoins et des indicateurs)</w:t>
      </w:r>
    </w:p>
    <w:p w:rsidR="00CB5D54" w:rsidRPr="004F3F33" w:rsidRDefault="00CB5D54" w:rsidP="00CB5D54">
      <w:pPr>
        <w:pStyle w:val="H1G"/>
      </w:pPr>
      <w:r>
        <w:tab/>
      </w:r>
      <w:r>
        <w:tab/>
        <w:t>Communication du</w:t>
      </w:r>
      <w:r w:rsidRPr="004F3F33">
        <w:t xml:space="preserve"> Groupe de travai</w:t>
      </w:r>
      <w:r>
        <w:t>l des dispositions générales de </w:t>
      </w:r>
      <w:r w:rsidRPr="004F3F33">
        <w:t>sécurité</w:t>
      </w:r>
      <w:r w:rsidRPr="00CB5D54">
        <w:rPr>
          <w:b w:val="0"/>
          <w:sz w:val="20"/>
        </w:rPr>
        <w:footnoteReference w:customMarkFollows="1" w:id="2"/>
        <w:t>*</w:t>
      </w:r>
    </w:p>
    <w:p w:rsidR="00CB5D54" w:rsidRPr="006B64DD" w:rsidRDefault="00CB5D54" w:rsidP="00CB5D54">
      <w:pPr>
        <w:pStyle w:val="SingleTxtG"/>
        <w:ind w:firstLine="567"/>
      </w:pPr>
      <w:r w:rsidRPr="006B64DD">
        <w:t xml:space="preserve">Le texte ci-après a été établi par le Groupe de travail des dispositions générales de sécurité (GRSG) </w:t>
      </w:r>
      <w:r>
        <w:t xml:space="preserve">à sa </w:t>
      </w:r>
      <w:r w:rsidRPr="006B64DD">
        <w:t>113</w:t>
      </w:r>
      <w:r w:rsidRPr="006E69F7">
        <w:rPr>
          <w:vertAlign w:val="superscript"/>
        </w:rPr>
        <w:t>e</w:t>
      </w:r>
      <w:r w:rsidR="006E69F7" w:rsidRPr="006E69F7">
        <w:t> </w:t>
      </w:r>
      <w:r w:rsidRPr="006B64DD">
        <w:t>session</w:t>
      </w:r>
      <w:r w:rsidR="006E69F7">
        <w:t xml:space="preserve"> (ECE/TRANS/WP.29/GRSG/92, par. </w:t>
      </w:r>
      <w:r w:rsidRPr="006B64DD">
        <w:t>49</w:t>
      </w:r>
      <w:r w:rsidR="006E69F7">
        <w:t xml:space="preserve"> et </w:t>
      </w:r>
      <w:r w:rsidRPr="006B64DD">
        <w:t>50)</w:t>
      </w:r>
      <w:r w:rsidRPr="006B64DD">
        <w:rPr>
          <w:lang w:eastAsia="it-IT"/>
        </w:rPr>
        <w:t xml:space="preserve">. </w:t>
      </w:r>
      <w:r>
        <w:rPr>
          <w:lang w:eastAsia="it-IT"/>
        </w:rPr>
        <w:t xml:space="preserve">Il est fondé sur le document </w:t>
      </w:r>
      <w:r w:rsidRPr="006B64DD">
        <w:t>ECE/TRANS/WP.29/GRSG/2017/18</w:t>
      </w:r>
      <w:r>
        <w:t>, tel que reproduit au</w:t>
      </w:r>
      <w:r w:rsidRPr="006B64DD">
        <w:t xml:space="preserve"> paragraph</w:t>
      </w:r>
      <w:r>
        <w:t>e</w:t>
      </w:r>
      <w:r w:rsidRPr="006B64DD">
        <w:t xml:space="preserve"> 49 </w:t>
      </w:r>
      <w:r>
        <w:t>du rapport</w:t>
      </w:r>
      <w:r w:rsidRPr="006B64DD">
        <w:t>. Il est soumis au Forum mondial de l</w:t>
      </w:r>
      <w:r>
        <w:t>’</w:t>
      </w:r>
      <w:r w:rsidRPr="006B64DD">
        <w:t>harmonisation des Règlements concernant les véhicules (WP.29) et au Comité d</w:t>
      </w:r>
      <w:r>
        <w:t>’</w:t>
      </w:r>
      <w:r w:rsidRPr="006B64DD">
        <w:t xml:space="preserve">administration </w:t>
      </w:r>
      <w:r w:rsidRPr="00F7448A">
        <w:t>de l</w:t>
      </w:r>
      <w:r>
        <w:t>’</w:t>
      </w:r>
      <w:r w:rsidRPr="00F7448A">
        <w:t>Accord de 1958</w:t>
      </w:r>
      <w:r w:rsidRPr="006B64DD">
        <w:t xml:space="preserve"> (AC.1) pour examen </w:t>
      </w:r>
      <w:r>
        <w:t xml:space="preserve">à leurs sessions de mars </w:t>
      </w:r>
      <w:r w:rsidRPr="006B64DD">
        <w:t>2018.</w:t>
      </w:r>
    </w:p>
    <w:p w:rsidR="00CB5D54" w:rsidRPr="006B64DD" w:rsidRDefault="00CB5D54" w:rsidP="00CB5D54">
      <w:pPr>
        <w:pStyle w:val="HChG"/>
        <w:rPr>
          <w:rFonts w:eastAsia="MS Mincho"/>
          <w:i/>
          <w:iCs/>
        </w:rPr>
      </w:pPr>
      <w:r w:rsidRPr="006B64DD">
        <w:rPr>
          <w:szCs w:val="24"/>
        </w:rPr>
        <w:br w:type="page"/>
      </w:r>
      <w:r w:rsidRPr="006B64DD">
        <w:lastRenderedPageBreak/>
        <w:tab/>
      </w:r>
      <w:r w:rsidRPr="006B64DD">
        <w:tab/>
        <w:t>Complément 3 à la série 01 d</w:t>
      </w:r>
      <w:r>
        <w:t>’</w:t>
      </w:r>
      <w:r w:rsidRPr="006B64DD">
        <w:t xml:space="preserve">amendements au Règlement </w:t>
      </w:r>
      <w:r w:rsidR="00DC3493">
        <w:rPr>
          <w:rFonts w:eastAsia="MS Mincho"/>
        </w:rPr>
        <w:t>n</w:t>
      </w:r>
      <w:r w:rsidR="00DC3493">
        <w:rPr>
          <w:rFonts w:eastAsia="MS Mincho"/>
          <w:vertAlign w:val="superscript"/>
        </w:rPr>
        <w:t>o</w:t>
      </w:r>
      <w:r w:rsidR="00DC3493">
        <w:t> </w:t>
      </w:r>
      <w:r w:rsidRPr="006B64DD">
        <w:t>121 (Identification des commandes</w:t>
      </w:r>
      <w:r>
        <w:t xml:space="preserve"> manuelles</w:t>
      </w:r>
      <w:r w:rsidRPr="006B64DD">
        <w:t>, des témoins et des indicateurs)</w:t>
      </w:r>
    </w:p>
    <w:p w:rsidR="00CB5D54" w:rsidRPr="006B64DD" w:rsidRDefault="00CB5D54" w:rsidP="00860AFC">
      <w:pPr>
        <w:pStyle w:val="SingleTxtG"/>
      </w:pPr>
      <w:r w:rsidRPr="006B64DD">
        <w:rPr>
          <w:i/>
        </w:rPr>
        <w:t xml:space="preserve">Tableau 1, </w:t>
      </w:r>
      <w:r>
        <w:rPr>
          <w:i/>
        </w:rPr>
        <w:t>s</w:t>
      </w:r>
      <w:r w:rsidRPr="006B64DD">
        <w:rPr>
          <w:i/>
        </w:rPr>
        <w:t>ymbole n</w:t>
      </w:r>
      <w:r w:rsidRPr="006B64DD">
        <w:rPr>
          <w:i/>
          <w:vertAlign w:val="superscript"/>
        </w:rPr>
        <w:t>o</w:t>
      </w:r>
      <w:r w:rsidR="00DC3493" w:rsidRPr="00DC3493">
        <w:t> </w:t>
      </w:r>
      <w:r w:rsidRPr="006B64DD">
        <w:rPr>
          <w:i/>
        </w:rPr>
        <w:t>1</w:t>
      </w:r>
      <w:r w:rsidR="00DC3493" w:rsidRPr="00DC3493">
        <w:t xml:space="preserve">, </w:t>
      </w:r>
      <w:r w:rsidRPr="006B64DD">
        <w:t>modifier comme suit</w:t>
      </w:r>
      <w:r w:rsidRPr="006B64DD">
        <w:rPr>
          <w:i/>
        </w:rPr>
        <w:t xml:space="preserve"> </w:t>
      </w:r>
      <w:r w:rsidRPr="006B64DD">
        <w:t xml:space="preserve">(ajouter un renvoi à la note </w:t>
      </w:r>
      <w:r w:rsidRPr="00DC3493">
        <w:t>18</w:t>
      </w:r>
      <w:r w:rsidRPr="002C1111">
        <w:t xml:space="preserve"> </w:t>
      </w:r>
      <w:r>
        <w:t>existante</w:t>
      </w:r>
      <w:r w:rsidRPr="006B64DD">
        <w:t>)</w:t>
      </w:r>
      <w:r w:rsidR="00DC3493">
        <w:t> </w:t>
      </w:r>
      <w:r w:rsidRPr="006B64DD">
        <w:t>:</w:t>
      </w:r>
    </w:p>
    <w:p w:rsidR="00CB5D54" w:rsidRDefault="00CB5D54" w:rsidP="00860AFC">
      <w:pPr>
        <w:pStyle w:val="SingleTxtG"/>
        <w:rPr>
          <w:lang w:val="en-GB" w:eastAsia="ar-SA"/>
        </w:rPr>
      </w:pPr>
      <w:r>
        <w:rPr>
          <w:lang w:val="en-GB"/>
        </w:rPr>
        <w:t>«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545"/>
        <w:gridCol w:w="1207"/>
        <w:gridCol w:w="1071"/>
        <w:gridCol w:w="1072"/>
        <w:gridCol w:w="938"/>
      </w:tblGrid>
      <w:tr w:rsidR="00DC3493" w:rsidRPr="00DC3493" w:rsidTr="00DC6D5E">
        <w:trPr>
          <w:cantSplit/>
          <w:tblHeader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D54" w:rsidRPr="00DC3493" w:rsidRDefault="00CB5D54" w:rsidP="00DC6D5E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DC3493">
              <w:rPr>
                <w:i/>
                <w:sz w:val="16"/>
              </w:rPr>
              <w:t>N</w:t>
            </w:r>
            <w:r w:rsidRPr="002C1111">
              <w:rPr>
                <w:i/>
                <w:sz w:val="16"/>
                <w:vertAlign w:val="superscript"/>
              </w:rPr>
              <w:t>o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D54" w:rsidRPr="00DC3493" w:rsidRDefault="00CB5D54" w:rsidP="00DC6D5E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DC3493">
              <w:rPr>
                <w:i/>
                <w:sz w:val="16"/>
              </w:rPr>
              <w:t>Colonne 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D54" w:rsidRPr="00DC3493" w:rsidRDefault="00CB5D54" w:rsidP="00DC6D5E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DC3493">
              <w:rPr>
                <w:bCs/>
                <w:i/>
                <w:sz w:val="16"/>
              </w:rPr>
              <w:t>Colonne 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D54" w:rsidRPr="00DC3493" w:rsidRDefault="00CB5D54" w:rsidP="00DC6D5E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DC3493">
              <w:rPr>
                <w:i/>
                <w:sz w:val="16"/>
              </w:rPr>
              <w:t>Colonne 3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D54" w:rsidRPr="00DC3493" w:rsidRDefault="00CB5D54" w:rsidP="00DC6D5E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DC3493">
              <w:rPr>
                <w:i/>
                <w:sz w:val="16"/>
              </w:rPr>
              <w:t>Colonne 4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D54" w:rsidRPr="00DC3493" w:rsidRDefault="00CB5D54" w:rsidP="00DC6D5E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DC3493">
              <w:rPr>
                <w:i/>
                <w:sz w:val="16"/>
              </w:rPr>
              <w:t>Colonne 5</w:t>
            </w:r>
          </w:p>
        </w:tc>
      </w:tr>
      <w:tr w:rsidR="00DC3493" w:rsidRPr="00DC3493" w:rsidTr="00DC6D5E">
        <w:trPr>
          <w:cantSplit/>
          <w:tblHeader/>
        </w:trPr>
        <w:tc>
          <w:tcPr>
            <w:tcW w:w="5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5D54" w:rsidRPr="00DC3493" w:rsidRDefault="00CB5D54" w:rsidP="00DC6D5E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</w:p>
        </w:tc>
        <w:tc>
          <w:tcPr>
            <w:tcW w:w="25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5D54" w:rsidRPr="00DC3493" w:rsidRDefault="00CB5D54" w:rsidP="00DC6D5E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DC3493">
              <w:rPr>
                <w:bCs/>
                <w:i/>
                <w:sz w:val="16"/>
              </w:rPr>
              <w:t>Équipement</w:t>
            </w:r>
          </w:p>
        </w:tc>
        <w:tc>
          <w:tcPr>
            <w:tcW w:w="12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5D54" w:rsidRPr="00DC3493" w:rsidRDefault="00CB5D54" w:rsidP="007E4221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DC3493">
              <w:rPr>
                <w:bCs/>
                <w:i/>
                <w:sz w:val="16"/>
              </w:rPr>
              <w:t>Symbole</w:t>
            </w:r>
            <w:r w:rsidRPr="002C1111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5D54" w:rsidRPr="00DC3493" w:rsidRDefault="00CB5D54" w:rsidP="00DC6D5E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DC3493">
              <w:rPr>
                <w:bCs/>
                <w:i/>
                <w:sz w:val="16"/>
              </w:rPr>
              <w:t>Fonction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5D54" w:rsidRPr="00DC3493" w:rsidRDefault="00CB5D54" w:rsidP="00DC6D5E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DC3493">
              <w:rPr>
                <w:bCs/>
                <w:i/>
                <w:sz w:val="16"/>
              </w:rPr>
              <w:t>Éclairage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B5D54" w:rsidRPr="00DC3493" w:rsidRDefault="00CB5D54" w:rsidP="00DC6D5E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DC3493">
              <w:rPr>
                <w:bCs/>
                <w:i/>
                <w:sz w:val="16"/>
              </w:rPr>
              <w:t>Couleur</w:t>
            </w:r>
          </w:p>
        </w:tc>
      </w:tr>
      <w:tr w:rsidR="00DC3493" w:rsidRPr="00DC3493" w:rsidTr="007E4221">
        <w:trPr>
          <w:cantSplit/>
        </w:trPr>
        <w:tc>
          <w:tcPr>
            <w:tcW w:w="53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</w:pPr>
            <w:r w:rsidRPr="00DC3493">
              <w:t>1.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</w:pPr>
            <w:r w:rsidRPr="00DC3493">
              <w:t>Interrupteur général d’éclairage</w:t>
            </w:r>
          </w:p>
          <w:p w:rsidR="00CB5D54" w:rsidRPr="00DC3493" w:rsidRDefault="00CB5D54" w:rsidP="00DC6D5E">
            <w:pPr>
              <w:spacing w:before="40" w:after="120"/>
              <w:ind w:left="57" w:right="57"/>
              <w:rPr>
                <w:bCs/>
                <w:i/>
              </w:rPr>
            </w:pPr>
            <w:r w:rsidRPr="00DC3493">
              <w:t>Le témoin peut ne pas faire office de témoin pour les feux de position (latéraux)</w:t>
            </w:r>
          </w:p>
        </w:tc>
        <w:tc>
          <w:tcPr>
            <w:tcW w:w="12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5D54" w:rsidRPr="00DC3493" w:rsidRDefault="00CB5D54" w:rsidP="007E4221">
            <w:pPr>
              <w:spacing w:before="40" w:after="120"/>
              <w:ind w:left="57" w:right="57"/>
              <w:jc w:val="center"/>
              <w:rPr>
                <w:bCs/>
                <w:i/>
              </w:rPr>
            </w:pPr>
            <w:r w:rsidRPr="00DC3493">
              <w:rPr>
                <w:noProof/>
                <w:lang w:eastAsia="fr-CH"/>
              </w:rPr>
              <w:drawing>
                <wp:inline distT="0" distB="0" distL="0" distR="0" wp14:anchorId="16D8C0D0" wp14:editId="1469A27D">
                  <wp:extent cx="263525" cy="249555"/>
                  <wp:effectExtent l="0" t="0" r="3175" b="0"/>
                  <wp:docPr id="4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FC">
              <w:rPr>
                <w:b/>
                <w:bCs/>
                <w:i/>
                <w:sz w:val="18"/>
                <w:szCs w:val="18"/>
                <w:vertAlign w:val="superscript"/>
              </w:rPr>
              <w:t>1, 18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  <w:rPr>
                <w:bCs/>
              </w:rPr>
            </w:pPr>
            <w:r w:rsidRPr="00DC3493">
              <w:rPr>
                <w:bCs/>
              </w:rPr>
              <w:t>Commande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  <w:rPr>
                <w:bCs/>
              </w:rPr>
            </w:pPr>
            <w:r w:rsidRPr="00DC3493">
              <w:rPr>
                <w:bCs/>
              </w:rPr>
              <w:t>Non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  <w:rPr>
                <w:bCs/>
                <w:i/>
              </w:rPr>
            </w:pPr>
          </w:p>
        </w:tc>
      </w:tr>
      <w:tr w:rsidR="00DC3493" w:rsidRPr="00DC3493" w:rsidTr="00DC6D5E">
        <w:trPr>
          <w:cantSplit/>
        </w:trPr>
        <w:tc>
          <w:tcPr>
            <w:tcW w:w="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</w:pPr>
            <w:r w:rsidRPr="00DC3493">
              <w:t>Témoin</w:t>
            </w:r>
            <w:r w:rsidRPr="00DC6D5E">
              <w:rPr>
                <w:i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</w:pPr>
            <w:r w:rsidRPr="00DC3493">
              <w:t xml:space="preserve">Oui 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</w:pPr>
            <w:r w:rsidRPr="00DC3493">
              <w:t>Vert</w:t>
            </w:r>
          </w:p>
        </w:tc>
      </w:tr>
      <w:tr w:rsidR="00DC3493" w:rsidRPr="00DC3493" w:rsidTr="00DC6D5E">
        <w:trPr>
          <w:cantSplit/>
        </w:trPr>
        <w:tc>
          <w:tcPr>
            <w:tcW w:w="537" w:type="dxa"/>
            <w:tcBorders>
              <w:bottom w:val="single" w:sz="12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</w:pPr>
            <w:r w:rsidRPr="00DC3493">
              <w:t>…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</w:pPr>
            <w:r w:rsidRPr="00DC3493">
              <w:t>…</w:t>
            </w:r>
          </w:p>
        </w:tc>
        <w:tc>
          <w:tcPr>
            <w:tcW w:w="1207" w:type="dxa"/>
            <w:tcBorders>
              <w:bottom w:val="single" w:sz="12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</w:pPr>
            <w:r w:rsidRPr="00DC3493">
              <w:t>…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</w:pPr>
            <w:r w:rsidRPr="00DC3493">
              <w:t>…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</w:pPr>
            <w:r w:rsidRPr="00DC3493">
              <w:t>…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</w:tcPr>
          <w:p w:rsidR="00CB5D54" w:rsidRPr="00DC3493" w:rsidRDefault="00CB5D54" w:rsidP="00DC6D5E">
            <w:pPr>
              <w:spacing w:before="40" w:after="120"/>
              <w:ind w:left="57" w:right="57"/>
            </w:pPr>
            <w:r w:rsidRPr="00DC3493">
              <w:t>…</w:t>
            </w:r>
          </w:p>
        </w:tc>
      </w:tr>
    </w:tbl>
    <w:p w:rsidR="00CB5D54" w:rsidRDefault="00CB5D54" w:rsidP="00860AFC">
      <w:pPr>
        <w:pStyle w:val="SingleTxtG"/>
        <w:jc w:val="right"/>
        <w:rPr>
          <w:lang w:val="en-GB" w:eastAsia="ar-SA"/>
        </w:rPr>
      </w:pPr>
      <w:r>
        <w:rPr>
          <w:lang w:val="en-GB" w:eastAsia="ar-SA"/>
        </w:rPr>
        <w:t>».</w:t>
      </w:r>
    </w:p>
    <w:p w:rsidR="00F9573C" w:rsidRPr="00CB5D54" w:rsidRDefault="00CB5D54" w:rsidP="00CB5D5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CB5D54" w:rsidSect="00B66E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F1" w:rsidRDefault="00B973F1" w:rsidP="00F95C08">
      <w:pPr>
        <w:spacing w:line="240" w:lineRule="auto"/>
      </w:pPr>
    </w:p>
  </w:endnote>
  <w:endnote w:type="continuationSeparator" w:id="0">
    <w:p w:rsidR="00B973F1" w:rsidRPr="00AC3823" w:rsidRDefault="00B973F1" w:rsidP="00AC3823">
      <w:pPr>
        <w:pStyle w:val="Footer"/>
      </w:pPr>
    </w:p>
  </w:endnote>
  <w:endnote w:type="continuationNotice" w:id="1">
    <w:p w:rsidR="00B973F1" w:rsidRDefault="00B973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AD" w:rsidRPr="00B66EAD" w:rsidRDefault="00B66EAD" w:rsidP="00B66EAD">
    <w:pPr>
      <w:pStyle w:val="Footer"/>
      <w:tabs>
        <w:tab w:val="right" w:pos="9638"/>
      </w:tabs>
    </w:pPr>
    <w:r w:rsidRPr="00B66EAD">
      <w:rPr>
        <w:b/>
        <w:sz w:val="18"/>
      </w:rPr>
      <w:fldChar w:fldCharType="begin"/>
    </w:r>
    <w:r w:rsidRPr="00B66EAD">
      <w:rPr>
        <w:b/>
        <w:sz w:val="18"/>
      </w:rPr>
      <w:instrText xml:space="preserve"> PAGE  \* MERGEFORMAT </w:instrText>
    </w:r>
    <w:r w:rsidRPr="00B66EAD">
      <w:rPr>
        <w:b/>
        <w:sz w:val="18"/>
      </w:rPr>
      <w:fldChar w:fldCharType="separate"/>
    </w:r>
    <w:r w:rsidR="00966444">
      <w:rPr>
        <w:b/>
        <w:noProof/>
        <w:sz w:val="18"/>
      </w:rPr>
      <w:t>2</w:t>
    </w:r>
    <w:r w:rsidRPr="00B66EAD">
      <w:rPr>
        <w:b/>
        <w:sz w:val="18"/>
      </w:rPr>
      <w:fldChar w:fldCharType="end"/>
    </w:r>
    <w:r>
      <w:rPr>
        <w:b/>
        <w:sz w:val="18"/>
      </w:rPr>
      <w:tab/>
    </w:r>
    <w:r>
      <w:t>GE.18-00077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AD" w:rsidRPr="00B66EAD" w:rsidRDefault="00B66EAD" w:rsidP="00B66EAD">
    <w:pPr>
      <w:pStyle w:val="Footer"/>
      <w:tabs>
        <w:tab w:val="right" w:pos="9638"/>
      </w:tabs>
      <w:rPr>
        <w:b/>
        <w:sz w:val="18"/>
      </w:rPr>
    </w:pPr>
    <w:r>
      <w:t>GE.18-00077</w:t>
    </w:r>
    <w:r>
      <w:tab/>
    </w:r>
    <w:r w:rsidRPr="00B66EAD">
      <w:rPr>
        <w:b/>
        <w:sz w:val="18"/>
      </w:rPr>
      <w:fldChar w:fldCharType="begin"/>
    </w:r>
    <w:r w:rsidRPr="00B66EAD">
      <w:rPr>
        <w:b/>
        <w:sz w:val="18"/>
      </w:rPr>
      <w:instrText xml:space="preserve"> PAGE  \* MERGEFORMAT </w:instrText>
    </w:r>
    <w:r w:rsidRPr="00B66EAD">
      <w:rPr>
        <w:b/>
        <w:sz w:val="18"/>
      </w:rPr>
      <w:fldChar w:fldCharType="separate"/>
    </w:r>
    <w:r w:rsidR="00CB5D54">
      <w:rPr>
        <w:b/>
        <w:noProof/>
        <w:sz w:val="18"/>
      </w:rPr>
      <w:t>3</w:t>
    </w:r>
    <w:r w:rsidRPr="00B66E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B66EAD" w:rsidRDefault="00B66EAD" w:rsidP="00B66EA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18-00077  (F)</w:t>
    </w:r>
    <w:r w:rsidR="00DC3493">
      <w:rPr>
        <w:sz w:val="20"/>
      </w:rPr>
      <w:t xml:space="preserve">    260118    260118</w:t>
    </w:r>
    <w:r>
      <w:rPr>
        <w:sz w:val="20"/>
      </w:rPr>
      <w:br/>
    </w:r>
    <w:r w:rsidRPr="00B66EAD">
      <w:rPr>
        <w:rFonts w:ascii="C39T30Lfz" w:hAnsi="C39T30Lfz"/>
        <w:sz w:val="56"/>
      </w:rPr>
      <w:t></w:t>
    </w:r>
    <w:r w:rsidRPr="00B66EAD">
      <w:rPr>
        <w:rFonts w:ascii="C39T30Lfz" w:hAnsi="C39T30Lfz"/>
        <w:sz w:val="56"/>
      </w:rPr>
      <w:t></w:t>
    </w:r>
    <w:r w:rsidRPr="00B66EAD">
      <w:rPr>
        <w:rFonts w:ascii="C39T30Lfz" w:hAnsi="C39T30Lfz"/>
        <w:sz w:val="56"/>
      </w:rPr>
      <w:t></w:t>
    </w:r>
    <w:r w:rsidRPr="00B66EAD">
      <w:rPr>
        <w:rFonts w:ascii="C39T30Lfz" w:hAnsi="C39T30Lfz"/>
        <w:sz w:val="56"/>
      </w:rPr>
      <w:t></w:t>
    </w:r>
    <w:r w:rsidRPr="00B66EAD">
      <w:rPr>
        <w:rFonts w:ascii="C39T30Lfz" w:hAnsi="C39T30Lfz"/>
        <w:sz w:val="56"/>
      </w:rPr>
      <w:t></w:t>
    </w:r>
    <w:r w:rsidRPr="00B66EAD">
      <w:rPr>
        <w:rFonts w:ascii="C39T30Lfz" w:hAnsi="C39T30Lfz"/>
        <w:sz w:val="56"/>
      </w:rPr>
      <w:t></w:t>
    </w:r>
    <w:r w:rsidRPr="00B66EAD">
      <w:rPr>
        <w:rFonts w:ascii="C39T30Lfz" w:hAnsi="C39T30Lfz"/>
        <w:sz w:val="56"/>
      </w:rPr>
      <w:t></w:t>
    </w:r>
    <w:r w:rsidRPr="00B66EAD">
      <w:rPr>
        <w:rFonts w:ascii="C39T30Lfz" w:hAnsi="C39T30Lfz"/>
        <w:sz w:val="56"/>
      </w:rPr>
      <w:t></w:t>
    </w:r>
    <w:r w:rsidRPr="00B66EA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2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F1" w:rsidRPr="00AC3823" w:rsidRDefault="00B973F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73F1" w:rsidRPr="00AC3823" w:rsidRDefault="00B973F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73F1" w:rsidRPr="00AC3823" w:rsidRDefault="00B973F1">
      <w:pPr>
        <w:spacing w:line="240" w:lineRule="auto"/>
        <w:rPr>
          <w:sz w:val="2"/>
          <w:szCs w:val="2"/>
        </w:rPr>
      </w:pPr>
    </w:p>
  </w:footnote>
  <w:footnote w:id="2">
    <w:p w:rsidR="00CB5D54" w:rsidRPr="00CB5D54" w:rsidRDefault="00CB5D54" w:rsidP="00CB5D54">
      <w:pPr>
        <w:pStyle w:val="FootnoteText"/>
        <w:rPr>
          <w:spacing w:val="-2"/>
        </w:rPr>
      </w:pPr>
      <w:r w:rsidRPr="00A90EA8">
        <w:rPr>
          <w:lang w:val="en-GB"/>
        </w:rPr>
        <w:tab/>
      </w:r>
      <w:r w:rsidRPr="004F3F33">
        <w:rPr>
          <w:sz w:val="20"/>
        </w:rPr>
        <w:t>*</w:t>
      </w:r>
      <w:r w:rsidRPr="004F3F33">
        <w:rPr>
          <w:sz w:val="20"/>
        </w:rPr>
        <w:tab/>
      </w:r>
      <w:r w:rsidRPr="00CB5D54">
        <w:rPr>
          <w:spacing w:val="-2"/>
        </w:rPr>
        <w:t xml:space="preserve">Conformément au programme de travail du Comité des transports intérieurs pour la période </w:t>
      </w:r>
      <w:r>
        <w:rPr>
          <w:spacing w:val="-2"/>
        </w:rPr>
        <w:t>2016-</w:t>
      </w:r>
      <w:r w:rsidR="00DC3493">
        <w:rPr>
          <w:spacing w:val="-2"/>
        </w:rPr>
        <w:t>2017 (ECE/TRANS/254, par. </w:t>
      </w:r>
      <w:r w:rsidRPr="00CB5D54">
        <w:rPr>
          <w:spacing w:val="-2"/>
        </w:rPr>
        <w:t>159</w:t>
      </w:r>
      <w:r w:rsidR="00DC3493">
        <w:rPr>
          <w:spacing w:val="-2"/>
        </w:rPr>
        <w:t>,</w:t>
      </w:r>
      <w:r w:rsidRPr="00CB5D54">
        <w:rPr>
          <w:spacing w:val="-2"/>
        </w:rPr>
        <w:t xml:space="preserve">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AD" w:rsidRPr="00B66EAD" w:rsidRDefault="0096644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66EAD">
      <w:t>ECE/TRANS/WP.29/2018/26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AD" w:rsidRPr="00B66EAD" w:rsidRDefault="00966444" w:rsidP="00B66EA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66EAD">
      <w:t>ECE/TRANS/WP.29/2018/26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F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7F1A"/>
    <w:rsid w:val="00176178"/>
    <w:rsid w:val="001F525A"/>
    <w:rsid w:val="00223272"/>
    <w:rsid w:val="0024779E"/>
    <w:rsid w:val="00257168"/>
    <w:rsid w:val="002744B8"/>
    <w:rsid w:val="002832AC"/>
    <w:rsid w:val="002C1111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E69F7"/>
    <w:rsid w:val="0071601D"/>
    <w:rsid w:val="007A62E6"/>
    <w:rsid w:val="007E4221"/>
    <w:rsid w:val="007F20FA"/>
    <w:rsid w:val="0080684C"/>
    <w:rsid w:val="00860AFC"/>
    <w:rsid w:val="00871C75"/>
    <w:rsid w:val="008776DC"/>
    <w:rsid w:val="009446C0"/>
    <w:rsid w:val="00966444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66EAD"/>
    <w:rsid w:val="00B765F7"/>
    <w:rsid w:val="00B973F1"/>
    <w:rsid w:val="00BA0CA9"/>
    <w:rsid w:val="00C02897"/>
    <w:rsid w:val="00C97039"/>
    <w:rsid w:val="00CB5D54"/>
    <w:rsid w:val="00D3439C"/>
    <w:rsid w:val="00DB1831"/>
    <w:rsid w:val="00DC3493"/>
    <w:rsid w:val="00DC6D5E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834F9E-187D-4B44-A16C-D43063A6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B5D5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B5D54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ECE/TRANS/WP.29/2018/26</vt:lpstr>
      <vt:lpstr>ECE/TRANS/WP.29/2018/26</vt:lpstr>
    </vt:vector>
  </TitlesOfParts>
  <Company>DCM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ECE/TRANS/WP.29/2018/26</dc:title>
  <dc:subject/>
  <dc:creator>Nicolas MORIN</dc:creator>
  <cp:keywords/>
  <cp:lastModifiedBy>CRP.1/A.6</cp:lastModifiedBy>
  <cp:revision>2</cp:revision>
  <cp:lastPrinted>2014-05-14T10:59:00Z</cp:lastPrinted>
  <dcterms:created xsi:type="dcterms:W3CDTF">2018-01-29T17:26:00Z</dcterms:created>
  <dcterms:modified xsi:type="dcterms:W3CDTF">2018-01-29T17:26:00Z</dcterms:modified>
</cp:coreProperties>
</file>