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0034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0034E" w:rsidP="007C2417">
            <w:pPr>
              <w:jc w:val="right"/>
            </w:pPr>
            <w:r w:rsidRPr="0020034E">
              <w:rPr>
                <w:sz w:val="40"/>
              </w:rPr>
              <w:t>ECE</w:t>
            </w:r>
            <w:r>
              <w:t>/TRANS/WP.29/2018/56</w:t>
            </w:r>
            <w:r w:rsidR="007C2417" w:rsidRPr="007C2417">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0034E" w:rsidP="00C97039">
            <w:pPr>
              <w:spacing w:before="240"/>
            </w:pPr>
            <w:proofErr w:type="spellStart"/>
            <w:r>
              <w:t>Distr</w:t>
            </w:r>
            <w:proofErr w:type="spellEnd"/>
            <w:r>
              <w:t>. générale</w:t>
            </w:r>
          </w:p>
          <w:p w:rsidR="0020034E" w:rsidRDefault="0020034E" w:rsidP="0020034E">
            <w:pPr>
              <w:spacing w:line="240" w:lineRule="exact"/>
            </w:pPr>
            <w:r>
              <w:t>3 avril 2018</w:t>
            </w:r>
          </w:p>
          <w:p w:rsidR="0020034E" w:rsidRDefault="0020034E" w:rsidP="0020034E">
            <w:pPr>
              <w:spacing w:line="240" w:lineRule="exact"/>
            </w:pPr>
            <w:r>
              <w:t>Français</w:t>
            </w:r>
          </w:p>
          <w:p w:rsidR="0020034E" w:rsidRPr="00DB58B5" w:rsidRDefault="0020034E" w:rsidP="0020034E">
            <w:pPr>
              <w:spacing w:line="240" w:lineRule="exact"/>
            </w:pPr>
            <w:r>
              <w:t>Original</w:t>
            </w:r>
            <w:r w:rsidR="00452836">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52836" w:rsidRPr="00A840CC" w:rsidRDefault="00452836" w:rsidP="00452836">
      <w:pPr>
        <w:spacing w:before="120"/>
        <w:rPr>
          <w:b/>
          <w:sz w:val="32"/>
          <w:szCs w:val="24"/>
        </w:rPr>
      </w:pPr>
      <w:r w:rsidRPr="00A840CC">
        <w:rPr>
          <w:b/>
          <w:sz w:val="24"/>
          <w:lang w:val="fr-FR"/>
        </w:rPr>
        <w:t>Forum mondial de l</w:t>
      </w:r>
      <w:r>
        <w:rPr>
          <w:b/>
          <w:sz w:val="24"/>
          <w:lang w:val="fr-FR"/>
        </w:rPr>
        <w:t>’</w:t>
      </w:r>
      <w:r w:rsidRPr="00A840CC">
        <w:rPr>
          <w:b/>
          <w:sz w:val="24"/>
          <w:lang w:val="fr-FR"/>
        </w:rPr>
        <w:t xml:space="preserve">harmonisation des Règlements </w:t>
      </w:r>
      <w:r w:rsidR="0005597A">
        <w:rPr>
          <w:b/>
          <w:sz w:val="24"/>
          <w:lang w:val="fr-FR"/>
        </w:rPr>
        <w:br/>
      </w:r>
      <w:r w:rsidRPr="00A840CC">
        <w:rPr>
          <w:b/>
          <w:sz w:val="24"/>
          <w:lang w:val="fr-FR"/>
        </w:rPr>
        <w:t>concernant les véhicules</w:t>
      </w:r>
    </w:p>
    <w:p w:rsidR="00452836" w:rsidRPr="00A840CC" w:rsidRDefault="00452836" w:rsidP="00452836">
      <w:pPr>
        <w:tabs>
          <w:tab w:val="center" w:pos="4819"/>
        </w:tabs>
        <w:spacing w:before="120"/>
        <w:rPr>
          <w:b/>
        </w:rPr>
      </w:pPr>
      <w:r w:rsidRPr="00A840CC">
        <w:rPr>
          <w:b/>
          <w:lang w:val="fr-FR"/>
        </w:rPr>
        <w:t>175</w:t>
      </w:r>
      <w:r w:rsidRPr="00A840CC">
        <w:rPr>
          <w:b/>
          <w:vertAlign w:val="superscript"/>
          <w:lang w:val="fr-FR"/>
        </w:rPr>
        <w:t>e</w:t>
      </w:r>
      <w:r w:rsidRPr="00A840CC">
        <w:rPr>
          <w:b/>
          <w:lang w:val="fr-FR"/>
        </w:rPr>
        <w:t xml:space="preserve"> session</w:t>
      </w:r>
    </w:p>
    <w:p w:rsidR="00452836" w:rsidRPr="006D33D9" w:rsidRDefault="00452836" w:rsidP="00452836">
      <w:r>
        <w:rPr>
          <w:lang w:val="fr-FR"/>
        </w:rPr>
        <w:t>Genève, 19-22 juin 2018</w:t>
      </w:r>
    </w:p>
    <w:p w:rsidR="00452836" w:rsidRPr="00AF2205" w:rsidRDefault="00452836" w:rsidP="00452836">
      <w:r>
        <w:rPr>
          <w:lang w:val="fr-FR"/>
        </w:rPr>
        <w:t>Point 4.8.4 de l’ordre du jour provisoire</w:t>
      </w:r>
    </w:p>
    <w:p w:rsidR="00452836" w:rsidRPr="00A840CC" w:rsidRDefault="00452836" w:rsidP="00452836">
      <w:pPr>
        <w:rPr>
          <w:b/>
        </w:rPr>
      </w:pPr>
      <w:r w:rsidRPr="00A840CC">
        <w:rPr>
          <w:b/>
          <w:lang w:val="fr-FR"/>
        </w:rPr>
        <w:t>Accord de 1958</w:t>
      </w:r>
      <w:r>
        <w:rPr>
          <w:b/>
          <w:lang w:val="fr-FR"/>
        </w:rPr>
        <w:t> :</w:t>
      </w:r>
      <w:r w:rsidRPr="00A840CC">
        <w:rPr>
          <w:b/>
          <w:lang w:val="fr-FR"/>
        </w:rPr>
        <w:t xml:space="preserve"> Examen de projets d</w:t>
      </w:r>
      <w:r>
        <w:rPr>
          <w:b/>
          <w:lang w:val="fr-FR"/>
        </w:rPr>
        <w:t>’</w:t>
      </w:r>
      <w:r w:rsidRPr="00A840CC">
        <w:rPr>
          <w:b/>
          <w:lang w:val="fr-FR"/>
        </w:rPr>
        <w:t>amendements</w:t>
      </w:r>
      <w:r w:rsidR="0005597A">
        <w:rPr>
          <w:b/>
          <w:lang w:val="fr-FR"/>
        </w:rPr>
        <w:t xml:space="preserve"> </w:t>
      </w:r>
      <w:r w:rsidR="0005597A">
        <w:rPr>
          <w:b/>
          <w:lang w:val="fr-FR"/>
        </w:rPr>
        <w:br/>
      </w:r>
      <w:r w:rsidRPr="00A840CC">
        <w:rPr>
          <w:b/>
          <w:lang w:val="fr-FR"/>
        </w:rPr>
        <w:t xml:space="preserve">à des Règlements </w:t>
      </w:r>
      <w:r w:rsidR="0012107B">
        <w:rPr>
          <w:b/>
          <w:lang w:val="fr-FR"/>
        </w:rPr>
        <w:t xml:space="preserve">ONU </w:t>
      </w:r>
      <w:r w:rsidRPr="00A840CC">
        <w:rPr>
          <w:b/>
          <w:lang w:val="fr-FR"/>
        </w:rPr>
        <w:t>existants, soumis par le GRRF</w:t>
      </w:r>
    </w:p>
    <w:p w:rsidR="00452836" w:rsidRPr="00A90EA8" w:rsidRDefault="002E1D30" w:rsidP="002E1D30">
      <w:pPr>
        <w:pStyle w:val="HChG"/>
      </w:pPr>
      <w:r>
        <w:rPr>
          <w:lang w:val="fr-FR"/>
        </w:rPr>
        <w:tab/>
      </w:r>
      <w:r>
        <w:rPr>
          <w:lang w:val="fr-FR"/>
        </w:rPr>
        <w:tab/>
      </w:r>
      <w:r w:rsidR="00452836">
        <w:rPr>
          <w:lang w:val="fr-FR"/>
        </w:rPr>
        <w:t xml:space="preserve">Proposition de complément 3 au Règlement </w:t>
      </w:r>
      <w:r w:rsidR="0012107B">
        <w:rPr>
          <w:lang w:val="fr-FR"/>
        </w:rPr>
        <w:t xml:space="preserve">ONU </w:t>
      </w:r>
      <w:r w:rsidR="00452836">
        <w:rPr>
          <w:lang w:val="fr-FR"/>
        </w:rPr>
        <w:t>n</w:t>
      </w:r>
      <w:r w:rsidR="00452836">
        <w:rPr>
          <w:vertAlign w:val="superscript"/>
          <w:lang w:val="fr-FR"/>
        </w:rPr>
        <w:t>o</w:t>
      </w:r>
      <w:r>
        <w:rPr>
          <w:lang w:val="fr-FR"/>
        </w:rPr>
        <w:t> </w:t>
      </w:r>
      <w:r w:rsidR="00452836">
        <w:rPr>
          <w:lang w:val="fr-FR"/>
        </w:rPr>
        <w:t xml:space="preserve">89 </w:t>
      </w:r>
      <w:r w:rsidR="0012107B">
        <w:rPr>
          <w:lang w:val="fr-FR"/>
        </w:rPr>
        <w:br/>
      </w:r>
      <w:r w:rsidR="00452836">
        <w:rPr>
          <w:lang w:val="fr-FR"/>
        </w:rPr>
        <w:t>(Dispositifs limiteurs de vitesse)</w:t>
      </w:r>
    </w:p>
    <w:p w:rsidR="00452836" w:rsidRPr="00A840CC" w:rsidRDefault="002E1D30" w:rsidP="002E1D30">
      <w:pPr>
        <w:pStyle w:val="H1G"/>
        <w:rPr>
          <w:sz w:val="32"/>
        </w:rPr>
      </w:pPr>
      <w:r>
        <w:rPr>
          <w:lang w:val="fr-FR"/>
        </w:rPr>
        <w:tab/>
      </w:r>
      <w:r>
        <w:rPr>
          <w:lang w:val="fr-FR"/>
        </w:rPr>
        <w:tab/>
      </w:r>
      <w:r w:rsidR="00452836" w:rsidRPr="00A840CC">
        <w:rPr>
          <w:lang w:val="fr-FR"/>
        </w:rPr>
        <w:t>Communication du Groupe de travai</w:t>
      </w:r>
      <w:r w:rsidR="00B9036C">
        <w:rPr>
          <w:lang w:val="fr-FR"/>
        </w:rPr>
        <w:t>l en matière de roulement et de </w:t>
      </w:r>
      <w:r w:rsidR="00452836" w:rsidRPr="00A840CC">
        <w:rPr>
          <w:lang w:val="fr-FR"/>
        </w:rPr>
        <w:t>freinage</w:t>
      </w:r>
      <w:r w:rsidR="00AA4AF9" w:rsidRPr="00AA4AF9">
        <w:rPr>
          <w:b w:val="0"/>
          <w:sz w:val="20"/>
          <w:lang w:val="fr-FR"/>
        </w:rPr>
        <w:t>*</w:t>
      </w:r>
      <w:r w:rsidR="00452836" w:rsidRPr="0012107B">
        <w:rPr>
          <w:b w:val="0"/>
          <w:sz w:val="20"/>
          <w:lang w:val="fr-FR"/>
        </w:rPr>
        <w:footnoteReference w:customMarkFollows="1" w:id="3"/>
        <w:t>*</w:t>
      </w:r>
    </w:p>
    <w:p w:rsidR="00452836" w:rsidRPr="003C670C" w:rsidRDefault="00452836" w:rsidP="00FF6E55">
      <w:pPr>
        <w:pStyle w:val="SingleTxtG"/>
        <w:ind w:firstLine="567"/>
      </w:pPr>
      <w:r>
        <w:rPr>
          <w:lang w:val="fr-FR"/>
        </w:rPr>
        <w:t>Le texte ci-après a été adopté par le Groupe de travail en matière de roulement et de freinage (GRRF) à sa quatre-vingt-sixième session</w:t>
      </w:r>
      <w:r w:rsidR="00AB7595">
        <w:rPr>
          <w:lang w:val="fr-FR"/>
        </w:rPr>
        <w:t xml:space="preserve"> (ECE/TRANS/WP.29/GRRF/86, par. </w:t>
      </w:r>
      <w:r>
        <w:rPr>
          <w:lang w:val="fr-FR"/>
        </w:rPr>
        <w:t>56). Il est fondé sur le document ECE/TRANS/WP.29/GRRF/2013/13 et sur l’</w:t>
      </w:r>
      <w:r w:rsidR="00AB7595">
        <w:rPr>
          <w:lang w:val="fr-FR"/>
        </w:rPr>
        <w:t>annexe </w:t>
      </w:r>
      <w:r>
        <w:rPr>
          <w:lang w:val="fr-FR"/>
        </w:rPr>
        <w:t>VII du rapport de la session. Il est soumis au Forum mondial de l’harmonisation des Règlements concernant les véhicules (WP.29) et au Comité d’administration (AC.1) pour examen à leurs sessions de juin 2018.</w:t>
      </w:r>
    </w:p>
    <w:p w:rsidR="00452836" w:rsidRDefault="00452836" w:rsidP="00463515">
      <w:pPr>
        <w:pStyle w:val="HChG"/>
      </w:pPr>
      <w:r w:rsidRPr="00A840CC">
        <w:br w:type="page"/>
      </w:r>
      <w:r>
        <w:rPr>
          <w:lang w:val="fr-FR"/>
        </w:rPr>
        <w:lastRenderedPageBreak/>
        <w:tab/>
      </w:r>
      <w:r>
        <w:rPr>
          <w:lang w:val="fr-FR"/>
        </w:rPr>
        <w:tab/>
        <w:t xml:space="preserve">Complément 3 au Règlement </w:t>
      </w:r>
      <w:r w:rsidR="00B00E45">
        <w:rPr>
          <w:lang w:val="fr-FR"/>
        </w:rPr>
        <w:t xml:space="preserve">ONU </w:t>
      </w:r>
      <w:r>
        <w:rPr>
          <w:lang w:val="fr-FR"/>
        </w:rPr>
        <w:t>n</w:t>
      </w:r>
      <w:r>
        <w:rPr>
          <w:vertAlign w:val="superscript"/>
          <w:lang w:val="fr-FR"/>
        </w:rPr>
        <w:t>o</w:t>
      </w:r>
      <w:r w:rsidR="00FF6E55">
        <w:rPr>
          <w:lang w:val="fr-FR"/>
        </w:rPr>
        <w:t> </w:t>
      </w:r>
      <w:r>
        <w:rPr>
          <w:lang w:val="fr-FR"/>
        </w:rPr>
        <w:t>89 (Dispositifs limiteurs de</w:t>
      </w:r>
      <w:r w:rsidR="00FF6E55">
        <w:rPr>
          <w:lang w:val="fr-FR"/>
        </w:rPr>
        <w:t> </w:t>
      </w:r>
      <w:r>
        <w:rPr>
          <w:lang w:val="fr-FR"/>
        </w:rPr>
        <w:t>vitesse)</w:t>
      </w:r>
    </w:p>
    <w:p w:rsidR="00452836" w:rsidRDefault="00452836" w:rsidP="00FF6E55">
      <w:pPr>
        <w:pStyle w:val="SingleTxtG"/>
        <w:rPr>
          <w:szCs w:val="22"/>
        </w:rPr>
      </w:pPr>
      <w:r w:rsidRPr="00FF6E55">
        <w:rPr>
          <w:i/>
          <w:lang w:val="fr-FR"/>
        </w:rPr>
        <w:t>Paragraphe 5.2.2</w:t>
      </w:r>
      <w:r>
        <w:rPr>
          <w:lang w:val="fr-FR"/>
        </w:rPr>
        <w:t xml:space="preserve">, lire : </w:t>
      </w:r>
    </w:p>
    <w:p w:rsidR="00452836" w:rsidRPr="00E74801" w:rsidRDefault="00FF6E55" w:rsidP="00FF6E55">
      <w:pPr>
        <w:pStyle w:val="SingleTxtG"/>
        <w:ind w:left="2268" w:hanging="1134"/>
      </w:pPr>
      <w:r>
        <w:rPr>
          <w:lang w:val="fr-FR"/>
        </w:rPr>
        <w:t>« </w:t>
      </w:r>
      <w:r w:rsidR="00452836">
        <w:rPr>
          <w:lang w:val="fr-FR"/>
        </w:rPr>
        <w:t>5.2.2</w:t>
      </w:r>
      <w:r w:rsidR="00452836">
        <w:rPr>
          <w:lang w:val="fr-FR"/>
        </w:rPr>
        <w:tab/>
        <w:t xml:space="preserve">L’efficacité de la FLRV ne doit pas être altérée par des champs magnétiques ou électriques. Cette condition est remplie s’il est satisfait aux prescriptions techniques et aux dispositions transitoires du Règlement ONU </w:t>
      </w:r>
      <w:r w:rsidRPr="00FF6E55">
        <w:rPr>
          <w:rFonts w:eastAsia="MS Mincho"/>
          <w:lang w:val="fr-FR"/>
        </w:rPr>
        <w:t>n</w:t>
      </w:r>
      <w:r w:rsidRPr="00FF6E55">
        <w:rPr>
          <w:rFonts w:eastAsia="MS Mincho"/>
          <w:vertAlign w:val="superscript"/>
          <w:lang w:val="fr-FR"/>
        </w:rPr>
        <w:t>o</w:t>
      </w:r>
      <w:r>
        <w:rPr>
          <w:lang w:val="fr-FR"/>
        </w:rPr>
        <w:t> </w:t>
      </w:r>
      <w:r w:rsidR="00452836">
        <w:rPr>
          <w:lang w:val="fr-FR"/>
        </w:rPr>
        <w:t>10 en appliquant :</w:t>
      </w:r>
    </w:p>
    <w:p w:rsidR="00452836" w:rsidRPr="00E74801" w:rsidRDefault="00452836" w:rsidP="00FF6E55">
      <w:pPr>
        <w:pStyle w:val="SingleTxtG"/>
        <w:ind w:left="2835" w:hanging="567"/>
        <w:rPr>
          <w:i/>
        </w:rPr>
      </w:pPr>
      <w:r>
        <w:rPr>
          <w:lang w:val="fr-FR"/>
        </w:rPr>
        <w:t>a)</w:t>
      </w:r>
      <w:r>
        <w:rPr>
          <w:lang w:val="fr-FR"/>
        </w:rPr>
        <w:tab/>
        <w:t>La série 03 d’amendements aux véhicules dépourvus de système de raccordement de la recharge du SRSEE (batteries de traction) ;</w:t>
      </w:r>
    </w:p>
    <w:p w:rsidR="00452836" w:rsidRPr="00E74801" w:rsidRDefault="00452836" w:rsidP="00FF6E55">
      <w:pPr>
        <w:pStyle w:val="SingleTxtG"/>
        <w:ind w:left="2835" w:hanging="567"/>
        <w:rPr>
          <w:i/>
        </w:rPr>
      </w:pPr>
      <w:r>
        <w:rPr>
          <w:lang w:val="fr-FR"/>
        </w:rPr>
        <w:t>b)</w:t>
      </w:r>
      <w:r>
        <w:rPr>
          <w:lang w:val="fr-FR"/>
        </w:rPr>
        <w:tab/>
        <w:t>La série 04 d’amendements aux véhicules équipés d’un système de raccordement de la recharge du SRSEE</w:t>
      </w:r>
      <w:r w:rsidR="00FF6E55">
        <w:rPr>
          <w:lang w:val="fr-FR"/>
        </w:rPr>
        <w:t xml:space="preserve"> (batteries de traction). </w:t>
      </w:r>
      <w:r>
        <w:rPr>
          <w:lang w:val="fr-FR"/>
        </w:rPr>
        <w:t>».</w:t>
      </w:r>
    </w:p>
    <w:p w:rsidR="00452836" w:rsidRDefault="00452836" w:rsidP="00FF6E55">
      <w:pPr>
        <w:pStyle w:val="SingleTxtG"/>
      </w:pPr>
      <w:r>
        <w:rPr>
          <w:i/>
          <w:iCs/>
          <w:lang w:val="fr-FR"/>
        </w:rPr>
        <w:t>Paragraphe 5.2.5.4.2</w:t>
      </w:r>
      <w:r>
        <w:rPr>
          <w:lang w:val="fr-FR"/>
        </w:rPr>
        <w:t>, lire</w:t>
      </w:r>
      <w:r w:rsidR="00FF6E55">
        <w:rPr>
          <w:lang w:val="fr-FR"/>
        </w:rPr>
        <w:t xml:space="preserve"> (suppression de « ou </w:t>
      </w:r>
      <w:r>
        <w:rPr>
          <w:lang w:val="fr-FR"/>
        </w:rPr>
        <w:t>») :</w:t>
      </w:r>
    </w:p>
    <w:p w:rsidR="00452836" w:rsidRDefault="0064487A" w:rsidP="00FF6E55">
      <w:pPr>
        <w:pStyle w:val="SingleTxtG"/>
        <w:ind w:left="2268" w:hanging="1134"/>
      </w:pPr>
      <w:r>
        <w:rPr>
          <w:lang w:val="fr-FR"/>
        </w:rPr>
        <w:t>« </w:t>
      </w:r>
      <w:r w:rsidR="00452836">
        <w:rPr>
          <w:lang w:val="fr-FR"/>
        </w:rPr>
        <w:t>5.2.5.4.2</w:t>
      </w:r>
      <w:r w:rsidR="00452836">
        <w:rPr>
          <w:lang w:val="fr-FR"/>
        </w:rPr>
        <w:tab/>
        <w:t xml:space="preserve">Chaque fois que la vitesse du véhicule dépasse la </w:t>
      </w:r>
      <w:proofErr w:type="spellStart"/>
      <w:r w:rsidR="00452836">
        <w:rPr>
          <w:lang w:val="fr-FR"/>
        </w:rPr>
        <w:t>V</w:t>
      </w:r>
      <w:r w:rsidR="00452836">
        <w:rPr>
          <w:vertAlign w:val="subscript"/>
          <w:lang w:val="fr-FR"/>
        </w:rPr>
        <w:t>rég</w:t>
      </w:r>
      <w:proofErr w:type="spellEnd"/>
      <w:r w:rsidR="00452836">
        <w:rPr>
          <w:lang w:val="fr-FR"/>
        </w:rPr>
        <w:t>, le conducteur doit en être informé au moyen d’un signal d’avertissement approprié autre que le tachymètre. ».</w:t>
      </w:r>
    </w:p>
    <w:p w:rsidR="00452836" w:rsidRPr="00892C73" w:rsidRDefault="00452836" w:rsidP="0064487A">
      <w:pPr>
        <w:pStyle w:val="SingleTxtG"/>
        <w:rPr>
          <w:szCs w:val="22"/>
        </w:rPr>
      </w:pPr>
      <w:r w:rsidRPr="0064487A">
        <w:rPr>
          <w:i/>
          <w:lang w:val="fr-FR"/>
        </w:rPr>
        <w:t>Paragraphe 21.2.2</w:t>
      </w:r>
      <w:r>
        <w:rPr>
          <w:lang w:val="fr-FR"/>
        </w:rPr>
        <w:t>, lire :</w:t>
      </w:r>
    </w:p>
    <w:p w:rsidR="00452836" w:rsidRPr="00892C73" w:rsidRDefault="0064487A" w:rsidP="0064487A">
      <w:pPr>
        <w:pStyle w:val="SingleTxtG"/>
        <w:ind w:left="2268" w:hanging="1134"/>
        <w:rPr>
          <w:szCs w:val="22"/>
        </w:rPr>
      </w:pPr>
      <w:r>
        <w:rPr>
          <w:lang w:val="fr-FR"/>
        </w:rPr>
        <w:t>« </w:t>
      </w:r>
      <w:r w:rsidR="00452836">
        <w:rPr>
          <w:lang w:val="fr-FR"/>
        </w:rPr>
        <w:t>21.2.2</w:t>
      </w:r>
      <w:r w:rsidR="00452836">
        <w:rPr>
          <w:lang w:val="fr-FR"/>
        </w:rPr>
        <w:tab/>
        <w:t>L’efficacité de la fonction de limitation de vitesse ne doit pas être altérée par des champs magnétiques ou électriques. Cette condition est remplie s’il est satisfait aux prescriptions techniques et aux dispositions transitoires du Règlement ONU n</w:t>
      </w:r>
      <w:r w:rsidR="00452836">
        <w:rPr>
          <w:vertAlign w:val="superscript"/>
          <w:lang w:val="fr-FR"/>
        </w:rPr>
        <w:t>o</w:t>
      </w:r>
      <w:r>
        <w:rPr>
          <w:lang w:val="fr-FR"/>
        </w:rPr>
        <w:t> </w:t>
      </w:r>
      <w:r w:rsidR="00452836">
        <w:rPr>
          <w:lang w:val="fr-FR"/>
        </w:rPr>
        <w:t xml:space="preserve">10 en appliquant : </w:t>
      </w:r>
    </w:p>
    <w:p w:rsidR="00452836" w:rsidRPr="00892C73" w:rsidRDefault="0064487A" w:rsidP="0064487A">
      <w:pPr>
        <w:pStyle w:val="SingleTxtG"/>
        <w:ind w:left="2835" w:hanging="567"/>
        <w:rPr>
          <w:szCs w:val="22"/>
        </w:rPr>
      </w:pPr>
      <w:r>
        <w:rPr>
          <w:lang w:val="fr-FR"/>
        </w:rPr>
        <w:t>a)</w:t>
      </w:r>
      <w:r>
        <w:rPr>
          <w:lang w:val="fr-FR"/>
        </w:rPr>
        <w:tab/>
      </w:r>
      <w:r w:rsidR="00452836">
        <w:rPr>
          <w:lang w:val="fr-FR"/>
        </w:rPr>
        <w:t>La série 03 d’amendements aux véhicules dépourvus de système de raccordement de la recharge du SRSEE (batteries de traction) ;</w:t>
      </w:r>
    </w:p>
    <w:p w:rsidR="00452836" w:rsidRPr="005A7C0E" w:rsidRDefault="00452836" w:rsidP="0064487A">
      <w:pPr>
        <w:pStyle w:val="SingleTxtG"/>
        <w:ind w:left="2835" w:hanging="567"/>
      </w:pPr>
      <w:r>
        <w:rPr>
          <w:lang w:val="fr-FR"/>
        </w:rPr>
        <w:t>b)</w:t>
      </w:r>
      <w:r>
        <w:rPr>
          <w:lang w:val="fr-FR"/>
        </w:rPr>
        <w:tab/>
        <w:t>La série 04 d’amendements aux véhicules équipés d’un système de raccordement de la recharge du SRSEE</w:t>
      </w:r>
      <w:r w:rsidR="0064487A">
        <w:rPr>
          <w:lang w:val="fr-FR"/>
        </w:rPr>
        <w:t xml:space="preserve"> (batteries de traction). </w:t>
      </w:r>
      <w:r>
        <w:rPr>
          <w:lang w:val="fr-FR"/>
        </w:rPr>
        <w:t>».</w:t>
      </w:r>
    </w:p>
    <w:p w:rsidR="00452836" w:rsidRPr="00892C73" w:rsidRDefault="00452836" w:rsidP="0064487A">
      <w:pPr>
        <w:pStyle w:val="SingleTxtG"/>
      </w:pPr>
      <w:r>
        <w:rPr>
          <w:i/>
          <w:iCs/>
          <w:lang w:val="fr-FR"/>
        </w:rPr>
        <w:t>Paragraphe 21.2.5.4.2</w:t>
      </w:r>
      <w:r>
        <w:rPr>
          <w:lang w:val="fr-FR"/>
        </w:rPr>
        <w:t>, lire</w:t>
      </w:r>
      <w:r w:rsidR="0064487A">
        <w:rPr>
          <w:lang w:val="fr-FR"/>
        </w:rPr>
        <w:t xml:space="preserve"> (suppression de « ou </w:t>
      </w:r>
      <w:r>
        <w:rPr>
          <w:lang w:val="fr-FR"/>
        </w:rPr>
        <w:t>») :</w:t>
      </w:r>
    </w:p>
    <w:p w:rsidR="00452836" w:rsidRPr="00892C73" w:rsidRDefault="0064487A" w:rsidP="0064487A">
      <w:pPr>
        <w:pStyle w:val="SingleTxtG"/>
        <w:ind w:left="2268" w:hanging="1134"/>
      </w:pPr>
      <w:r>
        <w:rPr>
          <w:lang w:val="fr-FR"/>
        </w:rPr>
        <w:t>« </w:t>
      </w:r>
      <w:r w:rsidR="00452836">
        <w:rPr>
          <w:lang w:val="fr-FR"/>
        </w:rPr>
        <w:t>21.2.5.4.2</w:t>
      </w:r>
      <w:r w:rsidR="00452836">
        <w:rPr>
          <w:lang w:val="fr-FR"/>
        </w:rPr>
        <w:tab/>
        <w:t xml:space="preserve">Chaque fois que la vitesse du véhicule dépasse la </w:t>
      </w:r>
      <w:proofErr w:type="spellStart"/>
      <w:r w:rsidR="00452836">
        <w:rPr>
          <w:lang w:val="fr-FR"/>
        </w:rPr>
        <w:t>V</w:t>
      </w:r>
      <w:r w:rsidR="00452836">
        <w:rPr>
          <w:vertAlign w:val="subscript"/>
          <w:lang w:val="fr-FR"/>
        </w:rPr>
        <w:t>rég</w:t>
      </w:r>
      <w:proofErr w:type="spellEnd"/>
      <w:r w:rsidR="00452836">
        <w:rPr>
          <w:lang w:val="fr-FR"/>
        </w:rPr>
        <w:t>, le conducteur doit en être informé au moyen d’un signal d’avertissement approprié autre que le tachymètre. ».</w:t>
      </w:r>
    </w:p>
    <w:p w:rsidR="00452836" w:rsidRPr="00892C73" w:rsidRDefault="00452836" w:rsidP="0064487A">
      <w:pPr>
        <w:pStyle w:val="SingleTxtG"/>
      </w:pPr>
      <w:r w:rsidRPr="0064487A">
        <w:rPr>
          <w:i/>
          <w:lang w:val="fr-FR"/>
        </w:rPr>
        <w:t>Annexe 6</w:t>
      </w:r>
      <w:r>
        <w:rPr>
          <w:lang w:val="fr-FR"/>
        </w:rPr>
        <w:t xml:space="preserve">, </w:t>
      </w:r>
    </w:p>
    <w:p w:rsidR="00452836" w:rsidRPr="00892C73" w:rsidRDefault="00452836" w:rsidP="0064487A">
      <w:pPr>
        <w:pStyle w:val="SingleTxtG"/>
      </w:pPr>
      <w:r w:rsidRPr="0064487A">
        <w:rPr>
          <w:i/>
          <w:lang w:val="fr-FR"/>
        </w:rPr>
        <w:t>Paragraphe 1.5.1</w:t>
      </w:r>
      <w:r>
        <w:rPr>
          <w:lang w:val="fr-FR"/>
        </w:rPr>
        <w:t>, lire :</w:t>
      </w:r>
    </w:p>
    <w:p w:rsidR="00452836" w:rsidRPr="00892C73" w:rsidRDefault="0064487A" w:rsidP="0064487A">
      <w:pPr>
        <w:pStyle w:val="SingleTxtG"/>
        <w:ind w:left="2268" w:hanging="1134"/>
      </w:pPr>
      <w:r>
        <w:rPr>
          <w:lang w:val="fr-FR"/>
        </w:rPr>
        <w:t>« </w:t>
      </w:r>
      <w:r w:rsidR="00452836">
        <w:rPr>
          <w:lang w:val="fr-FR"/>
        </w:rPr>
        <w:t>1.5.1</w:t>
      </w:r>
      <w:r w:rsidR="00452836">
        <w:rPr>
          <w:lang w:val="fr-FR"/>
        </w:rPr>
        <w:tab/>
        <w:t xml:space="preserve">Lorsque le DLRV ou la FLRV est désactivé, pour chaque rapport de démultiplication sélectionné pour la vitesse d’essai choisie </w:t>
      </w:r>
      <w:proofErr w:type="spellStart"/>
      <w:r w:rsidR="00452836">
        <w:rPr>
          <w:lang w:val="fr-FR"/>
        </w:rPr>
        <w:t>V</w:t>
      </w:r>
      <w:r w:rsidR="00452836">
        <w:rPr>
          <w:vertAlign w:val="subscript"/>
          <w:lang w:val="fr-FR"/>
        </w:rPr>
        <w:t>rég</w:t>
      </w:r>
      <w:proofErr w:type="spellEnd"/>
      <w:r w:rsidR="00452836">
        <w:rPr>
          <w:lang w:val="fr-FR"/>
        </w:rPr>
        <w:t>, le service technique doit :</w:t>
      </w:r>
    </w:p>
    <w:p w:rsidR="00452836" w:rsidRPr="00892C73" w:rsidRDefault="00452836" w:rsidP="00E74D20">
      <w:pPr>
        <w:pStyle w:val="SingleTxtG"/>
        <w:ind w:left="2835" w:hanging="567"/>
      </w:pPr>
      <w:r>
        <w:rPr>
          <w:lang w:val="fr-FR"/>
        </w:rPr>
        <w:t>a)</w:t>
      </w:r>
      <w:r>
        <w:rPr>
          <w:lang w:val="fr-FR"/>
        </w:rPr>
        <w:tab/>
        <w:t xml:space="preserve">Soit mesurer les forces nécessaires sur la pédale d’accélérateur ; </w:t>
      </w:r>
    </w:p>
    <w:p w:rsidR="00452836" w:rsidRPr="00892C73" w:rsidRDefault="00452836" w:rsidP="00E74D20">
      <w:pPr>
        <w:pStyle w:val="SingleTxtG"/>
        <w:ind w:left="2835" w:hanging="567"/>
      </w:pPr>
      <w:r>
        <w:rPr>
          <w:lang w:val="fr-FR"/>
        </w:rPr>
        <w:t>b)</w:t>
      </w:r>
      <w:r>
        <w:rPr>
          <w:lang w:val="fr-FR"/>
        </w:rPr>
        <w:tab/>
        <w:t>Soit mesurer la position que doit avoir la pédale d’accélérateur ;</w:t>
      </w:r>
    </w:p>
    <w:p w:rsidR="00452836" w:rsidRPr="00892C73" w:rsidRDefault="00452836" w:rsidP="00E74D20">
      <w:pPr>
        <w:pStyle w:val="SingleTxtG"/>
        <w:ind w:left="2268"/>
      </w:pPr>
      <w:r>
        <w:rPr>
          <w:lang w:val="fr-FR"/>
        </w:rPr>
        <w:t xml:space="preserve">pour maintenir la </w:t>
      </w:r>
      <w:proofErr w:type="spellStart"/>
      <w:r>
        <w:rPr>
          <w:lang w:val="fr-FR"/>
        </w:rPr>
        <w:t>V</w:t>
      </w:r>
      <w:r>
        <w:rPr>
          <w:vertAlign w:val="subscript"/>
          <w:lang w:val="fr-FR"/>
        </w:rPr>
        <w:t>rég</w:t>
      </w:r>
      <w:proofErr w:type="spellEnd"/>
      <w:r>
        <w:rPr>
          <w:lang w:val="fr-FR"/>
        </w:rPr>
        <w:t xml:space="preserve"> et une vitesse (</w:t>
      </w:r>
      <w:proofErr w:type="spellStart"/>
      <w:r>
        <w:rPr>
          <w:lang w:val="fr-FR"/>
        </w:rPr>
        <w:t>V</w:t>
      </w:r>
      <w:r>
        <w:rPr>
          <w:vertAlign w:val="subscript"/>
          <w:lang w:val="fr-FR"/>
        </w:rPr>
        <w:t>rég</w:t>
      </w:r>
      <w:proofErr w:type="spellEnd"/>
      <w:r>
        <w:rPr>
          <w:lang w:val="fr-FR"/>
        </w:rPr>
        <w:t xml:space="preserve">*) dépassant la </w:t>
      </w:r>
      <w:proofErr w:type="spellStart"/>
      <w:r>
        <w:rPr>
          <w:lang w:val="fr-FR"/>
        </w:rPr>
        <w:t>V</w:t>
      </w:r>
      <w:r>
        <w:rPr>
          <w:vertAlign w:val="subscript"/>
          <w:lang w:val="fr-FR"/>
        </w:rPr>
        <w:t>rég</w:t>
      </w:r>
      <w:proofErr w:type="spellEnd"/>
      <w:r w:rsidR="0064487A">
        <w:rPr>
          <w:lang w:val="fr-FR"/>
        </w:rPr>
        <w:t xml:space="preserve"> de 20 % ou de 20 </w:t>
      </w:r>
      <w:r>
        <w:rPr>
          <w:lang w:val="fr-FR"/>
        </w:rPr>
        <w:t>km/h (la valeur la plus élevée étant retenue). ».</w:t>
      </w:r>
    </w:p>
    <w:p w:rsidR="00452836" w:rsidRPr="00592F80" w:rsidRDefault="00452836" w:rsidP="008E072E">
      <w:pPr>
        <w:pStyle w:val="SingleTxtG"/>
        <w:rPr>
          <w:sz w:val="16"/>
        </w:rPr>
      </w:pPr>
      <w:r w:rsidRPr="008E072E">
        <w:rPr>
          <w:i/>
          <w:lang w:val="fr-FR"/>
        </w:rPr>
        <w:t>Paragraphe 1.5.2</w:t>
      </w:r>
      <w:r w:rsidRPr="00592F80">
        <w:rPr>
          <w:lang w:val="fr-FR"/>
        </w:rPr>
        <w:t>,</w:t>
      </w:r>
      <w:r>
        <w:rPr>
          <w:lang w:val="fr-FR"/>
        </w:rPr>
        <w:t xml:space="preserve"> lire :</w:t>
      </w:r>
    </w:p>
    <w:p w:rsidR="00452836" w:rsidRDefault="00452836" w:rsidP="00452836">
      <w:pPr>
        <w:pStyle w:val="SingleTxtG"/>
        <w:ind w:left="2268" w:hanging="1134"/>
        <w:rPr>
          <w:lang w:val="fr-FR"/>
        </w:rPr>
      </w:pPr>
      <w:r>
        <w:rPr>
          <w:lang w:val="fr-FR"/>
        </w:rPr>
        <w:t>« 1.5.2</w:t>
      </w:r>
      <w:r>
        <w:rPr>
          <w:lang w:val="fr-FR"/>
        </w:rPr>
        <w:tab/>
        <w:t xml:space="preserve">Lorsque le DLRV ou la FLRV est activé et réglé à la </w:t>
      </w:r>
      <w:proofErr w:type="spellStart"/>
      <w:r>
        <w:rPr>
          <w:lang w:val="fr-FR"/>
        </w:rPr>
        <w:t>V</w:t>
      </w:r>
      <w:r>
        <w:rPr>
          <w:vertAlign w:val="subscript"/>
          <w:lang w:val="fr-FR"/>
        </w:rPr>
        <w:t>rég</w:t>
      </w:r>
      <w:proofErr w:type="spellEnd"/>
      <w:r>
        <w:rPr>
          <w:lang w:val="fr-FR"/>
        </w:rPr>
        <w:t>, le véhicule doit rouler</w:t>
      </w:r>
      <w:r w:rsidR="008E072E">
        <w:rPr>
          <w:lang w:val="fr-FR"/>
        </w:rPr>
        <w:t xml:space="preserve"> à une vitesse inférieure de 10 </w:t>
      </w:r>
      <w:r>
        <w:rPr>
          <w:lang w:val="fr-FR"/>
        </w:rPr>
        <w:t xml:space="preserve">km/h à la </w:t>
      </w:r>
      <w:proofErr w:type="spellStart"/>
      <w:r>
        <w:rPr>
          <w:lang w:val="fr-FR"/>
        </w:rPr>
        <w:t>V</w:t>
      </w:r>
      <w:r>
        <w:rPr>
          <w:vertAlign w:val="subscript"/>
          <w:lang w:val="fr-FR"/>
        </w:rPr>
        <w:t>rég</w:t>
      </w:r>
      <w:proofErr w:type="spellEnd"/>
      <w:r w:rsidRPr="008E072E">
        <w:rPr>
          <w:lang w:val="fr-FR"/>
        </w:rPr>
        <w:t>.</w:t>
      </w:r>
      <w:r>
        <w:rPr>
          <w:lang w:val="fr-FR"/>
        </w:rPr>
        <w:t xml:space="preserve"> Le véhicule doit ensuite être accéléré, soit en augmentant la force exercée sur la pédale d’accélérateur, soit en ajustant la position de la pédale d’accél</w:t>
      </w:r>
      <w:r w:rsidR="008E072E">
        <w:rPr>
          <w:lang w:val="fr-FR"/>
        </w:rPr>
        <w:t>érateur pendant une durée de 1 </w:t>
      </w:r>
      <w:r>
        <w:rPr>
          <w:lang w:val="fr-FR"/>
        </w:rPr>
        <w:t xml:space="preserve">s </w:t>
      </w:r>
      <w:r w:rsidR="008E072E">
        <w:rPr>
          <w:lang w:val="fr-FR"/>
        </w:rPr>
        <w:sym w:font="Symbol" w:char="F0B1"/>
      </w:r>
      <w:r w:rsidR="008E072E">
        <w:rPr>
          <w:lang w:val="fr-FR"/>
        </w:rPr>
        <w:t>0,2 </w:t>
      </w:r>
      <w:r>
        <w:rPr>
          <w:lang w:val="fr-FR"/>
        </w:rPr>
        <w:t xml:space="preserve">s de manière que la vitesse atteigne la </w:t>
      </w:r>
      <w:proofErr w:type="spellStart"/>
      <w:r>
        <w:rPr>
          <w:lang w:val="fr-FR"/>
        </w:rPr>
        <w:t>V</w:t>
      </w:r>
      <w:r>
        <w:rPr>
          <w:vertAlign w:val="subscript"/>
          <w:lang w:val="fr-FR"/>
        </w:rPr>
        <w:t>rég</w:t>
      </w:r>
      <w:proofErr w:type="spellEnd"/>
      <w:r>
        <w:rPr>
          <w:lang w:val="fr-FR"/>
        </w:rPr>
        <w:t>*. Cette force ou position doit alors être maintenue pendant une durée d’au moins 30</w:t>
      </w:r>
      <w:r w:rsidR="008E072E">
        <w:rPr>
          <w:lang w:val="fr-FR"/>
        </w:rPr>
        <w:t> </w:t>
      </w:r>
      <w:r>
        <w:rPr>
          <w:lang w:val="fr-FR"/>
        </w:rPr>
        <w:t>s après que la vitesse du véhicule s’</w:t>
      </w:r>
      <w:r w:rsidR="00822463">
        <w:rPr>
          <w:lang w:val="fr-FR"/>
        </w:rPr>
        <w:t>est stabilisée. </w:t>
      </w:r>
      <w:r>
        <w:rPr>
          <w:lang w:val="fr-FR"/>
        </w:rPr>
        <w:t>».</w:t>
      </w:r>
    </w:p>
    <w:p w:rsidR="00F9573C" w:rsidRPr="00452836" w:rsidRDefault="00452836" w:rsidP="00452836">
      <w:pPr>
        <w:pStyle w:val="SingleTxtG"/>
        <w:spacing w:before="240" w:after="0"/>
        <w:jc w:val="center"/>
        <w:rPr>
          <w:u w:val="single"/>
        </w:rPr>
      </w:pPr>
      <w:r>
        <w:rPr>
          <w:u w:val="single"/>
        </w:rPr>
        <w:tab/>
      </w:r>
      <w:r>
        <w:rPr>
          <w:u w:val="single"/>
        </w:rPr>
        <w:tab/>
      </w:r>
      <w:r>
        <w:rPr>
          <w:u w:val="single"/>
        </w:rPr>
        <w:tab/>
      </w:r>
    </w:p>
    <w:sectPr w:rsidR="00F9573C" w:rsidRPr="00452836" w:rsidSect="002003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874" w:rsidRDefault="00893874" w:rsidP="00F95C08">
      <w:pPr>
        <w:spacing w:line="240" w:lineRule="auto"/>
      </w:pPr>
    </w:p>
  </w:endnote>
  <w:endnote w:type="continuationSeparator" w:id="0">
    <w:p w:rsidR="00893874" w:rsidRPr="00AC3823" w:rsidRDefault="00893874" w:rsidP="00AC3823">
      <w:pPr>
        <w:pStyle w:val="Footer"/>
      </w:pPr>
    </w:p>
  </w:endnote>
  <w:endnote w:type="continuationNotice" w:id="1">
    <w:p w:rsidR="00893874" w:rsidRDefault="008938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34E" w:rsidRPr="0020034E" w:rsidRDefault="0020034E" w:rsidP="0020034E">
    <w:pPr>
      <w:pStyle w:val="Footer"/>
      <w:tabs>
        <w:tab w:val="right" w:pos="9638"/>
      </w:tabs>
    </w:pPr>
    <w:r w:rsidRPr="0020034E">
      <w:rPr>
        <w:b/>
        <w:sz w:val="18"/>
      </w:rPr>
      <w:fldChar w:fldCharType="begin"/>
    </w:r>
    <w:r w:rsidRPr="0020034E">
      <w:rPr>
        <w:b/>
        <w:sz w:val="18"/>
      </w:rPr>
      <w:instrText xml:space="preserve"> PAGE  \* MERGEFORMAT </w:instrText>
    </w:r>
    <w:r w:rsidRPr="0020034E">
      <w:rPr>
        <w:b/>
        <w:sz w:val="18"/>
      </w:rPr>
      <w:fldChar w:fldCharType="separate"/>
    </w:r>
    <w:r w:rsidR="00F177B6">
      <w:rPr>
        <w:b/>
        <w:noProof/>
        <w:sz w:val="18"/>
      </w:rPr>
      <w:t>2</w:t>
    </w:r>
    <w:r w:rsidRPr="0020034E">
      <w:rPr>
        <w:b/>
        <w:sz w:val="18"/>
      </w:rPr>
      <w:fldChar w:fldCharType="end"/>
    </w:r>
    <w:r>
      <w:rPr>
        <w:b/>
        <w:sz w:val="18"/>
      </w:rPr>
      <w:tab/>
    </w:r>
    <w:r>
      <w:t>GE.18-05154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34E" w:rsidRPr="0020034E" w:rsidRDefault="0020034E" w:rsidP="0020034E">
    <w:pPr>
      <w:pStyle w:val="Footer"/>
      <w:tabs>
        <w:tab w:val="right" w:pos="9638"/>
      </w:tabs>
      <w:rPr>
        <w:b/>
        <w:sz w:val="18"/>
      </w:rPr>
    </w:pPr>
    <w:r>
      <w:t>GE.18-05154</w:t>
    </w:r>
    <w:r>
      <w:tab/>
    </w:r>
    <w:r w:rsidRPr="0020034E">
      <w:rPr>
        <w:b/>
        <w:sz w:val="18"/>
      </w:rPr>
      <w:fldChar w:fldCharType="begin"/>
    </w:r>
    <w:r w:rsidRPr="0020034E">
      <w:rPr>
        <w:b/>
        <w:sz w:val="18"/>
      </w:rPr>
      <w:instrText xml:space="preserve"> PAGE  \* MERGEFORMAT </w:instrText>
    </w:r>
    <w:r w:rsidRPr="0020034E">
      <w:rPr>
        <w:b/>
        <w:sz w:val="18"/>
      </w:rPr>
      <w:fldChar w:fldCharType="separate"/>
    </w:r>
    <w:r w:rsidR="002E1D30">
      <w:rPr>
        <w:b/>
        <w:noProof/>
        <w:sz w:val="18"/>
      </w:rPr>
      <w:t>3</w:t>
    </w:r>
    <w:r w:rsidRPr="002003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0034E" w:rsidRDefault="0020034E" w:rsidP="0020034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18-05154</w:t>
    </w:r>
    <w:r w:rsidR="00452836">
      <w:rPr>
        <w:sz w:val="20"/>
      </w:rPr>
      <w:t xml:space="preserve"> </w:t>
    </w:r>
    <w:r w:rsidR="00B9036C">
      <w:rPr>
        <w:sz w:val="20"/>
      </w:rPr>
      <w:t xml:space="preserve"> </w:t>
    </w:r>
    <w:r>
      <w:rPr>
        <w:sz w:val="20"/>
      </w:rPr>
      <w:t>(F)</w:t>
    </w:r>
    <w:r w:rsidR="00452836">
      <w:rPr>
        <w:sz w:val="20"/>
      </w:rPr>
      <w:t xml:space="preserve">  </w:t>
    </w:r>
    <w:r w:rsidR="00B9036C">
      <w:rPr>
        <w:sz w:val="20"/>
      </w:rPr>
      <w:t xml:space="preserve">  </w:t>
    </w:r>
    <w:r>
      <w:rPr>
        <w:sz w:val="20"/>
      </w:rPr>
      <w:t>240418</w:t>
    </w:r>
    <w:r w:rsidR="00452836">
      <w:rPr>
        <w:sz w:val="20"/>
      </w:rPr>
      <w:t xml:space="preserve">  </w:t>
    </w:r>
    <w:r w:rsidR="00B9036C">
      <w:rPr>
        <w:sz w:val="20"/>
      </w:rPr>
      <w:t xml:space="preserve">  </w:t>
    </w:r>
    <w:r>
      <w:rPr>
        <w:sz w:val="20"/>
      </w:rPr>
      <w:t>030518</w:t>
    </w:r>
    <w:r>
      <w:rPr>
        <w:sz w:val="20"/>
      </w:rPr>
      <w:br/>
    </w:r>
    <w:r w:rsidRPr="0020034E">
      <w:rPr>
        <w:rFonts w:ascii="C39T30Lfz" w:hAnsi="C39T30Lfz"/>
        <w:sz w:val="56"/>
      </w:rPr>
      <w:t></w:t>
    </w:r>
    <w:r w:rsidRPr="0020034E">
      <w:rPr>
        <w:rFonts w:ascii="C39T30Lfz" w:hAnsi="C39T30Lfz"/>
        <w:sz w:val="56"/>
      </w:rPr>
      <w:t></w:t>
    </w:r>
    <w:r w:rsidRPr="0020034E">
      <w:rPr>
        <w:rFonts w:ascii="C39T30Lfz" w:hAnsi="C39T30Lfz"/>
        <w:sz w:val="56"/>
      </w:rPr>
      <w:t></w:t>
    </w:r>
    <w:r w:rsidRPr="0020034E">
      <w:rPr>
        <w:rFonts w:ascii="C39T30Lfz" w:hAnsi="C39T30Lfz"/>
        <w:sz w:val="56"/>
      </w:rPr>
      <w:t></w:t>
    </w:r>
    <w:r w:rsidRPr="0020034E">
      <w:rPr>
        <w:rFonts w:ascii="C39T30Lfz" w:hAnsi="C39T30Lfz"/>
        <w:sz w:val="56"/>
      </w:rPr>
      <w:t></w:t>
    </w:r>
    <w:r w:rsidRPr="0020034E">
      <w:rPr>
        <w:rFonts w:ascii="C39T30Lfz" w:hAnsi="C39T30Lfz"/>
        <w:sz w:val="56"/>
      </w:rPr>
      <w:t></w:t>
    </w:r>
    <w:r w:rsidRPr="0020034E">
      <w:rPr>
        <w:rFonts w:ascii="C39T30Lfz" w:hAnsi="C39T30Lfz"/>
        <w:sz w:val="56"/>
      </w:rPr>
      <w:t></w:t>
    </w:r>
    <w:r w:rsidRPr="0020034E">
      <w:rPr>
        <w:rFonts w:ascii="C39T30Lfz" w:hAnsi="C39T30Lfz"/>
        <w:sz w:val="56"/>
      </w:rPr>
      <w:t></w:t>
    </w:r>
    <w:r w:rsidRPr="0020034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874" w:rsidRPr="00AC3823" w:rsidRDefault="00893874" w:rsidP="00AC3823">
      <w:pPr>
        <w:pStyle w:val="Footer"/>
        <w:tabs>
          <w:tab w:val="right" w:pos="2155"/>
        </w:tabs>
        <w:spacing w:after="80" w:line="240" w:lineRule="atLeast"/>
        <w:ind w:left="680"/>
        <w:rPr>
          <w:u w:val="single"/>
        </w:rPr>
      </w:pPr>
      <w:r>
        <w:rPr>
          <w:u w:val="single"/>
        </w:rPr>
        <w:tab/>
      </w:r>
    </w:p>
  </w:footnote>
  <w:footnote w:type="continuationSeparator" w:id="0">
    <w:p w:rsidR="00893874" w:rsidRPr="00AC3823" w:rsidRDefault="00893874" w:rsidP="00AC3823">
      <w:pPr>
        <w:pStyle w:val="Footer"/>
        <w:tabs>
          <w:tab w:val="right" w:pos="2155"/>
        </w:tabs>
        <w:spacing w:after="80" w:line="240" w:lineRule="atLeast"/>
        <w:ind w:left="680"/>
        <w:rPr>
          <w:u w:val="single"/>
        </w:rPr>
      </w:pPr>
      <w:r>
        <w:rPr>
          <w:u w:val="single"/>
        </w:rPr>
        <w:tab/>
      </w:r>
    </w:p>
  </w:footnote>
  <w:footnote w:type="continuationNotice" w:id="1">
    <w:p w:rsidR="00893874" w:rsidRPr="00AC3823" w:rsidRDefault="00893874">
      <w:pPr>
        <w:spacing w:line="240" w:lineRule="auto"/>
        <w:rPr>
          <w:sz w:val="2"/>
          <w:szCs w:val="2"/>
        </w:rPr>
      </w:pPr>
    </w:p>
  </w:footnote>
  <w:footnote w:id="2">
    <w:p w:rsidR="007C2417" w:rsidRPr="00B75963" w:rsidRDefault="007C2417">
      <w:pPr>
        <w:pStyle w:val="FootnoteText"/>
        <w:rPr>
          <w:szCs w:val="18"/>
        </w:rPr>
      </w:pPr>
      <w:r>
        <w:rPr>
          <w:rStyle w:val="FootnoteReference"/>
        </w:rPr>
        <w:tab/>
      </w:r>
      <w:r w:rsidRPr="007C2417">
        <w:rPr>
          <w:rStyle w:val="FootnoteReference"/>
          <w:sz w:val="20"/>
          <w:vertAlign w:val="baseline"/>
        </w:rPr>
        <w:t>*</w:t>
      </w:r>
      <w:r>
        <w:rPr>
          <w:rStyle w:val="FootnoteReference"/>
          <w:sz w:val="20"/>
          <w:vertAlign w:val="baseline"/>
        </w:rPr>
        <w:tab/>
      </w:r>
      <w:r w:rsidR="00AA4AF9" w:rsidRPr="00B75963">
        <w:rPr>
          <w:szCs w:val="18"/>
        </w:rPr>
        <w:t>Nouveau tirage pour raisons techniques (9 mai 2018).</w:t>
      </w:r>
    </w:p>
  </w:footnote>
  <w:footnote w:id="3">
    <w:p w:rsidR="00452836" w:rsidRPr="00706101" w:rsidRDefault="00452836" w:rsidP="00452836">
      <w:pPr>
        <w:pStyle w:val="FootnoteText"/>
      </w:pPr>
      <w:r w:rsidRPr="00B9036C">
        <w:rPr>
          <w:sz w:val="20"/>
          <w:lang w:val="fr-FR"/>
        </w:rPr>
        <w:tab/>
      </w:r>
      <w:r w:rsidR="00AA4AF9">
        <w:rPr>
          <w:sz w:val="20"/>
          <w:lang w:val="fr-FR"/>
        </w:rPr>
        <w:t>*</w:t>
      </w:r>
      <w:r w:rsidRPr="00B9036C">
        <w:rPr>
          <w:sz w:val="20"/>
          <w:lang w:val="fr-FR"/>
        </w:rPr>
        <w:t>*</w:t>
      </w:r>
      <w:r w:rsidRPr="00B9036C">
        <w:rPr>
          <w:sz w:val="20"/>
          <w:lang w:val="fr-FR"/>
        </w:rPr>
        <w:tab/>
      </w:r>
      <w:r w:rsidRPr="00B9036C">
        <w:rPr>
          <w:spacing w:val="-2"/>
          <w:lang w:val="fr-FR"/>
        </w:rPr>
        <w:t xml:space="preserve">Conformément au programme de travail du Comité des transports </w:t>
      </w:r>
      <w:r w:rsidR="00B9036C" w:rsidRPr="00B9036C">
        <w:rPr>
          <w:spacing w:val="-2"/>
          <w:lang w:val="fr-FR"/>
        </w:rPr>
        <w:t>intérieurs pour la période 2016-</w:t>
      </w:r>
      <w:r w:rsidRPr="00B9036C">
        <w:rPr>
          <w:spacing w:val="-2"/>
          <w:lang w:val="fr-FR"/>
        </w:rPr>
        <w:t>2017</w:t>
      </w:r>
      <w:r w:rsidR="00B9036C">
        <w:rPr>
          <w:lang w:val="fr-FR"/>
        </w:rPr>
        <w:t xml:space="preserve"> (ECE/TRANS/254, par. </w:t>
      </w:r>
      <w:r>
        <w:rPr>
          <w:lang w:val="fr-FR"/>
        </w:rPr>
        <w:t>123,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34E" w:rsidRPr="0020034E" w:rsidRDefault="00F177B6">
    <w:pPr>
      <w:pStyle w:val="Header"/>
    </w:pPr>
    <w:r>
      <w:fldChar w:fldCharType="begin"/>
    </w:r>
    <w:r>
      <w:instrText xml:space="preserve"> TITLE  \* MERGEFORMAT </w:instrText>
    </w:r>
    <w:r>
      <w:fldChar w:fldCharType="separate"/>
    </w:r>
    <w:r w:rsidR="009C588A">
      <w:t>ECE/TRANS/WP.29/2018/56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34E" w:rsidRPr="0020034E" w:rsidRDefault="00F177B6" w:rsidP="0020034E">
    <w:pPr>
      <w:pStyle w:val="Header"/>
      <w:jc w:val="right"/>
    </w:pPr>
    <w:r>
      <w:fldChar w:fldCharType="begin"/>
    </w:r>
    <w:r>
      <w:instrText xml:space="preserve"> TITLE  \* MERGEFORMAT </w:instrText>
    </w:r>
    <w:r>
      <w:fldChar w:fldCharType="separate"/>
    </w:r>
    <w:r w:rsidR="009C588A">
      <w:t>ECE/TRANS/WP.29/2018/56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FD456D"/>
    <w:multiLevelType w:val="hybridMultilevel"/>
    <w:tmpl w:val="0C2E7D64"/>
    <w:lvl w:ilvl="0" w:tplc="C0AE46F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C0AE46FE">
        <w:start w:val="1"/>
        <w:numFmt w:val="lowerLetter"/>
        <w:lvlText w:val="%1)"/>
        <w:lvlJc w:val="left"/>
        <w:pPr>
          <w:ind w:left="2628"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74"/>
    <w:rsid w:val="00017F94"/>
    <w:rsid w:val="00023842"/>
    <w:rsid w:val="000334F9"/>
    <w:rsid w:val="00045FEB"/>
    <w:rsid w:val="00047FD9"/>
    <w:rsid w:val="0005597A"/>
    <w:rsid w:val="0007796D"/>
    <w:rsid w:val="000B7790"/>
    <w:rsid w:val="00111F2F"/>
    <w:rsid w:val="0012107B"/>
    <w:rsid w:val="0014365E"/>
    <w:rsid w:val="00143C66"/>
    <w:rsid w:val="00176178"/>
    <w:rsid w:val="001F525A"/>
    <w:rsid w:val="0020034E"/>
    <w:rsid w:val="00223272"/>
    <w:rsid w:val="0024779E"/>
    <w:rsid w:val="00257168"/>
    <w:rsid w:val="002744B8"/>
    <w:rsid w:val="002832AC"/>
    <w:rsid w:val="002D7C93"/>
    <w:rsid w:val="002E1D30"/>
    <w:rsid w:val="00305801"/>
    <w:rsid w:val="003916DE"/>
    <w:rsid w:val="00422DF0"/>
    <w:rsid w:val="00441C3B"/>
    <w:rsid w:val="00446FE5"/>
    <w:rsid w:val="00452396"/>
    <w:rsid w:val="00452836"/>
    <w:rsid w:val="00463515"/>
    <w:rsid w:val="004837D8"/>
    <w:rsid w:val="004E468C"/>
    <w:rsid w:val="00531B4B"/>
    <w:rsid w:val="005505B7"/>
    <w:rsid w:val="00573BE5"/>
    <w:rsid w:val="00586ED3"/>
    <w:rsid w:val="00596AA9"/>
    <w:rsid w:val="0064487A"/>
    <w:rsid w:val="006C133A"/>
    <w:rsid w:val="0071601D"/>
    <w:rsid w:val="00752D08"/>
    <w:rsid w:val="007A62E6"/>
    <w:rsid w:val="007C2417"/>
    <w:rsid w:val="007F20FA"/>
    <w:rsid w:val="0080684C"/>
    <w:rsid w:val="00822463"/>
    <w:rsid w:val="00871C75"/>
    <w:rsid w:val="008776DC"/>
    <w:rsid w:val="00893874"/>
    <w:rsid w:val="008E072E"/>
    <w:rsid w:val="00944690"/>
    <w:rsid w:val="009446C0"/>
    <w:rsid w:val="009705C8"/>
    <w:rsid w:val="009C1CF4"/>
    <w:rsid w:val="009C588A"/>
    <w:rsid w:val="009F6B74"/>
    <w:rsid w:val="00A30353"/>
    <w:rsid w:val="00AA4AF9"/>
    <w:rsid w:val="00AB7595"/>
    <w:rsid w:val="00AC3823"/>
    <w:rsid w:val="00AE323C"/>
    <w:rsid w:val="00AF0CB5"/>
    <w:rsid w:val="00B00181"/>
    <w:rsid w:val="00B00B0D"/>
    <w:rsid w:val="00B00E45"/>
    <w:rsid w:val="00B75963"/>
    <w:rsid w:val="00B765F7"/>
    <w:rsid w:val="00B9036C"/>
    <w:rsid w:val="00BA0CA9"/>
    <w:rsid w:val="00C02897"/>
    <w:rsid w:val="00C80ED7"/>
    <w:rsid w:val="00C97039"/>
    <w:rsid w:val="00D3439C"/>
    <w:rsid w:val="00DB1831"/>
    <w:rsid w:val="00DD3BFD"/>
    <w:rsid w:val="00DF6678"/>
    <w:rsid w:val="00E0299A"/>
    <w:rsid w:val="00E74D20"/>
    <w:rsid w:val="00E85C74"/>
    <w:rsid w:val="00EA6547"/>
    <w:rsid w:val="00EF2E22"/>
    <w:rsid w:val="00F177B6"/>
    <w:rsid w:val="00F35BAF"/>
    <w:rsid w:val="00F660DF"/>
    <w:rsid w:val="00F94664"/>
    <w:rsid w:val="00F9573C"/>
    <w:rsid w:val="00F95C08"/>
    <w:rsid w:val="00FF6E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41497F-A970-4EC2-B99F-E3668858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Default">
    <w:name w:val="Default"/>
    <w:rsid w:val="00452836"/>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character" w:customStyle="1" w:styleId="SingleTxtGChar">
    <w:name w:val="_ Single Txt_G Char"/>
    <w:link w:val="SingleTxtG"/>
    <w:rsid w:val="00452836"/>
    <w:rPr>
      <w:rFonts w:ascii="Times New Roman" w:eastAsiaTheme="minorHAnsi" w:hAnsi="Times New Roman" w:cs="Times New Roman"/>
      <w:sz w:val="20"/>
      <w:szCs w:val="20"/>
      <w:lang w:eastAsia="en-US"/>
    </w:rPr>
  </w:style>
  <w:style w:type="character" w:customStyle="1" w:styleId="HChGChar">
    <w:name w:val="_ H _Ch_G Char"/>
    <w:link w:val="HChG"/>
    <w:rsid w:val="00452836"/>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45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ECE/TRANS/WP.29/2018/56</vt:lpstr>
      <vt:lpstr>ECE/TRANS/WP.29/2018/56</vt:lpstr>
    </vt:vector>
  </TitlesOfParts>
  <Company>DCM</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ECE/TRANS/WP.29/2018/56</dc:title>
  <dc:subject/>
  <dc:creator>Nicolas MORIN</dc:creator>
  <cp:keywords/>
  <cp:lastModifiedBy>New</cp:lastModifiedBy>
  <cp:revision>2</cp:revision>
  <cp:lastPrinted>2018-05-09T07:20:00Z</cp:lastPrinted>
  <dcterms:created xsi:type="dcterms:W3CDTF">2018-05-14T14:09:00Z</dcterms:created>
  <dcterms:modified xsi:type="dcterms:W3CDTF">2018-05-14T14:09:00Z</dcterms:modified>
</cp:coreProperties>
</file>