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42D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42D90" w:rsidP="00042D90">
            <w:pPr>
              <w:jc w:val="right"/>
            </w:pPr>
            <w:r w:rsidRPr="00042D90">
              <w:rPr>
                <w:sz w:val="40"/>
              </w:rPr>
              <w:t>ECE</w:t>
            </w:r>
            <w:r>
              <w:t>/TRANS/WP.29/2018/84</w:t>
            </w:r>
          </w:p>
        </w:tc>
      </w:tr>
      <w:tr w:rsidR="002D5AAC" w:rsidRPr="00042D9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42D9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42D90" w:rsidRDefault="00042D90" w:rsidP="00042D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August 2018</w:t>
            </w:r>
          </w:p>
          <w:p w:rsidR="00042D90" w:rsidRDefault="00042D90" w:rsidP="00042D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42D90" w:rsidRPr="008D53B6" w:rsidRDefault="00042D90" w:rsidP="00042D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42D90" w:rsidRPr="00042D90" w:rsidRDefault="00042D90" w:rsidP="00042D90">
      <w:pPr>
        <w:spacing w:before="120"/>
        <w:rPr>
          <w:sz w:val="28"/>
          <w:szCs w:val="28"/>
        </w:rPr>
      </w:pPr>
      <w:r w:rsidRPr="00042D90">
        <w:rPr>
          <w:sz w:val="28"/>
          <w:szCs w:val="28"/>
        </w:rPr>
        <w:t>Комитет по внутреннему транспорту</w:t>
      </w:r>
    </w:p>
    <w:p w:rsidR="00042D90" w:rsidRPr="00042D90" w:rsidRDefault="00042D90" w:rsidP="00042D90">
      <w:pPr>
        <w:spacing w:before="120"/>
        <w:rPr>
          <w:b/>
          <w:bCs/>
          <w:sz w:val="24"/>
          <w:szCs w:val="24"/>
        </w:rPr>
      </w:pPr>
      <w:r w:rsidRPr="00042D90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042D90">
        <w:rPr>
          <w:b/>
          <w:bCs/>
          <w:sz w:val="24"/>
          <w:szCs w:val="24"/>
        </w:rPr>
        <w:t>в области транспортных средств</w:t>
      </w:r>
    </w:p>
    <w:p w:rsidR="00042D90" w:rsidRPr="00F50112" w:rsidRDefault="00042D90" w:rsidP="00042D90">
      <w:pPr>
        <w:tabs>
          <w:tab w:val="center" w:pos="4819"/>
        </w:tabs>
        <w:spacing w:before="120"/>
        <w:rPr>
          <w:b/>
          <w:bCs/>
        </w:rPr>
      </w:pPr>
      <w:r w:rsidRPr="00F50112">
        <w:rPr>
          <w:b/>
          <w:bCs/>
        </w:rPr>
        <w:t>176-я сессия</w:t>
      </w:r>
    </w:p>
    <w:p w:rsidR="00042D90" w:rsidRPr="00F50112" w:rsidRDefault="00042D90" w:rsidP="00042D90">
      <w:r w:rsidRPr="00F50112">
        <w:t>Женева, 13–16 ноября 2018 года</w:t>
      </w:r>
    </w:p>
    <w:p w:rsidR="00042D90" w:rsidRPr="00F50112" w:rsidRDefault="00042D90" w:rsidP="00042D90">
      <w:r w:rsidRPr="00F50112">
        <w:t>Пункт 4.6.2 предварительной повестки дня</w:t>
      </w:r>
    </w:p>
    <w:p w:rsidR="00042D90" w:rsidRDefault="00042D90" w:rsidP="00042D90">
      <w:pPr>
        <w:rPr>
          <w:b/>
          <w:bCs/>
        </w:rPr>
      </w:pPr>
      <w:r w:rsidRPr="00F50112">
        <w:rPr>
          <w:b/>
          <w:bCs/>
        </w:rPr>
        <w:t xml:space="preserve">Соглашение 1958 года: </w:t>
      </w:r>
    </w:p>
    <w:p w:rsidR="00042D90" w:rsidRPr="00F50112" w:rsidRDefault="00042D90" w:rsidP="00042D90">
      <w:pPr>
        <w:rPr>
          <w:b/>
        </w:rPr>
      </w:pPr>
      <w:r w:rsidRPr="00F50112">
        <w:rPr>
          <w:b/>
          <w:bCs/>
        </w:rPr>
        <w:t>Рассмотрение п</w:t>
      </w:r>
      <w:r w:rsidR="00514E74">
        <w:rPr>
          <w:b/>
          <w:bCs/>
        </w:rPr>
        <w:t>роектов поправок к существующим</w:t>
      </w:r>
      <w:r w:rsidR="00514E74">
        <w:rPr>
          <w:b/>
          <w:bCs/>
        </w:rPr>
        <w:br/>
      </w:r>
      <w:r w:rsidRPr="00F50112">
        <w:rPr>
          <w:b/>
          <w:bCs/>
        </w:rPr>
        <w:t>правилам ООН, представленных GRE</w:t>
      </w:r>
      <w:r>
        <w:t xml:space="preserve"> </w:t>
      </w:r>
    </w:p>
    <w:p w:rsidR="00042D90" w:rsidRPr="00F50112" w:rsidRDefault="00042D90" w:rsidP="00042D90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 по дополнению 11 к поправкам серии 06 к Правилам № 48 ООН (установка устройств освещения и световой сигнализации)</w:t>
      </w:r>
    </w:p>
    <w:p w:rsidR="00042D90" w:rsidRPr="00F50112" w:rsidRDefault="00042D90" w:rsidP="00042D90">
      <w:pPr>
        <w:pStyle w:val="H1G"/>
        <w:ind w:firstLine="0"/>
        <w:rPr>
          <w:szCs w:val="24"/>
          <w:lang w:val="ru-RU"/>
        </w:rPr>
      </w:pPr>
      <w:r>
        <w:rPr>
          <w:lang w:val="ru-RU"/>
        </w:rPr>
        <w:t>Представлено Рабочей группой по вопросам освещения и световой сигнализации</w:t>
      </w:r>
      <w:r w:rsidRPr="00042D90">
        <w:rPr>
          <w:b w:val="0"/>
          <w:sz w:val="20"/>
          <w:lang w:val="ru-RU"/>
        </w:rPr>
        <w:footnoteReference w:customMarkFollows="1" w:id="1"/>
        <w:t>*</w:t>
      </w:r>
    </w:p>
    <w:p w:rsidR="00042D90" w:rsidRPr="00F50112" w:rsidRDefault="00042D90" w:rsidP="00042D90">
      <w:pPr>
        <w:pStyle w:val="SingleTxtG"/>
        <w:ind w:firstLine="567"/>
        <w:rPr>
          <w:lang w:val="ru-RU"/>
        </w:rPr>
      </w:pPr>
      <w:r>
        <w:rPr>
          <w:lang w:val="ru-RU"/>
        </w:rPr>
        <w:t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пункты 23–25). Он основан на документе ECE/TRANS/WP.29/GRE/2017/24 и приложениях IX (только н</w:t>
      </w:r>
      <w:r w:rsidR="008158FE">
        <w:rPr>
          <w:lang w:val="ru-RU"/>
        </w:rPr>
        <w:t>а французском языке), X </w:t>
      </w:r>
      <w:r>
        <w:rPr>
          <w:lang w:val="ru-RU"/>
        </w:rPr>
        <w:t xml:space="preserve">и XI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042D90" w:rsidRPr="00F50112" w:rsidRDefault="00042D90" w:rsidP="00042D90">
      <w:pPr>
        <w:pStyle w:val="HChG"/>
        <w:ind w:left="0" w:firstLine="0"/>
        <w:rPr>
          <w:lang w:val="ru-RU"/>
        </w:rPr>
      </w:pPr>
      <w:bookmarkStart w:id="1" w:name="_Toc354410587"/>
      <w:r w:rsidRPr="00F50112">
        <w:rPr>
          <w:lang w:val="ru-RU"/>
        </w:rPr>
        <w:br w:type="page"/>
      </w:r>
    </w:p>
    <w:p w:rsidR="00042D90" w:rsidRPr="00F50112" w:rsidRDefault="00042D90" w:rsidP="00042D90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 xml:space="preserve">Дополнение 11 к поправкам серии 06 </w:t>
      </w:r>
      <w:r>
        <w:rPr>
          <w:lang w:val="ru-RU"/>
        </w:rPr>
        <w:br/>
        <w:t xml:space="preserve">к Правилам № 48 ООН (установка устройств освещения и световой сигнализации) </w:t>
      </w:r>
      <w:bookmarkStart w:id="2" w:name="_Toc473483449"/>
      <w:bookmarkEnd w:id="1"/>
    </w:p>
    <w:bookmarkEnd w:id="2"/>
    <w:p w:rsidR="00042D90" w:rsidRPr="00E432DD" w:rsidRDefault="00042D90" w:rsidP="00042D90">
      <w:pPr>
        <w:pStyle w:val="para"/>
        <w:ind w:left="1134" w:firstLine="0"/>
        <w:rPr>
          <w:i/>
          <w:lang w:val="ru-RU"/>
        </w:rPr>
      </w:pPr>
      <w:r>
        <w:rPr>
          <w:i/>
          <w:iCs/>
          <w:lang w:val="ru-RU"/>
        </w:rPr>
        <w:t>Включить новый пункт 2.37</w:t>
      </w:r>
      <w:r>
        <w:rPr>
          <w:lang w:val="ru-RU"/>
        </w:rPr>
        <w:t xml:space="preserve"> следующего содержания:</w:t>
      </w:r>
    </w:p>
    <w:p w:rsidR="00042D90" w:rsidRPr="00E061E3" w:rsidRDefault="00042D90" w:rsidP="00042D90">
      <w:pPr>
        <w:spacing w:after="120"/>
        <w:ind w:left="2268" w:right="1134" w:hanging="1134"/>
        <w:jc w:val="both"/>
        <w:rPr>
          <w:color w:val="000000" w:themeColor="text1"/>
        </w:rPr>
      </w:pPr>
      <w:r w:rsidRPr="00E061E3">
        <w:t>«2.37</w:t>
      </w:r>
      <w:r w:rsidRPr="00E061E3">
        <w:tab/>
      </w:r>
      <w:r w:rsidRPr="00E061E3">
        <w:tab/>
        <w:t>"</w:t>
      </w:r>
      <w:r w:rsidRPr="00E061E3">
        <w:rPr>
          <w:i/>
          <w:iCs/>
        </w:rPr>
        <w:t>внешний индикатор состояния</w:t>
      </w:r>
      <w:r w:rsidR="00514E74">
        <w:t xml:space="preserve">" означает оптический сигнал, </w:t>
      </w:r>
      <w:r w:rsidRPr="00E061E3">
        <w:t>установленный снаружи транспор</w:t>
      </w:r>
      <w:r w:rsidR="00514E74">
        <w:t xml:space="preserve">тного средства для указания на </w:t>
      </w:r>
      <w:r w:rsidRPr="00E061E3">
        <w:t>состояние или изменение состояния системы охранной сигнализации транспортного средства (СОСТС)</w:t>
      </w:r>
      <w:r w:rsidR="00514E74">
        <w:t>, системы охранной сигнализации </w:t>
      </w:r>
      <w:r w:rsidRPr="00E061E3">
        <w:t>(СОС) и иммобилизатор</w:t>
      </w:r>
      <w:r>
        <w:t>а, предусмотренных в правилах</w:t>
      </w:r>
      <w:r w:rsidR="00066A61">
        <w:t> </w:t>
      </w:r>
      <w:r>
        <w:t>№ </w:t>
      </w:r>
      <w:r w:rsidR="00514E74">
        <w:t>97 и № </w:t>
      </w:r>
      <w:r w:rsidRPr="00E061E3">
        <w:t>116</w:t>
      </w:r>
      <w:r>
        <w:t xml:space="preserve"> ООН</w:t>
      </w:r>
      <w:r w:rsidRPr="00E061E3">
        <w:t>, когда транспортное средство на</w:t>
      </w:r>
      <w:r w:rsidR="00066A61">
        <w:t>ходится на </w:t>
      </w:r>
      <w:r w:rsidRPr="00E061E3">
        <w:t xml:space="preserve">стоянке». </w:t>
      </w:r>
    </w:p>
    <w:p w:rsidR="00042D90" w:rsidRPr="00E061E3" w:rsidRDefault="00042D90" w:rsidP="00042D90">
      <w:pPr>
        <w:spacing w:after="120"/>
        <w:ind w:left="1134" w:right="1134"/>
        <w:jc w:val="both"/>
        <w:rPr>
          <w:i/>
        </w:rPr>
      </w:pPr>
      <w:r w:rsidRPr="00E061E3">
        <w:rPr>
          <w:i/>
          <w:iCs/>
        </w:rPr>
        <w:t>Пункт 2.7</w:t>
      </w:r>
      <w:r w:rsidRPr="00E061E3">
        <w:t xml:space="preserve"> изменить следующим образом:</w:t>
      </w:r>
    </w:p>
    <w:p w:rsidR="00042D90" w:rsidRPr="00E061E3" w:rsidRDefault="00042D90" w:rsidP="00042D90">
      <w:pPr>
        <w:spacing w:after="120"/>
        <w:ind w:left="2268" w:right="1134" w:hanging="1134"/>
        <w:jc w:val="both"/>
      </w:pPr>
      <w:r w:rsidRPr="00E061E3">
        <w:t>«2.7</w:t>
      </w:r>
      <w:r w:rsidRPr="00E061E3">
        <w:tab/>
      </w:r>
      <w:r w:rsidRPr="00E061E3">
        <w:tab/>
        <w:t>"</w:t>
      </w:r>
      <w:r w:rsidRPr="0058117B">
        <w:rPr>
          <w:i/>
          <w:iCs/>
        </w:rPr>
        <w:t>огонь</w:t>
      </w:r>
      <w:r w:rsidRPr="00E061E3">
        <w:t>" означает устройство, предназначенное для освещения дороги или подачи светового сигнала другим пользователям дороги. Фонари заднего регистрационного знака и светоотражающие устройства также рассматриваются в качестве огней. Для цели настоящих Правил излучающие свет задние регистрационные знаки, освещающие служебную дверь источники света на т</w:t>
      </w:r>
      <w:r w:rsidR="00514E74">
        <w:t>ранспортных средствах категорий </w:t>
      </w:r>
      <w:r w:rsidRPr="00E061E3">
        <w:t>М</w:t>
      </w:r>
      <w:r w:rsidRPr="00E061E3">
        <w:rPr>
          <w:vertAlign w:val="subscript"/>
        </w:rPr>
        <w:t>2</w:t>
      </w:r>
      <w:r w:rsidRPr="00E061E3">
        <w:t xml:space="preserve"> и М</w:t>
      </w:r>
      <w:r w:rsidRPr="00E061E3">
        <w:rPr>
          <w:vertAlign w:val="subscript"/>
        </w:rPr>
        <w:t>3</w:t>
      </w:r>
      <w:r w:rsidRPr="00E061E3">
        <w:t>, соответствующие положениям Правил № 107</w:t>
      </w:r>
      <w:r>
        <w:t xml:space="preserve"> ООН</w:t>
      </w:r>
      <w:r w:rsidRPr="00E061E3">
        <w:t>, и внешний индикатор состояния, определенный в настоящих Правилах</w:t>
      </w:r>
      <w:r w:rsidR="00514E74">
        <w:t> </w:t>
      </w:r>
      <w:r>
        <w:t>ООН</w:t>
      </w:r>
      <w:r w:rsidR="00514E74">
        <w:t xml:space="preserve">, не считаются огнями. </w:t>
      </w:r>
    </w:p>
    <w:p w:rsidR="00042D90" w:rsidRPr="00E061E3" w:rsidRDefault="00042D90" w:rsidP="00042D90">
      <w:pPr>
        <w:spacing w:after="120"/>
        <w:ind w:left="1701" w:right="1134" w:firstLine="567"/>
        <w:jc w:val="both"/>
      </w:pPr>
      <w:r w:rsidRPr="00E061E3">
        <w:t>…»</w:t>
      </w:r>
    </w:p>
    <w:p w:rsidR="00042D90" w:rsidRPr="00E432DD" w:rsidRDefault="00042D90" w:rsidP="00042D90">
      <w:pPr>
        <w:spacing w:after="120"/>
        <w:ind w:left="2268" w:right="1469" w:hanging="1134"/>
        <w:jc w:val="both"/>
        <w:rPr>
          <w:rFonts w:eastAsia="Calibri"/>
        </w:rPr>
      </w:pPr>
      <w:r>
        <w:rPr>
          <w:i/>
          <w:iCs/>
        </w:rPr>
        <w:t>Пункт 5.7.2.1</w:t>
      </w:r>
      <w:r>
        <w:t xml:space="preserve"> изменить следующим образом:</w:t>
      </w:r>
    </w:p>
    <w:p w:rsidR="00042D90" w:rsidRPr="00E061E3" w:rsidRDefault="00042D90" w:rsidP="00042D90">
      <w:pPr>
        <w:pStyle w:val="SingleTxtGR"/>
        <w:ind w:left="2268" w:hanging="1134"/>
        <w:rPr>
          <w:iCs/>
        </w:rPr>
      </w:pPr>
      <w:r>
        <w:t>«5.7.2.1</w:t>
      </w:r>
      <w:r>
        <w:tab/>
        <w:t>Единые огни, определенные в подпункте а) пункта 2.16.1</w:t>
      </w:r>
      <w:r w:rsidRPr="00E061E3">
        <w:t>, видимая поверхность которых состоит из двух или более отдельных частей, устанавливают таким образом, чтобы:</w:t>
      </w:r>
    </w:p>
    <w:p w:rsidR="00042D90" w:rsidRPr="00E061E3" w:rsidRDefault="00042D90" w:rsidP="00042D90">
      <w:pPr>
        <w:pStyle w:val="SingleTxtGR"/>
        <w:ind w:left="2835" w:hanging="567"/>
        <w:rPr>
          <w:iCs/>
        </w:rPr>
      </w:pPr>
      <w:r w:rsidRPr="00E061E3">
        <w:t>a)</w:t>
      </w:r>
      <w:r w:rsidRPr="00E061E3">
        <w:tab/>
        <w:t xml:space="preserve">либо общая площадь проекции отдельных частей видимой поверхности в направлении исходной оси на плоскость, проходящую по касательной к внешним рассеивателям и перпендикулярную исходной оси, занимала не менее 60% наименьшего прямоугольника, описанного вокруг проекции упомянутой видимой поверхности в направлении исходной оси; </w:t>
      </w:r>
    </w:p>
    <w:p w:rsidR="00042D90" w:rsidRPr="00E432DD" w:rsidRDefault="00042D90" w:rsidP="00042D90">
      <w:pPr>
        <w:pStyle w:val="SingleTxtGR"/>
        <w:ind w:left="2835" w:hanging="567"/>
        <w:rPr>
          <w:iCs/>
        </w:rPr>
      </w:pPr>
      <w:r w:rsidRPr="00E061E3">
        <w:t>b)</w:t>
      </w:r>
      <w:r w:rsidRPr="00E061E3">
        <w:tab/>
        <w:t>либо минимальное расстояние между обращенными друг к другу кромками двух смежных/прилегающих друг к другу отдельных частей видимой поверхности в направлении исходной оси, измеренное перпендикулярно исходной оси, составляло не</w:t>
      </w:r>
      <w:r>
        <w:t xml:space="preserve"> более 75 мм.</w:t>
      </w:r>
    </w:p>
    <w:p w:rsidR="00042D90" w:rsidRPr="00E432DD" w:rsidRDefault="00042D90" w:rsidP="00042D90">
      <w:pPr>
        <w:pStyle w:val="SingleTxtGR"/>
        <w:ind w:left="2268"/>
        <w:rPr>
          <w:iCs/>
        </w:rPr>
      </w:pPr>
      <w:r>
        <w:t>Эти требования не применяются к единому светоотражающему устройству».</w:t>
      </w:r>
    </w:p>
    <w:p w:rsidR="00042D90" w:rsidRPr="00E432DD" w:rsidRDefault="00042D90" w:rsidP="00042D90">
      <w:pPr>
        <w:pStyle w:val="SingleTxtGR"/>
        <w:rPr>
          <w:rFonts w:eastAsia="Calibri"/>
        </w:rPr>
      </w:pPr>
      <w:r>
        <w:rPr>
          <w:i/>
          <w:iCs/>
        </w:rPr>
        <w:t>Пункт 5.8.2</w:t>
      </w:r>
      <w:r>
        <w:t xml:space="preserve"> изменить следующим образом:</w:t>
      </w:r>
    </w:p>
    <w:p w:rsidR="00042D90" w:rsidRPr="00E432DD" w:rsidRDefault="00514E74" w:rsidP="00042D90">
      <w:pPr>
        <w:pStyle w:val="SingleTxtGR"/>
        <w:ind w:left="2268" w:hanging="1134"/>
      </w:pPr>
      <w:r>
        <w:t>«</w:t>
      </w:r>
      <w:r w:rsidR="00042D90">
        <w:t>5.8.2</w:t>
      </w:r>
      <w:r w:rsidR="00042D90">
        <w:tab/>
      </w:r>
      <w:r w:rsidR="00042D90">
        <w:tab/>
        <w:t xml:space="preserve">В случае фар ближнего света минимальную высоту над уровнем грунта измеряют от нижней точки </w:t>
      </w:r>
      <w:r w:rsidR="00042D90" w:rsidRPr="00E061E3">
        <w:t>видимой поверхности в направлении исходной оси независимо от</w:t>
      </w:r>
      <w:r w:rsidR="00042D90">
        <w:t xml:space="preserve"> ее использования</w:t>
      </w:r>
      <w:r>
        <w:t>»</w:t>
      </w:r>
      <w:r w:rsidR="00042D90">
        <w:t>.</w:t>
      </w:r>
    </w:p>
    <w:p w:rsidR="00042D90" w:rsidRPr="00E432DD" w:rsidRDefault="00042D90" w:rsidP="00042D90">
      <w:pPr>
        <w:pStyle w:val="SingleTxtGR"/>
        <w:rPr>
          <w:rFonts w:eastAsia="Calibri"/>
        </w:rPr>
      </w:pPr>
      <w:r>
        <w:rPr>
          <w:i/>
          <w:iCs/>
        </w:rPr>
        <w:t>Пункты 5.10.1 и 5.10.2</w:t>
      </w:r>
      <w:r>
        <w:t xml:space="preserve"> изменить следующим образом:</w:t>
      </w:r>
    </w:p>
    <w:p w:rsidR="00042D90" w:rsidRPr="00E061E3" w:rsidRDefault="00514E74" w:rsidP="00042D90">
      <w:pPr>
        <w:pStyle w:val="SingleTxtGR"/>
        <w:ind w:left="2268" w:hanging="1134"/>
      </w:pPr>
      <w:r>
        <w:t>«</w:t>
      </w:r>
      <w:r w:rsidR="00042D90">
        <w:t>5.10.1</w:t>
      </w:r>
      <w:r w:rsidR="00042D90">
        <w:tab/>
        <w:t xml:space="preserve">в отношении видимости красного света в направлении вперед, за исключением наиболее удаленного в направлении назад бокового габаритного огня красного цвета, видимая поверхность огня красного цвета не должна быть непосредственно видима для наблюдателя, перемещающегося в зоне 1 </w:t>
      </w:r>
      <w:r w:rsidR="00042D90" w:rsidRPr="00E061E3">
        <w:t>поперечной плоскости на расстоянии 25 м спереди от транспортного средства (см. приложение 4</w:t>
      </w:r>
      <w:r w:rsidR="00042D90">
        <w:t>)</w:t>
      </w:r>
      <w:r w:rsidR="00042D90" w:rsidRPr="00E061E3">
        <w:t xml:space="preserve">; </w:t>
      </w:r>
    </w:p>
    <w:p w:rsidR="00042D90" w:rsidRPr="00E432DD" w:rsidRDefault="00042D90" w:rsidP="00042D90">
      <w:pPr>
        <w:pStyle w:val="SingleTxtGR"/>
        <w:ind w:left="2268" w:hanging="1134"/>
      </w:pPr>
      <w:r w:rsidRPr="00E061E3">
        <w:lastRenderedPageBreak/>
        <w:t>5.10.2</w:t>
      </w:r>
      <w:r>
        <w:tab/>
      </w:r>
      <w:r w:rsidRPr="00E061E3">
        <w:tab/>
        <w:t>в отношении видимости белого света в направлении назад от транспортного средства, за исключением задних фар и боковой</w:t>
      </w:r>
      <w:r>
        <w:rPr>
          <w:b/>
          <w:bCs/>
        </w:rPr>
        <w:t xml:space="preserve"> </w:t>
      </w:r>
      <w:r>
        <w:t>белой маркировки с улучшенными светоотражающими характеристиками, видимая поверхность белого огня не должна быть непосредственно видима для наблюдателя, перемещающегося в зоне 2 поперечной плоскости на расстоянии 25 м сзади</w:t>
      </w:r>
      <w:r w:rsidR="00514E74">
        <w:t xml:space="preserve"> от транспортного средства (см. </w:t>
      </w:r>
      <w:r>
        <w:t>приложение 4)».</w:t>
      </w:r>
    </w:p>
    <w:p w:rsidR="00042D90" w:rsidRPr="00E432DD" w:rsidRDefault="00042D90" w:rsidP="00042D90">
      <w:pPr>
        <w:pStyle w:val="SingleTxtGR"/>
      </w:pPr>
      <w:r>
        <w:rPr>
          <w:i/>
          <w:iCs/>
        </w:rPr>
        <w:t>Включить новый пункт 5.32</w:t>
      </w:r>
      <w:r>
        <w:t xml:space="preserve"> следующего содержания:</w:t>
      </w:r>
    </w:p>
    <w:p w:rsidR="00042D90" w:rsidRPr="00E061E3" w:rsidRDefault="00042D90" w:rsidP="00042D90">
      <w:pPr>
        <w:pStyle w:val="para"/>
        <w:ind w:left="1134" w:firstLine="0"/>
        <w:rPr>
          <w:lang w:val="ru-RU"/>
        </w:rPr>
      </w:pPr>
      <w:r w:rsidRPr="00E061E3">
        <w:rPr>
          <w:lang w:val="ru-RU"/>
        </w:rPr>
        <w:t>«5.32</w:t>
      </w:r>
      <w:r w:rsidRPr="00E061E3">
        <w:rPr>
          <w:lang w:val="ru-RU"/>
        </w:rPr>
        <w:tab/>
      </w:r>
      <w:r w:rsidRPr="00E061E3">
        <w:rPr>
          <w:lang w:val="ru-RU"/>
        </w:rPr>
        <w:tab/>
        <w:t>Внешний индикатор состояния</w:t>
      </w:r>
    </w:p>
    <w:p w:rsidR="00042D90" w:rsidRPr="00E061E3" w:rsidRDefault="00042D90" w:rsidP="00042D90">
      <w:pPr>
        <w:pStyle w:val="para"/>
        <w:ind w:firstLine="0"/>
        <w:rPr>
          <w:lang w:val="ru-RU"/>
        </w:rPr>
      </w:pPr>
      <w:r w:rsidRPr="00E061E3">
        <w:rPr>
          <w:lang w:val="ru-RU"/>
        </w:rPr>
        <w:t>Допускается один внешний индикатор состояния системы охранной сигнализации транспортного средства (СОСТС), системы охранной сигнализации (СОС) и иммобилизатора, если:</w:t>
      </w:r>
    </w:p>
    <w:p w:rsidR="00042D90" w:rsidRPr="00E061E3" w:rsidRDefault="00042D90" w:rsidP="00042D90">
      <w:pPr>
        <w:pStyle w:val="para"/>
        <w:ind w:firstLine="0"/>
        <w:rPr>
          <w:lang w:val="ru-RU"/>
        </w:rPr>
      </w:pPr>
      <w:r w:rsidRPr="00E061E3">
        <w:rPr>
          <w:lang w:val="ru-RU"/>
        </w:rPr>
        <w:t>a)</w:t>
      </w:r>
      <w:r w:rsidRPr="00E061E3">
        <w:rPr>
          <w:lang w:val="ru-RU"/>
        </w:rPr>
        <w:tab/>
        <w:t xml:space="preserve">сила света в любом направлении не превышает 0,5 кд; </w:t>
      </w:r>
    </w:p>
    <w:p w:rsidR="00042D90" w:rsidRPr="00E061E3" w:rsidRDefault="00042D90" w:rsidP="00042D90">
      <w:pPr>
        <w:pStyle w:val="para"/>
        <w:ind w:left="2835" w:hanging="567"/>
        <w:rPr>
          <w:lang w:val="ru-RU"/>
        </w:rPr>
      </w:pPr>
      <w:r w:rsidRPr="00E061E3">
        <w:rPr>
          <w:lang w:val="ru-RU"/>
        </w:rPr>
        <w:t>b)</w:t>
      </w:r>
      <w:r w:rsidRPr="00E061E3">
        <w:rPr>
          <w:lang w:val="ru-RU"/>
        </w:rPr>
        <w:tab/>
        <w:t>цвет испускаемого света является белым, красным или автожелтым;</w:t>
      </w:r>
    </w:p>
    <w:p w:rsidR="00042D90" w:rsidRPr="00E061E3" w:rsidRDefault="00042D90" w:rsidP="00042D90">
      <w:pPr>
        <w:pStyle w:val="para"/>
        <w:ind w:firstLine="0"/>
        <w:rPr>
          <w:lang w:val="ru-RU"/>
        </w:rPr>
      </w:pPr>
      <w:r w:rsidRPr="00E061E3">
        <w:rPr>
          <w:lang w:val="ru-RU"/>
        </w:rPr>
        <w:t>c)</w:t>
      </w:r>
      <w:r w:rsidRPr="00E061E3">
        <w:rPr>
          <w:lang w:val="ru-RU"/>
        </w:rPr>
        <w:tab/>
        <w:t>площадь видимой поверхности не превышает 20 см</w:t>
      </w:r>
      <w:r w:rsidRPr="00E061E3">
        <w:rPr>
          <w:vertAlign w:val="superscript"/>
          <w:lang w:val="ru-RU"/>
        </w:rPr>
        <w:t>2</w:t>
      </w:r>
      <w:r w:rsidRPr="00E061E3">
        <w:rPr>
          <w:lang w:val="ru-RU"/>
        </w:rPr>
        <w:t>.</w:t>
      </w:r>
    </w:p>
    <w:p w:rsidR="00042D90" w:rsidRPr="00E061E3" w:rsidRDefault="00042D90" w:rsidP="00042D90">
      <w:pPr>
        <w:pStyle w:val="SingleTxtGR"/>
        <w:ind w:left="2268"/>
      </w:pPr>
      <w:r w:rsidRPr="00E061E3">
        <w:t>На транспортном средстве допускается не более двух внешних индикаторов состояния системы охранной сигнализации транспортного средства (СОСТС), системы охранной сигнализации (СОС) и иммобилизатора при условии, что площадь видимой поверхности не превышает 10 см</w:t>
      </w:r>
      <w:r w:rsidRPr="00E061E3">
        <w:rPr>
          <w:vertAlign w:val="superscript"/>
        </w:rPr>
        <w:t xml:space="preserve">2 </w:t>
      </w:r>
      <w:r w:rsidRPr="00E061E3">
        <w:t>для каждого индикатора».</w:t>
      </w:r>
    </w:p>
    <w:p w:rsidR="00042D90" w:rsidRPr="00E432DD" w:rsidRDefault="00042D90" w:rsidP="00042D90">
      <w:pPr>
        <w:spacing w:after="120"/>
        <w:ind w:left="2268" w:right="1467" w:hanging="1134"/>
        <w:jc w:val="both"/>
        <w:rPr>
          <w:rFonts w:eastAsia="Calibri"/>
        </w:rPr>
      </w:pPr>
      <w:r>
        <w:rPr>
          <w:i/>
          <w:iCs/>
        </w:rPr>
        <w:t>Пункт 6.2.9</w:t>
      </w:r>
      <w:r>
        <w:t xml:space="preserve"> изменить следующим образом:</w:t>
      </w:r>
    </w:p>
    <w:p w:rsidR="00042D90" w:rsidRPr="00E432DD" w:rsidRDefault="00514E74" w:rsidP="00042D90">
      <w:pPr>
        <w:spacing w:after="120"/>
        <w:ind w:left="2268" w:right="1467" w:hanging="1134"/>
        <w:jc w:val="both"/>
        <w:rPr>
          <w:rFonts w:eastAsia="Calibri"/>
        </w:rPr>
      </w:pPr>
      <w:r>
        <w:t>«</w:t>
      </w:r>
      <w:r w:rsidR="00042D90">
        <w:t>6.2.9</w:t>
      </w:r>
      <w:r w:rsidR="00042D90">
        <w:tab/>
        <w:t xml:space="preserve">Прочие требования </w:t>
      </w:r>
    </w:p>
    <w:p w:rsidR="00042D90" w:rsidRPr="004454F3" w:rsidRDefault="00042D90" w:rsidP="00042D90">
      <w:pPr>
        <w:spacing w:after="120"/>
        <w:ind w:left="2268" w:right="1467" w:hanging="1134"/>
        <w:jc w:val="both"/>
        <w:rPr>
          <w:rFonts w:eastAsia="Calibri"/>
        </w:rPr>
      </w:pPr>
      <w:r w:rsidRPr="004454F3">
        <w:t>6.2.9.1</w:t>
      </w:r>
      <w:r w:rsidRPr="004454F3">
        <w:tab/>
        <w:t>Требования, содержащиеся в пункте 5.5.2, не применяют к фарам ближнего света.</w:t>
      </w:r>
    </w:p>
    <w:p w:rsidR="00042D90" w:rsidRPr="004454F3" w:rsidRDefault="00042D90" w:rsidP="00042D90">
      <w:pPr>
        <w:spacing w:after="120"/>
        <w:ind w:left="2268" w:right="1467" w:hanging="1134"/>
        <w:jc w:val="both"/>
        <w:rPr>
          <w:rFonts w:eastAsia="Calibri"/>
        </w:rPr>
      </w:pPr>
      <w:r w:rsidRPr="004454F3">
        <w:t>6.2.9.2</w:t>
      </w:r>
      <w:r w:rsidRPr="004454F3">
        <w:tab/>
        <w:t>Фары ближнего света с источником света или модулем(ями) СИД, создающим(и) основной луч ближнего света, имеющий номинальный световой поток для каждой фары более 2 000 люмен, устанавливаются только совместно с устройством(ами) для очистки фар в соответствии с Правилами № 45</w:t>
      </w:r>
      <w:r>
        <w:t xml:space="preserve"> ООН</w:t>
      </w:r>
      <w:r w:rsidRPr="004454F3">
        <w:t>.</w:t>
      </w:r>
    </w:p>
    <w:p w:rsidR="00042D90" w:rsidRPr="004454F3" w:rsidRDefault="00042D90" w:rsidP="00042D90">
      <w:pPr>
        <w:spacing w:after="120"/>
        <w:ind w:left="2268" w:right="1467" w:hanging="1134"/>
        <w:jc w:val="both"/>
        <w:rPr>
          <w:rFonts w:eastAsia="Calibri"/>
        </w:rPr>
      </w:pPr>
      <w:r w:rsidRPr="004454F3">
        <w:t>6.2.9.3</w:t>
      </w:r>
      <w:r w:rsidRPr="004454F3">
        <w:tab/>
        <w:t>В отношении вертикального наклона положения пункта 6.2.6.2.2 выше не применяются к фарам ближнего света с источником света или модулем(ями) СИД, создающим(и) основной луч ближнего света и имеющим(и) номинальный световой поток для каждой фары более 2 000 люмен.</w:t>
      </w:r>
    </w:p>
    <w:p w:rsidR="00042D90" w:rsidRPr="00E432DD" w:rsidRDefault="00042D90" w:rsidP="00042D90">
      <w:pPr>
        <w:spacing w:after="120"/>
        <w:ind w:left="2268" w:right="1467" w:hanging="1134"/>
        <w:jc w:val="both"/>
        <w:rPr>
          <w:rFonts w:eastAsia="Calibri"/>
        </w:rPr>
      </w:pPr>
      <w:r>
        <w:tab/>
        <w:t>В случае ламп накаливания, в отношении которых указано более одного испытательного напряжения, применяют значение фактического светового потока, создающего основной луч ближнего света, как указано в карточке сообщения для официального утверждения типа устройства.</w:t>
      </w:r>
    </w:p>
    <w:p w:rsidR="00042D90" w:rsidRPr="004454F3" w:rsidRDefault="00042D90" w:rsidP="00042D90">
      <w:pPr>
        <w:spacing w:after="120"/>
        <w:ind w:left="2268" w:right="1467" w:hanging="1134"/>
        <w:jc w:val="both"/>
        <w:rPr>
          <w:rFonts w:eastAsia="Calibri"/>
        </w:rPr>
      </w:pPr>
      <w:r>
        <w:tab/>
        <w:t xml:space="preserve">В случае фар ближнего света, оснащенных официально утвержденным источником света, применимым номинальным световым потоком является значение при соответствующем испытательном напряжении, которое указано в соответствующих технических спецификациях Правил ООН, на основании которых был утвержден применяемый источник света, без учета допусков по номинальному световому потоку, указанных в этих технических </w:t>
      </w:r>
      <w:r w:rsidRPr="004454F3">
        <w:t>спецификациях.</w:t>
      </w:r>
    </w:p>
    <w:p w:rsidR="00042D90" w:rsidRPr="004454F3" w:rsidRDefault="00042D90" w:rsidP="00042D90">
      <w:pPr>
        <w:spacing w:after="120"/>
        <w:ind w:left="2268" w:right="1467" w:hanging="1134"/>
        <w:jc w:val="both"/>
        <w:rPr>
          <w:rFonts w:eastAsia="Calibri"/>
        </w:rPr>
      </w:pPr>
      <w:r w:rsidRPr="004454F3">
        <w:t>6.2.9.4</w:t>
      </w:r>
      <w:r w:rsidRPr="004454F3">
        <w:tab/>
        <w:t>Для целей поворотного освеще</w:t>
      </w:r>
      <w:r>
        <w:t>ния могут использоваться только </w:t>
      </w:r>
      <w:r w:rsidRPr="004454F3">
        <w:t>фары ближнего света, отвечающие требованиям правил № 98 или 112</w:t>
      </w:r>
      <w:r>
        <w:t xml:space="preserve"> ООН</w:t>
      </w:r>
      <w:r w:rsidRPr="004454F3">
        <w:t>.</w:t>
      </w:r>
    </w:p>
    <w:p w:rsidR="00042D90" w:rsidRPr="004454F3" w:rsidRDefault="00042D90" w:rsidP="00042D90">
      <w:pPr>
        <w:spacing w:after="120"/>
        <w:ind w:left="2268" w:right="1467" w:hanging="1134"/>
        <w:jc w:val="both"/>
        <w:rPr>
          <w:rFonts w:eastAsia="Calibri"/>
        </w:rPr>
      </w:pPr>
      <w:r w:rsidRPr="004454F3">
        <w:lastRenderedPageBreak/>
        <w:tab/>
        <w:t>Если поворотное освещение обеспечивается за счет горизонтального перемещения всего светового луча или угла перелома светотеневой границы, то данная функция приводится в действие только при движении транспортного средства по прямой; это условие не применяют, если поворотное освещение используют для поворота направо при правостороннем движении (для поворота налево при левостороннем движении)».</w:t>
      </w:r>
    </w:p>
    <w:p w:rsidR="00042D90" w:rsidRPr="004454F3" w:rsidRDefault="00042D90" w:rsidP="00042D90">
      <w:pPr>
        <w:spacing w:after="120"/>
        <w:ind w:left="2268" w:right="1467" w:hanging="1134"/>
        <w:jc w:val="both"/>
        <w:rPr>
          <w:rFonts w:eastAsia="Calibri"/>
        </w:rPr>
      </w:pPr>
      <w:r w:rsidRPr="004454F3">
        <w:rPr>
          <w:i/>
          <w:iCs/>
        </w:rPr>
        <w:t>Пункт 6.3.6.1.2.1</w:t>
      </w:r>
      <w:r w:rsidRPr="004454F3">
        <w:t xml:space="preserve"> изменить следующим образом:</w:t>
      </w:r>
    </w:p>
    <w:p w:rsidR="00042D90" w:rsidRPr="004454F3" w:rsidRDefault="00042D90" w:rsidP="00042D90">
      <w:pPr>
        <w:spacing w:after="120"/>
        <w:ind w:left="2268" w:right="1467" w:hanging="1134"/>
        <w:jc w:val="both"/>
        <w:rPr>
          <w:rFonts w:eastAsia="Calibri"/>
        </w:rPr>
      </w:pPr>
      <w:r>
        <w:t>«</w:t>
      </w:r>
      <w:r w:rsidRPr="004454F3">
        <w:t>6.3.6.1.2.1</w:t>
      </w:r>
      <w:r w:rsidRPr="004454F3">
        <w:tab/>
        <w:t xml:space="preserve">когда общий номинальный световой </w:t>
      </w:r>
      <w:r>
        <w:t>поток источника света для </w:t>
      </w:r>
      <w:r w:rsidRPr="004454F3">
        <w:t>каждой передней противотуманной фары не превышает 2</w:t>
      </w:r>
      <w:r>
        <w:t> 000 </w:t>
      </w:r>
      <w:r w:rsidRPr="004454F3">
        <w:t>люмен:»</w:t>
      </w:r>
    </w:p>
    <w:p w:rsidR="00042D90" w:rsidRPr="004454F3" w:rsidRDefault="00042D90" w:rsidP="00042D90">
      <w:pPr>
        <w:spacing w:after="120"/>
        <w:ind w:left="2268" w:right="1467" w:hanging="1134"/>
        <w:jc w:val="both"/>
        <w:rPr>
          <w:rFonts w:eastAsia="Calibri"/>
        </w:rPr>
      </w:pPr>
      <w:r w:rsidRPr="004454F3">
        <w:rPr>
          <w:i/>
          <w:iCs/>
        </w:rPr>
        <w:t>Пункт 6.3.6.1.2.2</w:t>
      </w:r>
      <w:r w:rsidRPr="004454F3">
        <w:t xml:space="preserve"> изменить следующим образом:</w:t>
      </w:r>
    </w:p>
    <w:p w:rsidR="00042D90" w:rsidRPr="004454F3" w:rsidRDefault="00042D90" w:rsidP="00042D90">
      <w:pPr>
        <w:spacing w:after="120"/>
        <w:ind w:left="2268" w:right="1467" w:hanging="1134"/>
        <w:jc w:val="both"/>
      </w:pPr>
      <w:r w:rsidRPr="004454F3">
        <w:t>«</w:t>
      </w:r>
      <w:r w:rsidRPr="008A7344">
        <w:t>6.3.6.1.2.2</w:t>
      </w:r>
      <w:r w:rsidRPr="008A7344">
        <w:tab/>
      </w:r>
      <w:r w:rsidRPr="004454F3">
        <w:t>когда общий номинальный световой поток источника света для каждой передней противотуманной фары превышает 2 000 люмен:»</w:t>
      </w:r>
    </w:p>
    <w:p w:rsidR="00042D90" w:rsidRPr="004454F3" w:rsidRDefault="00042D90" w:rsidP="00042D90">
      <w:pPr>
        <w:spacing w:after="120"/>
        <w:ind w:left="2268" w:right="1134" w:hanging="1134"/>
        <w:jc w:val="both"/>
      </w:pPr>
      <w:r w:rsidRPr="004454F3">
        <w:rPr>
          <w:i/>
          <w:iCs/>
        </w:rPr>
        <w:t>Пункт 6.18.9</w:t>
      </w:r>
      <w:r w:rsidRPr="004454F3">
        <w:t xml:space="preserve"> изменить следующим образом:</w:t>
      </w:r>
    </w:p>
    <w:p w:rsidR="00042D90" w:rsidRPr="00B715ED" w:rsidRDefault="00042D90" w:rsidP="00042D90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«6.18.9</w:t>
      </w:r>
      <w:r>
        <w:tab/>
        <w:t>Прочие требования</w:t>
      </w:r>
    </w:p>
    <w:p w:rsidR="00042D90" w:rsidRPr="00B715ED" w:rsidRDefault="00042D90" w:rsidP="00042D90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ab/>
        <w:t>Если крайний задний боковой габаритный огонь комбинируется с задним габаритным огнем, совмещенным с задним противотуманным огнем или сигналом торможения, то фотометрические характеристики бокового габаритного огня при включенном заднем противотуманном огне или сигнале торможения могут изменяться.</w:t>
      </w:r>
    </w:p>
    <w:p w:rsidR="00042D90" w:rsidRPr="00B715ED" w:rsidRDefault="00042D90" w:rsidP="00042D90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ab/>
        <w:t>Задние боковые габаритные огни должны быть автожелтого цвета, если они работают в одном режиме с задним огнем указателя поворота.</w:t>
      </w:r>
    </w:p>
    <w:p w:rsidR="00042D90" w:rsidRDefault="00042D90" w:rsidP="00042D90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ab/>
        <w:t>Если факультативный боковой габаритный огонь группируется или комбинируется с габаритным огнем, который совмещен или сгруппирован с указателем поворота, то функциональная электрическая схема бокового габаритного огня на соответствующей стороне транспортного средства может быть такой, чтобы он выключался на весь период (цикл вкл./выкл.) работы огня указателя поворота».</w:t>
      </w:r>
    </w:p>
    <w:p w:rsidR="00042D90" w:rsidRPr="00E432DD" w:rsidRDefault="00042D90" w:rsidP="00042D90">
      <w:pPr>
        <w:spacing w:after="120"/>
        <w:ind w:left="2268" w:right="1467" w:hanging="1134"/>
        <w:jc w:val="both"/>
        <w:rPr>
          <w:rFonts w:eastAsia="Calibri"/>
        </w:rPr>
      </w:pPr>
      <w:r>
        <w:rPr>
          <w:i/>
          <w:iCs/>
        </w:rPr>
        <w:t>Пункт 6.26.9.2</w:t>
      </w:r>
      <w:r>
        <w:t xml:space="preserve"> изменить следующим образом:</w:t>
      </w:r>
    </w:p>
    <w:p w:rsidR="00042D90" w:rsidRDefault="00042D90" w:rsidP="00042D90">
      <w:pPr>
        <w:pStyle w:val="SingleTxtGR"/>
        <w:ind w:left="2268" w:hanging="1134"/>
      </w:pPr>
      <w:r>
        <w:t xml:space="preserve">«6.26.9.2 </w:t>
      </w:r>
      <w:r>
        <w:tab/>
        <w:t xml:space="preserve">По просьбе подателя заявки и с согласия технической службы выполнение пункта 6.26.9.1 может быть проверено при помощи чертежей или посредством моделирования либо его считают выполненным, если условия установки соответствуют пункту </w:t>
      </w:r>
      <w:r w:rsidRPr="004454F3">
        <w:t>6.2.2</w:t>
      </w:r>
      <w:r>
        <w:t xml:space="preserve"> Правил № 23 ООН, как указано в карточке сообщения в пункте 9 приложения 1».</w:t>
      </w:r>
    </w:p>
    <w:p w:rsidR="00E12C5F" w:rsidRPr="00042D90" w:rsidRDefault="00042D90" w:rsidP="00042D9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42D90" w:rsidSect="00042D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1E3" w:rsidRPr="00A312BC" w:rsidRDefault="00A211E3" w:rsidP="00A312BC"/>
  </w:endnote>
  <w:endnote w:type="continuationSeparator" w:id="0">
    <w:p w:rsidR="00A211E3" w:rsidRPr="00A312BC" w:rsidRDefault="00A211E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D90" w:rsidRPr="00042D90" w:rsidRDefault="00042D90">
    <w:pPr>
      <w:pStyle w:val="Footer"/>
    </w:pPr>
    <w:r w:rsidRPr="00042D90">
      <w:rPr>
        <w:b/>
        <w:sz w:val="18"/>
      </w:rPr>
      <w:fldChar w:fldCharType="begin"/>
    </w:r>
    <w:r w:rsidRPr="00042D90">
      <w:rPr>
        <w:b/>
        <w:sz w:val="18"/>
      </w:rPr>
      <w:instrText xml:space="preserve"> PAGE  \* MERGEFORMAT </w:instrText>
    </w:r>
    <w:r w:rsidRPr="00042D90">
      <w:rPr>
        <w:b/>
        <w:sz w:val="18"/>
      </w:rPr>
      <w:fldChar w:fldCharType="separate"/>
    </w:r>
    <w:r w:rsidR="00B71ACE">
      <w:rPr>
        <w:b/>
        <w:noProof/>
        <w:sz w:val="18"/>
      </w:rPr>
      <w:t>4</w:t>
    </w:r>
    <w:r w:rsidRPr="00042D90">
      <w:rPr>
        <w:b/>
        <w:sz w:val="18"/>
      </w:rPr>
      <w:fldChar w:fldCharType="end"/>
    </w:r>
    <w:r>
      <w:rPr>
        <w:b/>
        <w:sz w:val="18"/>
      </w:rPr>
      <w:tab/>
    </w:r>
    <w:r>
      <w:t>GE.18-13744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D90" w:rsidRPr="00042D90" w:rsidRDefault="00042D90" w:rsidP="00042D90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GE.18-13744</w:t>
    </w:r>
    <w:r>
      <w:tab/>
    </w:r>
    <w:r w:rsidRPr="00042D90">
      <w:rPr>
        <w:b/>
        <w:sz w:val="18"/>
      </w:rPr>
      <w:fldChar w:fldCharType="begin"/>
    </w:r>
    <w:r w:rsidRPr="00042D90">
      <w:rPr>
        <w:b/>
        <w:sz w:val="18"/>
      </w:rPr>
      <w:instrText xml:space="preserve"> PAGE  \* MERGEFORMAT </w:instrText>
    </w:r>
    <w:r w:rsidRPr="00042D90">
      <w:rPr>
        <w:b/>
        <w:sz w:val="18"/>
      </w:rPr>
      <w:fldChar w:fldCharType="separate"/>
    </w:r>
    <w:r w:rsidR="00B71ACE">
      <w:rPr>
        <w:b/>
        <w:noProof/>
        <w:sz w:val="18"/>
      </w:rPr>
      <w:t>3</w:t>
    </w:r>
    <w:r w:rsidRPr="00042D9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42D90" w:rsidRDefault="00042D90" w:rsidP="00042D9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18-13744  (R)</w:t>
    </w:r>
    <w:r>
      <w:rPr>
        <w:lang w:val="en-US"/>
      </w:rPr>
      <w:t xml:space="preserve">  240818  270818</w:t>
    </w:r>
    <w:r>
      <w:br/>
    </w:r>
    <w:r w:rsidRPr="00042D90">
      <w:rPr>
        <w:rFonts w:ascii="C39T30Lfz" w:hAnsi="C39T30Lfz"/>
        <w:kern w:val="14"/>
        <w:sz w:val="56"/>
      </w:rPr>
      <w:t></w:t>
    </w:r>
    <w:r w:rsidRPr="00042D90">
      <w:rPr>
        <w:rFonts w:ascii="C39T30Lfz" w:hAnsi="C39T30Lfz"/>
        <w:kern w:val="14"/>
        <w:sz w:val="56"/>
      </w:rPr>
      <w:t></w:t>
    </w:r>
    <w:r w:rsidRPr="00042D90">
      <w:rPr>
        <w:rFonts w:ascii="C39T30Lfz" w:hAnsi="C39T30Lfz"/>
        <w:kern w:val="14"/>
        <w:sz w:val="56"/>
      </w:rPr>
      <w:t></w:t>
    </w:r>
    <w:r w:rsidRPr="00042D90">
      <w:rPr>
        <w:rFonts w:ascii="C39T30Lfz" w:hAnsi="C39T30Lfz"/>
        <w:kern w:val="14"/>
        <w:sz w:val="56"/>
      </w:rPr>
      <w:t></w:t>
    </w:r>
    <w:r w:rsidRPr="00042D90">
      <w:rPr>
        <w:rFonts w:ascii="C39T30Lfz" w:hAnsi="C39T30Lfz"/>
        <w:kern w:val="14"/>
        <w:sz w:val="56"/>
      </w:rPr>
      <w:t></w:t>
    </w:r>
    <w:r w:rsidRPr="00042D90">
      <w:rPr>
        <w:rFonts w:ascii="C39T30Lfz" w:hAnsi="C39T30Lfz"/>
        <w:kern w:val="14"/>
        <w:sz w:val="56"/>
      </w:rPr>
      <w:t></w:t>
    </w:r>
    <w:r w:rsidRPr="00042D90">
      <w:rPr>
        <w:rFonts w:ascii="C39T30Lfz" w:hAnsi="C39T30Lfz"/>
        <w:kern w:val="14"/>
        <w:sz w:val="56"/>
      </w:rPr>
      <w:t></w:t>
    </w:r>
    <w:r w:rsidRPr="00042D90">
      <w:rPr>
        <w:rFonts w:ascii="C39T30Lfz" w:hAnsi="C39T30Lfz"/>
        <w:kern w:val="14"/>
        <w:sz w:val="56"/>
      </w:rPr>
      <w:t></w:t>
    </w:r>
    <w:r w:rsidRPr="00042D9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8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8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1E3" w:rsidRPr="001075E9" w:rsidRDefault="00A211E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211E3" w:rsidRDefault="00A211E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42D90" w:rsidRPr="00706101" w:rsidRDefault="00042D90" w:rsidP="00042D90">
      <w:pPr>
        <w:pStyle w:val="FootnoteText"/>
      </w:pPr>
      <w:r>
        <w:tab/>
      </w:r>
      <w:r w:rsidRPr="00042D90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D90" w:rsidRPr="00042D90" w:rsidRDefault="0087039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71ACE">
      <w:t>ECE/TRANS/WP.29/2018/84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D90" w:rsidRPr="00042D90" w:rsidRDefault="0087039E" w:rsidP="00042D9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71ACE">
      <w:t>ECE/TRANS/WP.29/2018/84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33EE1"/>
    <w:rsid w:val="00042B72"/>
    <w:rsid w:val="00042D90"/>
    <w:rsid w:val="000558BD"/>
    <w:rsid w:val="00066A61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4E74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1A71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2692"/>
    <w:rsid w:val="00806737"/>
    <w:rsid w:val="008158FE"/>
    <w:rsid w:val="00825F8D"/>
    <w:rsid w:val="00834B71"/>
    <w:rsid w:val="0086445C"/>
    <w:rsid w:val="0087039E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211E3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1ACE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0AED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31A1FE4-978E-47C8-9D23-6372AF6F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042D90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042D9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042D9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042D90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042D90"/>
    <w:rPr>
      <w:lang w:val="en-GB" w:eastAsia="en-US"/>
    </w:rPr>
  </w:style>
  <w:style w:type="character" w:customStyle="1" w:styleId="HChGChar">
    <w:name w:val="_ H _Ch_G Char"/>
    <w:link w:val="HChG"/>
    <w:rsid w:val="00042D90"/>
    <w:rPr>
      <w:b/>
      <w:sz w:val="28"/>
      <w:lang w:val="en-GB" w:eastAsia="en-US"/>
    </w:rPr>
  </w:style>
  <w:style w:type="paragraph" w:customStyle="1" w:styleId="para">
    <w:name w:val="para"/>
    <w:basedOn w:val="SingleTxtG"/>
    <w:link w:val="paraChar"/>
    <w:qFormat/>
    <w:rsid w:val="00042D90"/>
    <w:pPr>
      <w:ind w:left="2268" w:hanging="1134"/>
    </w:pPr>
  </w:style>
  <w:style w:type="character" w:customStyle="1" w:styleId="paraChar">
    <w:name w:val="para Char"/>
    <w:link w:val="para"/>
    <w:rsid w:val="00042D9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ECE/TRANS/WP.29/2018/84</vt:lpstr>
      <vt:lpstr>ECE/TRANS/WP.29/2018/84</vt:lpstr>
      <vt:lpstr>A/</vt:lpstr>
    </vt:vector>
  </TitlesOfParts>
  <Company>DCM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ECE/TRANS/WP.29/2018/84</dc:title>
  <dc:subject/>
  <dc:creator>Elena IZOTOVA</dc:creator>
  <cp:keywords/>
  <cp:lastModifiedBy>Secretariat</cp:lastModifiedBy>
  <cp:revision>2</cp:revision>
  <cp:lastPrinted>2018-08-27T08:46:00Z</cp:lastPrinted>
  <dcterms:created xsi:type="dcterms:W3CDTF">2018-10-18T13:06:00Z</dcterms:created>
  <dcterms:modified xsi:type="dcterms:W3CDTF">2018-10-18T13:06:00Z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