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7790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7790C" w:rsidP="0037790C">
            <w:pPr>
              <w:jc w:val="right"/>
            </w:pPr>
            <w:r w:rsidRPr="0037790C">
              <w:rPr>
                <w:sz w:val="40"/>
              </w:rPr>
              <w:t>ECE</w:t>
            </w:r>
            <w:r>
              <w:t>/TRANS/WP.29/2018/87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7790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7790C" w:rsidRDefault="0037790C" w:rsidP="0037790C">
            <w:pPr>
              <w:spacing w:line="240" w:lineRule="exact"/>
            </w:pPr>
            <w:r>
              <w:t>24 août 2018</w:t>
            </w:r>
          </w:p>
          <w:p w:rsidR="0037790C" w:rsidRDefault="0037790C" w:rsidP="0037790C">
            <w:pPr>
              <w:spacing w:line="240" w:lineRule="exact"/>
            </w:pPr>
            <w:r>
              <w:t>Français</w:t>
            </w:r>
          </w:p>
          <w:p w:rsidR="0037790C" w:rsidRPr="00DB58B5" w:rsidRDefault="0037790C" w:rsidP="0037790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2272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7790C" w:rsidRDefault="0037790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2272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7790C" w:rsidRDefault="0037790C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7790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7790C" w:rsidRDefault="0037790C" w:rsidP="00AF0CB5">
      <w:pPr>
        <w:spacing w:line="240" w:lineRule="exact"/>
      </w:pPr>
      <w:r>
        <w:t>Genève, 13-16 novembre 2018</w:t>
      </w:r>
    </w:p>
    <w:p w:rsidR="00F9573C" w:rsidRDefault="0037790C" w:rsidP="0037790C">
      <w:pPr>
        <w:spacing w:line="240" w:lineRule="exact"/>
      </w:pPr>
      <w:r>
        <w:t>Point 4.6.5 de l</w:t>
      </w:r>
      <w:r w:rsidR="00422720">
        <w:t>’</w:t>
      </w:r>
      <w:r>
        <w:t>ordre du jour provisoire</w:t>
      </w:r>
    </w:p>
    <w:p w:rsidR="00422720" w:rsidRPr="00EF4975" w:rsidRDefault="00422720" w:rsidP="00422720">
      <w:pPr>
        <w:rPr>
          <w:b/>
        </w:rPr>
      </w:pPr>
      <w:r w:rsidRPr="00EF4975">
        <w:rPr>
          <w:b/>
        </w:rPr>
        <w:t>Accord de 1958 :</w:t>
      </w:r>
      <w:r>
        <w:rPr>
          <w:b/>
        </w:rPr>
        <w:br/>
      </w:r>
      <w:r w:rsidRPr="00EF4975">
        <w:rPr>
          <w:b/>
        </w:rPr>
        <w:t>Examen de projets d</w:t>
      </w:r>
      <w:r>
        <w:rPr>
          <w:b/>
        </w:rPr>
        <w:t>’</w:t>
      </w:r>
      <w:r w:rsidRPr="00EF4975">
        <w:rPr>
          <w:b/>
        </w:rPr>
        <w:t>amendements à des Règlements</w:t>
      </w:r>
      <w:r>
        <w:rPr>
          <w:b/>
        </w:rPr>
        <w:t xml:space="preserve"> ONU</w:t>
      </w:r>
      <w:r w:rsidRPr="00EF4975">
        <w:rPr>
          <w:b/>
        </w:rPr>
        <w:t xml:space="preserve"> </w:t>
      </w:r>
      <w:r>
        <w:rPr>
          <w:b/>
        </w:rPr>
        <w:br/>
      </w:r>
      <w:r w:rsidRPr="00EF4975">
        <w:rPr>
          <w:b/>
        </w:rPr>
        <w:t>existants,</w:t>
      </w:r>
      <w:r>
        <w:rPr>
          <w:b/>
        </w:rPr>
        <w:t xml:space="preserve"> </w:t>
      </w:r>
      <w:r w:rsidRPr="00EF4975">
        <w:rPr>
          <w:b/>
        </w:rPr>
        <w:t>soumis par le GRE</w:t>
      </w:r>
    </w:p>
    <w:p w:rsidR="00422720" w:rsidRPr="00BC41C2" w:rsidRDefault="00422720" w:rsidP="00422720">
      <w:pPr>
        <w:pStyle w:val="HChG"/>
      </w:pPr>
      <w:r w:rsidRPr="00EF4975">
        <w:tab/>
      </w:r>
      <w:r w:rsidRPr="00EF4975">
        <w:tab/>
      </w:r>
      <w:r w:rsidRPr="00BC41C2">
        <w:t>Proposition de complément 20 à la série 01 d</w:t>
      </w:r>
      <w:r>
        <w:t>’</w:t>
      </w:r>
      <w:r w:rsidRPr="00BC41C2">
        <w:t xml:space="preserve">amendements au Règlement ONU </w:t>
      </w:r>
      <w:r>
        <w:t>n</w:t>
      </w:r>
      <w:r w:rsidRPr="00A04DAD">
        <w:rPr>
          <w:vertAlign w:val="superscript"/>
        </w:rPr>
        <w:t>o</w:t>
      </w:r>
      <w:r>
        <w:t> </w:t>
      </w:r>
      <w:r w:rsidRPr="00BC41C2">
        <w:t xml:space="preserve">53 </w:t>
      </w:r>
      <w:r>
        <w:t xml:space="preserve">(Installation des </w:t>
      </w:r>
      <w:r w:rsidRPr="00EE3238">
        <w:t>dispositifs d</w:t>
      </w:r>
      <w:r>
        <w:t>’</w:t>
      </w:r>
      <w:r w:rsidRPr="00EE3238">
        <w:t xml:space="preserve">éclairage et de signalisation </w:t>
      </w:r>
      <w:r w:rsidRPr="00422720">
        <w:t>lumineuse</w:t>
      </w:r>
      <w:r w:rsidRPr="00EE3238">
        <w:t xml:space="preserve"> sur les </w:t>
      </w:r>
      <w:r>
        <w:br/>
      </w:r>
      <w:r w:rsidRPr="00EE3238">
        <w:t>véhicules de la catégorie L</w:t>
      </w:r>
      <w:r w:rsidRPr="00EE3238">
        <w:rPr>
          <w:vertAlign w:val="subscript"/>
        </w:rPr>
        <w:t>3</w:t>
      </w:r>
      <w:r w:rsidRPr="00EE3238">
        <w:t>)</w:t>
      </w:r>
    </w:p>
    <w:p w:rsidR="00422720" w:rsidRPr="00BC41C2" w:rsidRDefault="00422720" w:rsidP="00422720">
      <w:pPr>
        <w:pStyle w:val="H1G"/>
        <w:rPr>
          <w:szCs w:val="24"/>
        </w:rPr>
      </w:pPr>
      <w:r>
        <w:tab/>
      </w:r>
      <w:r>
        <w:tab/>
        <w:t xml:space="preserve">Communication du Groupe de travail de </w:t>
      </w:r>
      <w:r w:rsidRPr="00422720">
        <w:t>l</w:t>
      </w:r>
      <w:r>
        <w:t>’</w:t>
      </w:r>
      <w:r w:rsidRPr="00422720">
        <w:t>éclairage</w:t>
      </w:r>
      <w:r>
        <w:t xml:space="preserve"> et </w:t>
      </w:r>
      <w:r>
        <w:br/>
        <w:t>de la signalisation lumineuse</w:t>
      </w:r>
      <w:r w:rsidRPr="0042272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2720" w:rsidRDefault="00422720" w:rsidP="00422720">
      <w:pPr>
        <w:pStyle w:val="SingleTxtG"/>
      </w:pPr>
      <w:r>
        <w:tab/>
        <w:t xml:space="preserve">Le texte reproduit ci-après a </w:t>
      </w:r>
      <w:r w:rsidRPr="00422720">
        <w:t>été</w:t>
      </w:r>
      <w:r>
        <w:t xml:space="preserve"> adopté par le Groupe de travail de l’éclairage et de la signalisation lumineuse (GRE) à sa soixante-dix-neuvième session</w:t>
      </w:r>
      <w:r w:rsidRPr="00E24068">
        <w:t xml:space="preserve"> (ECE/TRANS/</w:t>
      </w:r>
      <w:r>
        <w:t xml:space="preserve"> </w:t>
      </w:r>
      <w:r w:rsidRPr="00E24068">
        <w:t>WP.29/GRE/79</w:t>
      </w:r>
      <w:r>
        <w:t>, par. </w:t>
      </w:r>
      <w:r w:rsidRPr="00E24068">
        <w:t xml:space="preserve">36 </w:t>
      </w:r>
      <w:r>
        <w:t>et</w:t>
      </w:r>
      <w:r w:rsidRPr="00E24068">
        <w:t xml:space="preserve"> 38). Il est fondé sur les documents ECE/TRANS/WP.29/</w:t>
      </w:r>
      <w:r>
        <w:t xml:space="preserve"> </w:t>
      </w:r>
      <w:r w:rsidRPr="00E24068">
        <w:t xml:space="preserve">GRE/2017/26 </w:t>
      </w:r>
      <w:r>
        <w:t>et</w:t>
      </w:r>
      <w:r w:rsidRPr="00E24068">
        <w:t xml:space="preserve"> ECE/TRANS/WP.29/GRE/2018/29. </w:t>
      </w:r>
      <w:r>
        <w:t>Il est soumis au Forum mondial de l’harmonisation des Règlements concernant les véhicules (WP.29) et au Comité d’administration (AC.1) pour examen à leurs sessions de novembre 2018.</w:t>
      </w:r>
      <w:bookmarkStart w:id="1" w:name="_Toc354410587"/>
    </w:p>
    <w:p w:rsidR="00422720" w:rsidRPr="00E24068" w:rsidRDefault="00422720" w:rsidP="00422720">
      <w:pPr>
        <w:pStyle w:val="HChG"/>
      </w:pPr>
      <w:r w:rsidRPr="00E24068">
        <w:br w:type="page"/>
      </w:r>
      <w:r w:rsidRPr="00E24068">
        <w:lastRenderedPageBreak/>
        <w:tab/>
      </w:r>
      <w:bookmarkStart w:id="2" w:name="_Toc473483449"/>
      <w:bookmarkEnd w:id="1"/>
      <w:r w:rsidRPr="00E24068">
        <w:tab/>
      </w:r>
      <w:r>
        <w:t>C</w:t>
      </w:r>
      <w:r w:rsidRPr="00BC41C2">
        <w:t>omplément 20 à la série 01 d</w:t>
      </w:r>
      <w:r>
        <w:t>’</w:t>
      </w:r>
      <w:r w:rsidRPr="00BC41C2">
        <w:t xml:space="preserve">amendements au </w:t>
      </w:r>
      <w:r>
        <w:br/>
      </w:r>
      <w:r w:rsidRPr="00BC41C2">
        <w:t xml:space="preserve">Règlement ONU </w:t>
      </w:r>
      <w:r>
        <w:t>n</w:t>
      </w:r>
      <w:r w:rsidRPr="00A04DAD">
        <w:rPr>
          <w:vertAlign w:val="superscript"/>
        </w:rPr>
        <w:t>o</w:t>
      </w:r>
      <w:r>
        <w:t> </w:t>
      </w:r>
      <w:r w:rsidRPr="00BC41C2">
        <w:t xml:space="preserve">53 </w:t>
      </w:r>
      <w:r>
        <w:t xml:space="preserve">(Installation des </w:t>
      </w:r>
      <w:r w:rsidRPr="00EE3238">
        <w:t xml:space="preserve">dispositifs </w:t>
      </w:r>
      <w:r>
        <w:br/>
      </w:r>
      <w:r w:rsidRPr="00EE3238">
        <w:t>d</w:t>
      </w:r>
      <w:r>
        <w:t>’</w:t>
      </w:r>
      <w:r w:rsidRPr="00EE3238">
        <w:t xml:space="preserve">éclairage et de signalisation lumineuse sur les </w:t>
      </w:r>
      <w:r>
        <w:br/>
      </w:r>
      <w:r w:rsidRPr="00EE3238">
        <w:t>véhicules de la catégorie L</w:t>
      </w:r>
      <w:r w:rsidRPr="00EE3238">
        <w:rPr>
          <w:vertAlign w:val="subscript"/>
        </w:rPr>
        <w:t>3</w:t>
      </w:r>
      <w:r w:rsidRPr="00EE3238">
        <w:t>)</w:t>
      </w:r>
    </w:p>
    <w:bookmarkEnd w:id="2"/>
    <w:p w:rsidR="00422720" w:rsidRPr="00422720" w:rsidRDefault="00422720" w:rsidP="00422720">
      <w:pPr>
        <w:pStyle w:val="SingleTxtG"/>
      </w:pPr>
      <w:r w:rsidRPr="00422720">
        <w:rPr>
          <w:i/>
          <w:lang w:val="fr-FR"/>
        </w:rPr>
        <w:t>Paragraphe 2.5.9</w:t>
      </w:r>
      <w:r w:rsidRPr="006263D8">
        <w:rPr>
          <w:lang w:val="fr-FR"/>
        </w:rPr>
        <w:t>,</w:t>
      </w:r>
      <w:r>
        <w:rPr>
          <w:lang w:val="fr-FR"/>
        </w:rPr>
        <w:t xml:space="preserve"> lire</w:t>
      </w:r>
      <w:r w:rsidR="00CA3B80">
        <w:rPr>
          <w:lang w:val="fr-FR"/>
        </w:rPr>
        <w:t> </w:t>
      </w:r>
      <w:r>
        <w:rPr>
          <w:lang w:val="fr-FR"/>
        </w:rPr>
        <w:t>:</w:t>
      </w:r>
    </w:p>
    <w:p w:rsidR="00422720" w:rsidRPr="006263D8" w:rsidRDefault="00422720" w:rsidP="00422720">
      <w:pPr>
        <w:pStyle w:val="SingleTxtG"/>
        <w:ind w:left="2268" w:hanging="1134"/>
        <w:rPr>
          <w:i/>
          <w:iCs/>
          <w:lang w:val="fr-FR"/>
        </w:rPr>
      </w:pPr>
      <w:r>
        <w:rPr>
          <w:rFonts w:eastAsia="MS Mincho"/>
          <w:lang w:val="fr-FR"/>
        </w:rPr>
        <w:t>« 2.5.9</w:t>
      </w:r>
      <w:r w:rsidRPr="006263D8">
        <w:rPr>
          <w:rFonts w:eastAsia="MS Mincho"/>
          <w:lang w:val="fr-FR"/>
        </w:rPr>
        <w:tab/>
      </w:r>
      <w:r>
        <w:rPr>
          <w:rFonts w:eastAsia="MS Mincho"/>
          <w:lang w:val="fr-FR"/>
        </w:rPr>
        <w:tab/>
      </w:r>
      <w:r>
        <w:rPr>
          <w:lang w:val="fr-FR"/>
        </w:rPr>
        <w:t>“Feu-</w:t>
      </w:r>
      <w:r w:rsidRPr="006263D8">
        <w:rPr>
          <w:lang w:val="fr-FR"/>
        </w:rPr>
        <w:t xml:space="preserve">stop”, le feu servant à indiquer aux autres usagers de la route qui se trouvent derrière le véhicule que </w:t>
      </w:r>
      <w:r w:rsidRPr="00E649F1">
        <w:rPr>
          <w:lang w:val="fr-FR"/>
        </w:rPr>
        <w:t>son déplacement longitudinal est volontairement ralenti.</w:t>
      </w:r>
      <w:r w:rsidRPr="00422720">
        <w:rPr>
          <w:lang w:val="fr-FR"/>
        </w:rPr>
        <w:t> </w:t>
      </w:r>
      <w:r w:rsidRPr="00FC405F">
        <w:rPr>
          <w:lang w:val="fr-FR"/>
        </w:rPr>
        <w:t>».</w:t>
      </w:r>
    </w:p>
    <w:p w:rsidR="00422720" w:rsidRPr="00362509" w:rsidRDefault="00422720" w:rsidP="00422720">
      <w:pPr>
        <w:pStyle w:val="SingleTxtG"/>
        <w:rPr>
          <w:kern w:val="24"/>
        </w:rPr>
      </w:pPr>
      <w:r w:rsidRPr="00362509">
        <w:rPr>
          <w:i/>
          <w:color w:val="000000" w:themeColor="text1"/>
          <w:kern w:val="24"/>
        </w:rPr>
        <w:t>Paragraphe 6.3.7</w:t>
      </w:r>
      <w:r w:rsidRPr="00422720">
        <w:rPr>
          <w:color w:val="000000" w:themeColor="text1"/>
          <w:kern w:val="24"/>
        </w:rPr>
        <w:t>,</w:t>
      </w:r>
      <w:r w:rsidRPr="00362509">
        <w:rPr>
          <w:color w:val="000000" w:themeColor="text1"/>
          <w:kern w:val="24"/>
        </w:rPr>
        <w:t xml:space="preserve"> supprimer.</w:t>
      </w:r>
    </w:p>
    <w:p w:rsidR="00422720" w:rsidRPr="00362509" w:rsidRDefault="00422720" w:rsidP="00422720">
      <w:pPr>
        <w:spacing w:after="120"/>
        <w:ind w:leftChars="567" w:left="1134" w:right="1134"/>
        <w:jc w:val="both"/>
        <w:rPr>
          <w:i/>
        </w:rPr>
      </w:pPr>
      <w:r>
        <w:rPr>
          <w:i/>
          <w:color w:val="000000" w:themeColor="text1"/>
        </w:rPr>
        <w:t xml:space="preserve">Les paragraphes 6.3.8 à 6.3.9.4 </w:t>
      </w:r>
      <w:r>
        <w:rPr>
          <w:color w:val="000000" w:themeColor="text1"/>
        </w:rPr>
        <w:t>deviennent les paragraphes 6.3.7 à 6.3.8.4.</w:t>
      </w:r>
    </w:p>
    <w:p w:rsidR="00422720" w:rsidRPr="006263D8" w:rsidRDefault="00422720" w:rsidP="00422720">
      <w:pPr>
        <w:pStyle w:val="SingleTxtG"/>
        <w:rPr>
          <w:i/>
          <w:iCs/>
          <w:lang w:val="fr-FR"/>
        </w:rPr>
      </w:pPr>
      <w:r w:rsidRPr="006263D8">
        <w:rPr>
          <w:i/>
          <w:iCs/>
          <w:lang w:val="fr-FR"/>
        </w:rPr>
        <w:t>Paragraphe 6.4.6</w:t>
      </w:r>
      <w:r w:rsidRPr="00FC405F">
        <w:rPr>
          <w:iCs/>
          <w:lang w:val="fr-FR"/>
        </w:rPr>
        <w:t>,</w:t>
      </w:r>
      <w:r w:rsidRPr="006263D8">
        <w:rPr>
          <w:lang w:val="fr-FR"/>
        </w:rPr>
        <w:t xml:space="preserve"> </w:t>
      </w:r>
      <w:r w:rsidRPr="00422720">
        <w:t>lire</w:t>
      </w:r>
      <w:r w:rsidR="00CA3B80">
        <w:rPr>
          <w:lang w:val="fr-FR"/>
        </w:rPr>
        <w:t> </w:t>
      </w:r>
      <w:r>
        <w:rPr>
          <w:lang w:val="fr-FR"/>
        </w:rPr>
        <w:t>:</w:t>
      </w:r>
    </w:p>
    <w:p w:rsidR="00422720" w:rsidRPr="006263D8" w:rsidRDefault="00422720" w:rsidP="00422720">
      <w:pPr>
        <w:pStyle w:val="SingleTxtG"/>
        <w:ind w:left="2268" w:hanging="1134"/>
        <w:rPr>
          <w:color w:val="000000"/>
          <w:lang w:val="fr-FR" w:eastAsia="ja-JP"/>
        </w:rPr>
      </w:pPr>
      <w:r>
        <w:rPr>
          <w:color w:val="000000"/>
          <w:lang w:val="fr-FR" w:eastAsia="ja-JP"/>
        </w:rPr>
        <w:t>« 6.4.6</w:t>
      </w:r>
      <w:r w:rsidRPr="006263D8">
        <w:rPr>
          <w:color w:val="000000"/>
          <w:lang w:val="fr-FR" w:eastAsia="ja-JP"/>
        </w:rPr>
        <w:tab/>
      </w:r>
      <w:r w:rsidRPr="006263D8">
        <w:rPr>
          <w:lang w:val="fr-FR"/>
        </w:rPr>
        <w:t>Branchements électriques</w:t>
      </w:r>
    </w:p>
    <w:p w:rsidR="00422720" w:rsidRPr="006263D8" w:rsidRDefault="00422720" w:rsidP="00422720">
      <w:pPr>
        <w:pStyle w:val="SingleTxtG"/>
        <w:ind w:left="2268" w:hanging="1134"/>
        <w:rPr>
          <w:color w:val="000000"/>
          <w:lang w:val="fr-FR" w:eastAsia="ja-JP"/>
        </w:rPr>
      </w:pPr>
      <w:r>
        <w:rPr>
          <w:color w:val="000000"/>
          <w:lang w:val="fr-FR" w:eastAsia="ja-JP"/>
        </w:rPr>
        <w:t>6.4.6.1</w:t>
      </w:r>
      <w:r w:rsidRPr="006263D8">
        <w:rPr>
          <w:color w:val="000000"/>
          <w:lang w:val="fr-FR" w:eastAsia="ja-JP"/>
        </w:rPr>
        <w:tab/>
      </w:r>
      <w:r>
        <w:rPr>
          <w:lang w:val="fr-FR"/>
        </w:rPr>
        <w:t>Tous les feux-</w:t>
      </w:r>
      <w:r w:rsidRPr="006263D8">
        <w:rPr>
          <w:lang w:val="fr-FR"/>
        </w:rPr>
        <w:t>stop doivent s</w:t>
      </w:r>
      <w:r>
        <w:rPr>
          <w:lang w:val="fr-FR"/>
        </w:rPr>
        <w:t>’</w:t>
      </w:r>
      <w:r w:rsidRPr="006263D8">
        <w:rPr>
          <w:lang w:val="fr-FR"/>
        </w:rPr>
        <w:t xml:space="preserve">allumer </w:t>
      </w:r>
      <w:r>
        <w:rPr>
          <w:lang w:val="fr-FR"/>
        </w:rPr>
        <w:t xml:space="preserve">simultanément </w:t>
      </w:r>
      <w:r w:rsidRPr="00362509">
        <w:rPr>
          <w:bCs/>
          <w:color w:val="000000"/>
          <w:lang w:val="fr-FR" w:eastAsia="ja-JP"/>
        </w:rPr>
        <w:t xml:space="preserve">lorsque le système de freinage émet le signal de freinage défini dans le Règlement </w:t>
      </w:r>
      <w:r>
        <w:rPr>
          <w:bCs/>
          <w:color w:val="000000"/>
          <w:lang w:val="fr-FR" w:eastAsia="ja-JP"/>
        </w:rPr>
        <w:t xml:space="preserve">ONU </w:t>
      </w:r>
      <w:r w:rsidRPr="00362509">
        <w:rPr>
          <w:bCs/>
          <w:color w:val="000000"/>
          <w:lang w:val="fr-FR" w:eastAsia="ja-JP"/>
        </w:rPr>
        <w:t>n</w:t>
      </w:r>
      <w:r w:rsidR="00BD5E0A">
        <w:rPr>
          <w:bCs/>
          <w:color w:val="000000"/>
          <w:vertAlign w:val="superscript"/>
          <w:lang w:val="fr-FR" w:eastAsia="ja-JP"/>
        </w:rPr>
        <w:t>o</w:t>
      </w:r>
      <w:r w:rsidR="00BD5E0A">
        <w:rPr>
          <w:bCs/>
          <w:color w:val="000000"/>
          <w:lang w:val="fr-FR" w:eastAsia="ja-JP"/>
        </w:rPr>
        <w:t> </w:t>
      </w:r>
      <w:r w:rsidRPr="00362509">
        <w:rPr>
          <w:bCs/>
          <w:color w:val="000000"/>
          <w:lang w:val="fr-FR" w:eastAsia="ja-JP"/>
        </w:rPr>
        <w:t>78.</w:t>
      </w:r>
    </w:p>
    <w:p w:rsidR="00422720" w:rsidRDefault="00422720" w:rsidP="00422720">
      <w:pPr>
        <w:pStyle w:val="SingleTxtG"/>
        <w:ind w:left="2268" w:hanging="1134"/>
        <w:rPr>
          <w:bCs/>
          <w:color w:val="000000"/>
          <w:lang w:val="fr-FR" w:eastAsia="ja-JP"/>
        </w:rPr>
      </w:pPr>
      <w:r w:rsidRPr="00362509">
        <w:rPr>
          <w:bCs/>
          <w:color w:val="000000"/>
          <w:lang w:val="fr-FR" w:eastAsia="ja-JP"/>
        </w:rPr>
        <w:t>6.4.6.2</w:t>
      </w:r>
      <w:r w:rsidRPr="00362509">
        <w:rPr>
          <w:bCs/>
          <w:color w:val="000000"/>
          <w:lang w:val="fr-FR" w:eastAsia="ja-JP"/>
        </w:rPr>
        <w:tab/>
        <w:t xml:space="preserve">Il </w:t>
      </w:r>
      <w:r w:rsidRPr="00422720">
        <w:rPr>
          <w:lang w:val="fr-FR"/>
        </w:rPr>
        <w:t>n</w:t>
      </w:r>
      <w:r>
        <w:rPr>
          <w:lang w:val="fr-FR"/>
        </w:rPr>
        <w:t>’</w:t>
      </w:r>
      <w:r w:rsidRPr="00422720">
        <w:rPr>
          <w:lang w:val="fr-FR"/>
        </w:rPr>
        <w:t>est</w:t>
      </w:r>
      <w:r w:rsidRPr="00362509">
        <w:rPr>
          <w:bCs/>
          <w:color w:val="000000"/>
          <w:lang w:val="fr-FR" w:eastAsia="ja-JP"/>
        </w:rPr>
        <w:t xml:space="preserve"> pas nécessaire que les feux-stop s</w:t>
      </w:r>
      <w:r>
        <w:rPr>
          <w:bCs/>
          <w:color w:val="000000"/>
          <w:lang w:val="fr-FR" w:eastAsia="ja-JP"/>
        </w:rPr>
        <w:t>’</w:t>
      </w:r>
      <w:r w:rsidRPr="00362509">
        <w:rPr>
          <w:bCs/>
          <w:color w:val="000000"/>
          <w:lang w:val="fr-FR" w:eastAsia="ja-JP"/>
        </w:rPr>
        <w:t xml:space="preserve">allument si le dispositif </w:t>
      </w:r>
      <w:r w:rsidRPr="00362509">
        <w:rPr>
          <w:lang w:val="fr-FR"/>
        </w:rPr>
        <w:t>commandant</w:t>
      </w:r>
      <w:r w:rsidRPr="00362509">
        <w:rPr>
          <w:bCs/>
          <w:color w:val="000000"/>
          <w:lang w:val="fr-FR" w:eastAsia="ja-JP"/>
        </w:rPr>
        <w:t xml:space="preserve"> le démarrage et/ou l</w:t>
      </w:r>
      <w:r>
        <w:rPr>
          <w:bCs/>
          <w:color w:val="000000"/>
          <w:lang w:val="fr-FR" w:eastAsia="ja-JP"/>
        </w:rPr>
        <w:t>’</w:t>
      </w:r>
      <w:r w:rsidRPr="00362509">
        <w:rPr>
          <w:bCs/>
          <w:color w:val="000000"/>
          <w:lang w:val="fr-FR" w:eastAsia="ja-JP"/>
        </w:rPr>
        <w:t>arrêt du moteur (système de propulsion) se trouve dans une position qui rend impossible le fonctionnement du moteur (système de propulsion). ».</w:t>
      </w:r>
    </w:p>
    <w:p w:rsidR="0037790C" w:rsidRPr="00422720" w:rsidRDefault="00422720" w:rsidP="0042272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790C" w:rsidRPr="00422720" w:rsidSect="003779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14" w:rsidRDefault="00F57514" w:rsidP="00F95C08">
      <w:pPr>
        <w:spacing w:line="240" w:lineRule="auto"/>
      </w:pPr>
    </w:p>
  </w:endnote>
  <w:endnote w:type="continuationSeparator" w:id="0">
    <w:p w:rsidR="00F57514" w:rsidRPr="00AC3823" w:rsidRDefault="00F57514" w:rsidP="00AC3823">
      <w:pPr>
        <w:pStyle w:val="Footer"/>
      </w:pPr>
    </w:p>
  </w:endnote>
  <w:endnote w:type="continuationNotice" w:id="1">
    <w:p w:rsidR="00F57514" w:rsidRDefault="00F575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0C" w:rsidRPr="0037790C" w:rsidRDefault="0037790C" w:rsidP="0037790C">
    <w:pPr>
      <w:pStyle w:val="Footer"/>
      <w:tabs>
        <w:tab w:val="right" w:pos="9638"/>
      </w:tabs>
    </w:pPr>
    <w:r w:rsidRPr="0037790C">
      <w:rPr>
        <w:b/>
        <w:sz w:val="18"/>
      </w:rPr>
      <w:fldChar w:fldCharType="begin"/>
    </w:r>
    <w:r w:rsidRPr="0037790C">
      <w:rPr>
        <w:b/>
        <w:sz w:val="18"/>
      </w:rPr>
      <w:instrText xml:space="preserve"> PAGE  \* MERGEFORMAT </w:instrText>
    </w:r>
    <w:r w:rsidRPr="0037790C">
      <w:rPr>
        <w:b/>
        <w:sz w:val="18"/>
      </w:rPr>
      <w:fldChar w:fldCharType="separate"/>
    </w:r>
    <w:r w:rsidR="0037765A">
      <w:rPr>
        <w:b/>
        <w:noProof/>
        <w:sz w:val="18"/>
      </w:rPr>
      <w:t>2</w:t>
    </w:r>
    <w:r w:rsidRPr="0037790C">
      <w:rPr>
        <w:b/>
        <w:sz w:val="18"/>
      </w:rPr>
      <w:fldChar w:fldCharType="end"/>
    </w:r>
    <w:r>
      <w:rPr>
        <w:b/>
        <w:sz w:val="18"/>
      </w:rPr>
      <w:tab/>
    </w:r>
    <w:r>
      <w:t>GE.18-13885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0C" w:rsidRPr="0037790C" w:rsidRDefault="0037790C" w:rsidP="0037790C">
    <w:pPr>
      <w:pStyle w:val="Footer"/>
      <w:tabs>
        <w:tab w:val="right" w:pos="9638"/>
      </w:tabs>
      <w:rPr>
        <w:b/>
        <w:sz w:val="18"/>
      </w:rPr>
    </w:pPr>
    <w:r>
      <w:t>GE.18-13885</w:t>
    </w:r>
    <w:r>
      <w:tab/>
    </w:r>
    <w:r w:rsidRPr="0037790C">
      <w:rPr>
        <w:b/>
        <w:sz w:val="18"/>
      </w:rPr>
      <w:fldChar w:fldCharType="begin"/>
    </w:r>
    <w:r w:rsidRPr="0037790C">
      <w:rPr>
        <w:b/>
        <w:sz w:val="18"/>
      </w:rPr>
      <w:instrText xml:space="preserve"> PAGE  \* MERGEFORMAT </w:instrText>
    </w:r>
    <w:r w:rsidRPr="003779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779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7790C" w:rsidRDefault="0037790C" w:rsidP="0037790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13885  (</w:t>
    </w:r>
    <w:proofErr w:type="gramEnd"/>
    <w:r>
      <w:rPr>
        <w:sz w:val="20"/>
      </w:rPr>
      <w:t>F)</w:t>
    </w:r>
    <w:r w:rsidR="00422720">
      <w:rPr>
        <w:sz w:val="20"/>
      </w:rPr>
      <w:t xml:space="preserve">    200918    240918</w:t>
    </w:r>
    <w:r>
      <w:rPr>
        <w:sz w:val="20"/>
      </w:rPr>
      <w:br/>
    </w:r>
    <w:r w:rsidRPr="0037790C">
      <w:rPr>
        <w:rFonts w:ascii="C39T30Lfz" w:hAnsi="C39T30Lfz"/>
        <w:sz w:val="56"/>
      </w:rPr>
      <w:t></w:t>
    </w:r>
    <w:r w:rsidRPr="0037790C">
      <w:rPr>
        <w:rFonts w:ascii="C39T30Lfz" w:hAnsi="C39T30Lfz"/>
        <w:sz w:val="56"/>
      </w:rPr>
      <w:t></w:t>
    </w:r>
    <w:r w:rsidRPr="0037790C">
      <w:rPr>
        <w:rFonts w:ascii="C39T30Lfz" w:hAnsi="C39T30Lfz"/>
        <w:sz w:val="56"/>
      </w:rPr>
      <w:t></w:t>
    </w:r>
    <w:r w:rsidRPr="0037790C">
      <w:rPr>
        <w:rFonts w:ascii="C39T30Lfz" w:hAnsi="C39T30Lfz"/>
        <w:sz w:val="56"/>
      </w:rPr>
      <w:t></w:t>
    </w:r>
    <w:r w:rsidRPr="0037790C">
      <w:rPr>
        <w:rFonts w:ascii="C39T30Lfz" w:hAnsi="C39T30Lfz"/>
        <w:sz w:val="56"/>
      </w:rPr>
      <w:t></w:t>
    </w:r>
    <w:r w:rsidRPr="0037790C">
      <w:rPr>
        <w:rFonts w:ascii="C39T30Lfz" w:hAnsi="C39T30Lfz"/>
        <w:sz w:val="56"/>
      </w:rPr>
      <w:t></w:t>
    </w:r>
    <w:r w:rsidRPr="0037790C">
      <w:rPr>
        <w:rFonts w:ascii="C39T30Lfz" w:hAnsi="C39T30Lfz"/>
        <w:sz w:val="56"/>
      </w:rPr>
      <w:t></w:t>
    </w:r>
    <w:r w:rsidRPr="0037790C">
      <w:rPr>
        <w:rFonts w:ascii="C39T30Lfz" w:hAnsi="C39T30Lfz"/>
        <w:sz w:val="56"/>
      </w:rPr>
      <w:t></w:t>
    </w:r>
    <w:r w:rsidRPr="0037790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14" w:rsidRPr="00AC3823" w:rsidRDefault="00F575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7514" w:rsidRPr="00AC3823" w:rsidRDefault="00F575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7514" w:rsidRPr="00AC3823" w:rsidRDefault="00F57514">
      <w:pPr>
        <w:spacing w:line="240" w:lineRule="auto"/>
        <w:rPr>
          <w:sz w:val="2"/>
          <w:szCs w:val="2"/>
        </w:rPr>
      </w:pPr>
    </w:p>
  </w:footnote>
  <w:footnote w:id="2">
    <w:p w:rsidR="00422720" w:rsidRPr="00422720" w:rsidRDefault="00422720" w:rsidP="00422720">
      <w:pPr>
        <w:pStyle w:val="FootnoteText"/>
      </w:pPr>
      <w:r>
        <w:rPr>
          <w:rStyle w:val="FootnoteReference"/>
        </w:rPr>
        <w:tab/>
      </w:r>
      <w:r w:rsidRPr="0042272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22720">
        <w:t>Conformément au programme de travail du Comité des transports intérieurs pour la période 2018</w:t>
      </w:r>
      <w:r w:rsidRPr="00422720">
        <w:noBreakHyphen/>
        <w:t>2019</w:t>
      </w:r>
      <w: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0C" w:rsidRPr="0037790C" w:rsidRDefault="0046467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765A">
      <w:t>ECE/TRANS/WP.29/2018/87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0C" w:rsidRPr="0037790C" w:rsidRDefault="00464678" w:rsidP="003779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765A">
      <w:t>ECE/TRANS/WP.29/2018/87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1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7B45"/>
    <w:rsid w:val="0037765A"/>
    <w:rsid w:val="0037790C"/>
    <w:rsid w:val="003916DE"/>
    <w:rsid w:val="00421996"/>
    <w:rsid w:val="00422720"/>
    <w:rsid w:val="00441C3B"/>
    <w:rsid w:val="00446FE5"/>
    <w:rsid w:val="00452396"/>
    <w:rsid w:val="00464678"/>
    <w:rsid w:val="004837D8"/>
    <w:rsid w:val="004E2EED"/>
    <w:rsid w:val="004E468C"/>
    <w:rsid w:val="005505B7"/>
    <w:rsid w:val="00573BE5"/>
    <w:rsid w:val="00586362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D5E0A"/>
    <w:rsid w:val="00C02897"/>
    <w:rsid w:val="00C854CC"/>
    <w:rsid w:val="00C97039"/>
    <w:rsid w:val="00CA3B80"/>
    <w:rsid w:val="00D2446C"/>
    <w:rsid w:val="00D3439C"/>
    <w:rsid w:val="00DB1831"/>
    <w:rsid w:val="00DD3BFD"/>
    <w:rsid w:val="00DF6678"/>
    <w:rsid w:val="00E0299A"/>
    <w:rsid w:val="00E85C74"/>
    <w:rsid w:val="00EA6547"/>
    <w:rsid w:val="00ED09FF"/>
    <w:rsid w:val="00EF2E22"/>
    <w:rsid w:val="00F35BAF"/>
    <w:rsid w:val="00F57514"/>
    <w:rsid w:val="00F6562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6E752AC-502E-4AB9-A507-8264D9E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2272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42272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2272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ECE/TRANS/WP.29/2018/87</vt:lpstr>
      <vt:lpstr>ECE/TRANS/WP.29/2018/87</vt:lpstr>
    </vt:vector>
  </TitlesOfParts>
  <Company>DCM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ECE/TRANS/WP.29/2018/87</dc:title>
  <dc:subject/>
  <dc:creator>Isabelle VIGNY</dc:creator>
  <cp:keywords/>
  <cp:lastModifiedBy>Secretariat</cp:lastModifiedBy>
  <cp:revision>2</cp:revision>
  <cp:lastPrinted>2018-09-24T09:42:00Z</cp:lastPrinted>
  <dcterms:created xsi:type="dcterms:W3CDTF">2018-10-18T13:38:00Z</dcterms:created>
  <dcterms:modified xsi:type="dcterms:W3CDTF">2018-10-18T13:38:00Z</dcterms:modified>
</cp:coreProperties>
</file>