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CC310F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CC310F">
              <w:t>6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053578" w:rsidP="00E044BA">
            <w:pPr>
              <w:spacing w:line="240" w:lineRule="exact"/>
            </w:pPr>
            <w:r>
              <w:t>2</w:t>
            </w:r>
            <w:r w:rsidR="00A96F13" w:rsidRPr="00F60DE1">
              <w:t xml:space="preserve"> </w:t>
            </w:r>
            <w:r w:rsidR="00E9109C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E05ABD">
        <w:t>1</w:t>
      </w:r>
      <w:r w:rsidR="00CC310F">
        <w:t>4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9109C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</w:t>
      </w:r>
      <w:r w:rsidR="00CC310F">
        <w:t>1</w:t>
      </w:r>
      <w:r w:rsidR="00FE2BBC" w:rsidRPr="00FE2BBC">
        <w:t xml:space="preserve"> series of amendments to UN Regulation No. </w:t>
      </w:r>
      <w:r w:rsidR="00887D3D">
        <w:t>2</w:t>
      </w:r>
      <w:r w:rsidR="00CC310F">
        <w:t>3</w:t>
      </w:r>
      <w:r w:rsidR="00FE2BBC" w:rsidRPr="00FE2BBC">
        <w:t xml:space="preserve"> (</w:t>
      </w:r>
      <w:r w:rsidR="00CC310F">
        <w:t>Reversing lamps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9109C" w:rsidRDefault="00E9109C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CC310F" w:rsidRPr="00CC310F">
        <w:t>01 series of amendments to UN Regulation No. 23 (Reversing lamps)</w:t>
      </w:r>
      <w:r w:rsidR="00962893" w:rsidRPr="00962893">
        <w:rPr>
          <w:vertAlign w:val="superscript"/>
        </w:rPr>
        <w:footnoteReference w:id="3"/>
      </w:r>
    </w:p>
    <w:p w:rsidR="00CC310F" w:rsidRDefault="00CC310F" w:rsidP="00CC310F">
      <w:pPr>
        <w:pStyle w:val="SingleTxtG"/>
        <w:ind w:left="2259" w:hanging="1125"/>
      </w:pPr>
      <w:r>
        <w:rPr>
          <w:i/>
        </w:rPr>
        <w:t>Insert a new paragraph 13,</w:t>
      </w:r>
      <w:r w:rsidRPr="008723E1">
        <w:t xml:space="preserve"> </w:t>
      </w:r>
      <w:r w:rsidRPr="00E760F7">
        <w:t>to read:</w:t>
      </w:r>
    </w:p>
    <w:p w:rsidR="00CC310F" w:rsidRDefault="00332805" w:rsidP="00332805">
      <w:pPr>
        <w:pStyle w:val="HChG"/>
      </w:pPr>
      <w:r>
        <w:tab/>
      </w:r>
      <w:r>
        <w:tab/>
        <w:t>"</w:t>
      </w:r>
      <w:r w:rsidR="00CC310F">
        <w:t>13.</w:t>
      </w:r>
      <w:r w:rsidR="00CC310F">
        <w:tab/>
      </w:r>
      <w:r>
        <w:tab/>
      </w:r>
      <w:r w:rsidR="00CC310F">
        <w:t xml:space="preserve">Transitional </w:t>
      </w:r>
      <w:r>
        <w:t>p</w:t>
      </w:r>
      <w:r w:rsidR="00CC310F">
        <w:t>rovisions</w:t>
      </w:r>
    </w:p>
    <w:p w:rsidR="00CC310F" w:rsidRDefault="00CC310F" w:rsidP="00CC310F">
      <w:pPr>
        <w:pStyle w:val="SingleTxtG"/>
        <w:ind w:left="2259" w:hanging="1125"/>
      </w:pPr>
      <w:r>
        <w:t>13.1.</w:t>
      </w:r>
      <w:r>
        <w:tab/>
        <w:t xml:space="preserve">As </w:t>
      </w:r>
      <w:r w:rsidRPr="00700C92">
        <w:t xml:space="preserve">from [24] months after the official date of entry into force of </w:t>
      </w:r>
      <w:r w:rsidR="00332805">
        <w:t xml:space="preserve">UN </w:t>
      </w:r>
      <w:r w:rsidRPr="00700C92">
        <w:t>Regulation No. [LSD]</w:t>
      </w:r>
      <w:r>
        <w:rPr>
          <w:rStyle w:val="FootnoteReference"/>
        </w:rPr>
        <w:footnoteReference w:id="4"/>
      </w:r>
      <w:r w:rsidRPr="00700C92">
        <w:t>, Contracting Parties</w:t>
      </w:r>
      <w:r>
        <w:t xml:space="preserve"> applying this Regulation shall cease to grant approvals to this Regulation.</w:t>
      </w:r>
    </w:p>
    <w:p w:rsidR="00CC310F" w:rsidRDefault="00CC310F" w:rsidP="00CC310F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CC310F" w:rsidRDefault="00CC310F" w:rsidP="00CC310F">
      <w:pPr>
        <w:pStyle w:val="SingleTxtG"/>
        <w:ind w:left="2259" w:hanging="1125"/>
      </w:pPr>
      <w:r>
        <w:t>[13.3.</w:t>
      </w:r>
      <w:r>
        <w:tab/>
        <w:t xml:space="preserve">Approvals </w:t>
      </w:r>
      <w:r w:rsidRPr="008D2D71">
        <w:t xml:space="preserve">and extensions of approvals </w:t>
      </w:r>
      <w:r>
        <w:t>granted under this Regulation</w:t>
      </w:r>
      <w:r w:rsidRPr="008D2D71">
        <w:t>, including those to a preceding series of amendments</w:t>
      </w:r>
      <w:r>
        <w:t>, shall remain valid indefinitely.]</w:t>
      </w:r>
    </w:p>
    <w:p w:rsidR="00CC310F" w:rsidRDefault="00CC310F" w:rsidP="00CC310F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887D3D" w:rsidRDefault="00CC310F" w:rsidP="00887D3D">
      <w:pPr>
        <w:pStyle w:val="SingleTxtG"/>
        <w:ind w:left="2259" w:hanging="1125"/>
      </w:pPr>
      <w:r w:rsidRPr="00700C92">
        <w:t>13.5.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700C92">
        <w:t xml:space="preserve"> provided that the devi</w:t>
      </w:r>
      <w:r>
        <w:t>ce is intended for replacement.</w:t>
      </w:r>
      <w:r w:rsidR="00332805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9109C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05" w:rsidRPr="00332805" w:rsidRDefault="00332805" w:rsidP="0033280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9109C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9109C" w:rsidRPr="00E9109C">
        <w:rPr>
          <w:szCs w:val="18"/>
          <w:lang w:val="en-US"/>
        </w:rPr>
        <w:t xml:space="preserve">In accordance with the </w:t>
      </w:r>
      <w:proofErr w:type="spellStart"/>
      <w:r w:rsidR="00E9109C" w:rsidRPr="00E9109C">
        <w:rPr>
          <w:szCs w:val="18"/>
          <w:lang w:val="en-US"/>
        </w:rPr>
        <w:t>programme</w:t>
      </w:r>
      <w:proofErr w:type="spellEnd"/>
      <w:r w:rsidR="00E9109C" w:rsidRPr="00E9109C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CC310F" w:rsidRPr="00962893" w:rsidRDefault="00CC310F" w:rsidP="00CC310F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05" w:rsidRDefault="00332805" w:rsidP="00332805">
    <w:pPr>
      <w:pStyle w:val="Header"/>
    </w:pPr>
    <w:r>
      <w:t>ECE/TRANS/WP.29/2018/96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33280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2805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30F7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42E4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109C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813198E-92EF-42E8-A8B7-57D833F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5886-7E92-47EE-B7A6-D5EDDFE3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2126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2018-08-07T16:56:00Z</dcterms:created>
  <dcterms:modified xsi:type="dcterms:W3CDTF">2018-08-07T16:56:00Z</dcterms:modified>
</cp:coreProperties>
</file>