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B56D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0B56DE" w:rsidP="000B56DE">
            <w:pPr>
              <w:jc w:val="right"/>
            </w:pPr>
            <w:r w:rsidRPr="000B56DE">
              <w:rPr>
                <w:sz w:val="40"/>
              </w:rPr>
              <w:t>ECE</w:t>
            </w:r>
            <w:r>
              <w:t>/TRANS/WP.29/2018/126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0B56DE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0B56DE" w:rsidRDefault="000B56DE" w:rsidP="000B56DE">
            <w:pPr>
              <w:spacing w:line="240" w:lineRule="exact"/>
            </w:pPr>
            <w:r>
              <w:t>15 août 2018</w:t>
            </w:r>
          </w:p>
          <w:p w:rsidR="000B56DE" w:rsidRDefault="000B56DE" w:rsidP="000B56DE">
            <w:pPr>
              <w:spacing w:line="240" w:lineRule="exact"/>
            </w:pPr>
            <w:r>
              <w:t>Français</w:t>
            </w:r>
          </w:p>
          <w:p w:rsidR="000B56DE" w:rsidRPr="00DB58B5" w:rsidRDefault="000B56DE" w:rsidP="000B56DE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A4C1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B56DE" w:rsidRDefault="000B56DE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5A4C15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0B56DE" w:rsidRDefault="00C7767D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C7767D">
        <w:rPr>
          <w:b/>
          <w:vertAlign w:val="superscript"/>
        </w:rPr>
        <w:t>e</w:t>
      </w:r>
      <w:r>
        <w:rPr>
          <w:b/>
        </w:rPr>
        <w:t xml:space="preserve"> </w:t>
      </w:r>
      <w:r w:rsidR="000B56DE">
        <w:rPr>
          <w:b/>
        </w:rPr>
        <w:t>session</w:t>
      </w:r>
    </w:p>
    <w:p w:rsidR="000B56DE" w:rsidRDefault="000B56DE" w:rsidP="00AF0CB5">
      <w:pPr>
        <w:spacing w:line="240" w:lineRule="exact"/>
      </w:pPr>
      <w:r>
        <w:t xml:space="preserve">Genève, </w:t>
      </w:r>
      <w:r w:rsidR="00C7767D">
        <w:t>13-16 novembre 2018</w:t>
      </w:r>
    </w:p>
    <w:p w:rsidR="000B56DE" w:rsidRDefault="000B56DE" w:rsidP="00AF0CB5">
      <w:pPr>
        <w:spacing w:line="240" w:lineRule="exact"/>
      </w:pPr>
      <w:r>
        <w:t xml:space="preserve">Point </w:t>
      </w:r>
      <w:r w:rsidR="00C7767D">
        <w:t>4.7.7</w:t>
      </w:r>
      <w:r>
        <w:t xml:space="preserve"> de l</w:t>
      </w:r>
      <w:r w:rsidR="005A4C15">
        <w:t>’</w:t>
      </w:r>
      <w:r>
        <w:t>ordre du jour provisoire</w:t>
      </w:r>
    </w:p>
    <w:p w:rsidR="00C7767D" w:rsidRPr="00F91F1C" w:rsidRDefault="00C7767D" w:rsidP="00C7767D">
      <w:pPr>
        <w:rPr>
          <w:b/>
        </w:rPr>
      </w:pPr>
      <w:r w:rsidRPr="00F91F1C">
        <w:rPr>
          <w:b/>
          <w:lang w:val="fr-FR"/>
        </w:rPr>
        <w:t xml:space="preserve">Accord de 1958 : </w:t>
      </w:r>
      <w:r>
        <w:rPr>
          <w:b/>
          <w:lang w:val="fr-FR"/>
        </w:rPr>
        <w:br/>
      </w:r>
      <w:r w:rsidRPr="00F91F1C">
        <w:rPr>
          <w:b/>
          <w:lang w:val="fr-FR"/>
        </w:rPr>
        <w:t>Examen de projets d</w:t>
      </w:r>
      <w:r w:rsidR="005A4C15">
        <w:rPr>
          <w:b/>
          <w:lang w:val="fr-FR"/>
        </w:rPr>
        <w:t>’</w:t>
      </w:r>
      <w:r w:rsidRPr="00F91F1C">
        <w:rPr>
          <w:b/>
          <w:lang w:val="fr-FR"/>
        </w:rPr>
        <w:t xml:space="preserve">amendements à des Règlements ONU </w:t>
      </w:r>
      <w:r>
        <w:rPr>
          <w:b/>
          <w:lang w:val="fr-FR"/>
        </w:rPr>
        <w:br/>
      </w:r>
      <w:r w:rsidRPr="00F91F1C">
        <w:rPr>
          <w:b/>
          <w:lang w:val="fr-FR"/>
        </w:rPr>
        <w:t xml:space="preserve">existants proposés par le </w:t>
      </w:r>
      <w:r w:rsidRPr="00F91F1C">
        <w:rPr>
          <w:b/>
          <w:color w:val="333333"/>
          <w:sz w:val="21"/>
          <w:szCs w:val="21"/>
          <w:shd w:val="clear" w:color="auto" w:fill="FFFFFF"/>
        </w:rPr>
        <w:t>GRSG</w:t>
      </w:r>
    </w:p>
    <w:p w:rsidR="00C7767D" w:rsidRPr="00A90EA8" w:rsidRDefault="00C7767D" w:rsidP="00C7767D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de complément 1 à la série 06 d</w:t>
      </w:r>
      <w:r w:rsidR="005A4C15">
        <w:rPr>
          <w:lang w:val="fr-FR"/>
        </w:rPr>
        <w:t>’</w:t>
      </w:r>
      <w:r>
        <w:rPr>
          <w:lang w:val="fr-FR"/>
        </w:rPr>
        <w:t xml:space="preserve">amendements </w:t>
      </w:r>
      <w:r>
        <w:rPr>
          <w:lang w:val="fr-FR"/>
        </w:rPr>
        <w:br/>
        <w:t>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105 (Véhicules destinés au transport de marchandises dangereuses)</w:t>
      </w:r>
    </w:p>
    <w:p w:rsidR="00C7767D" w:rsidRPr="00A90EA8" w:rsidRDefault="00C7767D" w:rsidP="00C7767D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 xml:space="preserve">Communication du Groupe de travail des dispositions </w:t>
      </w:r>
      <w:r>
        <w:rPr>
          <w:lang w:val="fr-FR"/>
        </w:rPr>
        <w:br/>
        <w:t>générales de sécurité</w:t>
      </w:r>
      <w:r w:rsidRPr="00C7767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767D" w:rsidRPr="003C670C" w:rsidRDefault="00C7767D" w:rsidP="00C7767D">
      <w:pPr>
        <w:pStyle w:val="SingleTxtG"/>
      </w:pPr>
      <w:r>
        <w:rPr>
          <w:lang w:val="fr-FR"/>
        </w:rPr>
        <w:tab/>
        <w:t>Le texte ci-après a été adopté par le Groupe de travail des dispositions générales de sécurité (GRSG) à sa 114</w:t>
      </w:r>
      <w:r>
        <w:rPr>
          <w:vertAlign w:val="superscript"/>
          <w:lang w:val="fr-FR"/>
        </w:rPr>
        <w:t>e</w:t>
      </w:r>
      <w:r>
        <w:rPr>
          <w:lang w:val="fr-FR"/>
        </w:rPr>
        <w:t xml:space="preserve"> </w:t>
      </w:r>
      <w:r w:rsidRPr="00C7767D">
        <w:t>session</w:t>
      </w:r>
      <w:r>
        <w:rPr>
          <w:lang w:val="fr-FR"/>
        </w:rPr>
        <w:t xml:space="preserve"> (ECE/TRANS/WP.29/GRSG/93, par. 55). Il est fondé sur le texte reproduit au paragraphe 55 du rapport. Il est soumis au Forum mondial de l</w:t>
      </w:r>
      <w:r w:rsidR="005A4C15">
        <w:rPr>
          <w:lang w:val="fr-FR"/>
        </w:rPr>
        <w:t>’</w:t>
      </w:r>
      <w:r>
        <w:rPr>
          <w:lang w:val="fr-FR"/>
        </w:rPr>
        <w:t>harmonisation des Règlements concernant les véhicules (WP.29) et au Comité d</w:t>
      </w:r>
      <w:r w:rsidR="005A4C15">
        <w:rPr>
          <w:lang w:val="fr-FR"/>
        </w:rPr>
        <w:t>’</w:t>
      </w:r>
      <w:r>
        <w:rPr>
          <w:lang w:val="fr-FR"/>
        </w:rPr>
        <w:t>administration (AC.1) pour examen à leurs sessions de novembre 2018.</w:t>
      </w:r>
    </w:p>
    <w:p w:rsidR="00C7767D" w:rsidRDefault="00C7767D" w:rsidP="00F424BD">
      <w:pPr>
        <w:pStyle w:val="HChG"/>
      </w:pPr>
      <w:r w:rsidRPr="00400EFB"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  <w:t>Complément 1 à la série 06 d</w:t>
      </w:r>
      <w:r w:rsidR="005A4C15">
        <w:rPr>
          <w:lang w:val="fr-FR"/>
        </w:rPr>
        <w:t>’</w:t>
      </w:r>
      <w:r>
        <w:rPr>
          <w:lang w:val="fr-FR"/>
        </w:rPr>
        <w:t xml:space="preserve">amendements au </w:t>
      </w:r>
      <w:r w:rsidR="00F424BD">
        <w:rPr>
          <w:lang w:val="fr-FR"/>
        </w:rPr>
        <w:br/>
      </w:r>
      <w:r>
        <w:rPr>
          <w:lang w:val="fr-FR"/>
        </w:rPr>
        <w:t>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105 (Véhicules destinés au </w:t>
      </w:r>
      <w:r w:rsidR="00F424BD">
        <w:rPr>
          <w:lang w:val="fr-FR"/>
        </w:rPr>
        <w:br/>
      </w:r>
      <w:r>
        <w:rPr>
          <w:lang w:val="fr-FR"/>
        </w:rPr>
        <w:t>transport de marchandises dangereuses)</w:t>
      </w:r>
    </w:p>
    <w:p w:rsidR="00C7767D" w:rsidRDefault="00C7767D" w:rsidP="00F424BD">
      <w:pPr>
        <w:pStyle w:val="SingleTxtG"/>
        <w:rPr>
          <w:lang w:val="fr-FR"/>
        </w:rPr>
      </w:pPr>
      <w:r w:rsidRPr="00F424BD">
        <w:rPr>
          <w:i/>
          <w:lang w:val="fr-FR"/>
        </w:rPr>
        <w:t>Paragraphe 5.1.1.2.1</w:t>
      </w:r>
      <w:r>
        <w:rPr>
          <w:lang w:val="fr-FR"/>
        </w:rPr>
        <w:t xml:space="preserve">, lire : </w:t>
      </w:r>
    </w:p>
    <w:p w:rsidR="00C7767D" w:rsidRDefault="00C7767D" w:rsidP="00F424BD">
      <w:pPr>
        <w:pStyle w:val="SingleTxtG"/>
        <w:rPr>
          <w:lang w:val="fr-FR"/>
        </w:rPr>
      </w:pPr>
      <w:r>
        <w:rPr>
          <w:lang w:val="fr-FR"/>
        </w:rPr>
        <w:t>« 5.1.1.2.1</w:t>
      </w:r>
      <w:r>
        <w:rPr>
          <w:lang w:val="fr-FR"/>
        </w:rPr>
        <w:tab/>
        <w:t>Câbles</w:t>
      </w:r>
    </w:p>
    <w:p w:rsidR="00C7767D" w:rsidRDefault="00F424BD" w:rsidP="00F424BD">
      <w:pPr>
        <w:pStyle w:val="SingleTxtG"/>
        <w:ind w:left="2268" w:hanging="1134"/>
        <w:rPr>
          <w:lang w:val="fr-FR"/>
        </w:rPr>
      </w:pPr>
      <w:r>
        <w:rPr>
          <w:lang w:val="fr-FR"/>
        </w:rPr>
        <w:tab/>
      </w:r>
      <w:r w:rsidR="00C7767D">
        <w:rPr>
          <w:lang w:val="fr-FR"/>
        </w:rPr>
        <w:t>Aucun</w:t>
      </w:r>
      <w:r>
        <w:rPr>
          <w:lang w:val="fr-FR"/>
        </w:rPr>
        <w:t xml:space="preserve"> câble utilisé dans un circuit …</w:t>
      </w:r>
      <w:r w:rsidR="00C7767D">
        <w:rPr>
          <w:lang w:val="fr-FR"/>
        </w:rPr>
        <w:t xml:space="preserve"> doivent être convenablement isolés.</w:t>
      </w:r>
    </w:p>
    <w:p w:rsidR="00C7767D" w:rsidRPr="00400EFB" w:rsidRDefault="00C7767D" w:rsidP="00F424BD">
      <w:pPr>
        <w:pStyle w:val="SingleTxtG"/>
        <w:ind w:left="2268" w:hanging="1134"/>
        <w:rPr>
          <w:lang w:val="fr-FR"/>
        </w:rPr>
      </w:pPr>
      <w:r>
        <w:rPr>
          <w:lang w:val="fr-FR"/>
        </w:rPr>
        <w:tab/>
      </w:r>
      <w:r w:rsidRPr="00400EFB">
        <w:rPr>
          <w:lang w:val="fr-FR"/>
        </w:rPr>
        <w:t>Les câbles doivent être adaptés aux conditions dans lesquelles il est prévu de les utiliser, notamment les conditions de températures et de compatibilité avec les fluides.</w:t>
      </w:r>
    </w:p>
    <w:p w:rsidR="00C7767D" w:rsidRPr="00400EFB" w:rsidRDefault="00F424BD" w:rsidP="00F424BD">
      <w:pPr>
        <w:pStyle w:val="SingleTxtG"/>
        <w:ind w:left="2268" w:hanging="1134"/>
        <w:rPr>
          <w:lang w:val="fr-FR"/>
        </w:rPr>
      </w:pPr>
      <w:r>
        <w:rPr>
          <w:lang w:val="fr-FR"/>
        </w:rPr>
        <w:tab/>
        <w:t>…</w:t>
      </w:r>
    </w:p>
    <w:p w:rsidR="00C7767D" w:rsidRPr="00400EFB" w:rsidRDefault="00F424BD" w:rsidP="00F424BD">
      <w:pPr>
        <w:pStyle w:val="SingleTxtG"/>
        <w:ind w:left="2268" w:hanging="1134"/>
        <w:rPr>
          <w:lang w:val="fr-FR"/>
        </w:rPr>
      </w:pPr>
      <w:r>
        <w:rPr>
          <w:lang w:val="fr-FR"/>
        </w:rPr>
        <w:tab/>
        <w:t>Ils doivent être solidement …</w:t>
      </w:r>
      <w:r w:rsidR="00C7767D" w:rsidRPr="00400EFB">
        <w:rPr>
          <w:lang w:val="fr-FR"/>
        </w:rPr>
        <w:t xml:space="preserve"> les agressions mécaniques et thermiques. ».</w:t>
      </w:r>
    </w:p>
    <w:p w:rsidR="00C7767D" w:rsidRPr="00400EFB" w:rsidRDefault="00C7767D" w:rsidP="00C7767D">
      <w:pPr>
        <w:suppressAutoHyphens w:val="0"/>
        <w:spacing w:after="120"/>
        <w:ind w:left="1134" w:right="1134" w:hanging="567"/>
        <w:jc w:val="both"/>
        <w:rPr>
          <w:lang w:val="fr-FR"/>
        </w:rPr>
      </w:pPr>
      <w:r w:rsidRPr="00400EFB">
        <w:rPr>
          <w:i/>
          <w:lang w:val="fr-FR"/>
        </w:rPr>
        <w:tab/>
        <w:t>Paragraphe 5.1.1.9.1</w:t>
      </w:r>
      <w:r w:rsidR="00F424BD">
        <w:rPr>
          <w:i/>
          <w:lang w:val="fr-FR"/>
        </w:rPr>
        <w:t>, alinéa a)</w:t>
      </w:r>
      <w:r w:rsidRPr="00400EFB">
        <w:rPr>
          <w:lang w:val="fr-FR"/>
        </w:rPr>
        <w:t>, lire :</w:t>
      </w:r>
    </w:p>
    <w:p w:rsidR="00C7767D" w:rsidRPr="00400EFB" w:rsidRDefault="00F424BD" w:rsidP="00C7767D">
      <w:pPr>
        <w:suppressAutoHyphens w:val="0"/>
        <w:spacing w:after="120"/>
        <w:ind w:left="1134" w:right="1134" w:hanging="141"/>
        <w:jc w:val="both"/>
        <w:rPr>
          <w:lang w:val="fr-FR"/>
        </w:rPr>
      </w:pPr>
      <w:r>
        <w:rPr>
          <w:lang w:val="fr-FR"/>
        </w:rPr>
        <w:tab/>
        <w:t>« 5.1.1.9.1</w:t>
      </w:r>
      <w:r>
        <w:rPr>
          <w:lang w:val="fr-FR"/>
        </w:rPr>
        <w:tab/>
      </w:r>
      <w:r w:rsidR="00C7767D" w:rsidRPr="00400EFB">
        <w:rPr>
          <w:lang w:val="fr-FR"/>
        </w:rPr>
        <w:t>a)</w:t>
      </w:r>
      <w:r w:rsidR="00C7767D" w:rsidRPr="00400EFB">
        <w:rPr>
          <w:lang w:val="fr-FR"/>
        </w:rPr>
        <w:tab/>
        <w:t>Les parties de l</w:t>
      </w:r>
      <w:r w:rsidR="005A4C15">
        <w:rPr>
          <w:lang w:val="fr-FR"/>
        </w:rPr>
        <w:t>’</w:t>
      </w:r>
      <w:r w:rsidR="003A23C5">
        <w:rPr>
          <w:lang w:val="fr-FR"/>
        </w:rPr>
        <w:t>installation …</w:t>
      </w:r>
      <w:r w:rsidR="00C7767D" w:rsidRPr="00400EFB">
        <w:rPr>
          <w:lang w:val="fr-FR"/>
        </w:rPr>
        <w:t xml:space="preserve"> une utilisation en zone dangereuse.</w:t>
      </w:r>
    </w:p>
    <w:p w:rsidR="00C7767D" w:rsidRPr="00400EFB" w:rsidRDefault="00C7767D" w:rsidP="00F424BD">
      <w:pPr>
        <w:pStyle w:val="SingleTxtG"/>
        <w:ind w:left="2268" w:hanging="1134"/>
      </w:pPr>
      <w:r w:rsidRPr="00400EFB">
        <w:rPr>
          <w:lang w:val="fr-FR"/>
        </w:rPr>
        <w:tab/>
      </w:r>
      <w:r w:rsidRPr="00400EFB">
        <w:t xml:space="preserve">Cet </w:t>
      </w:r>
      <w:r w:rsidRPr="00F424BD">
        <w:rPr>
          <w:lang w:val="fr-FR"/>
        </w:rPr>
        <w:t>équipement</w:t>
      </w:r>
      <w:r w:rsidRPr="00400EFB">
        <w:t xml:space="preserve"> doit satisfaire aux dispositions générales de la norme CEI </w:t>
      </w:r>
      <w:r>
        <w:t>6007</w:t>
      </w:r>
      <w:r w:rsidRPr="00400EFB">
        <w:t>9</w:t>
      </w:r>
      <w:r w:rsidRPr="00F424BD">
        <w:rPr>
          <w:vertAlign w:val="superscript"/>
        </w:rPr>
        <w:t>4</w:t>
      </w:r>
      <w:r w:rsidRPr="00400EFB">
        <w:t>, parties 0 et 14, et aux dispositions supplémentaires applicables de cette même norme, parties 1, 2, 5, 6, 7, 11, 15, 18, 26 ou 28. ».</w:t>
      </w:r>
    </w:p>
    <w:p w:rsidR="00F9573C" w:rsidRPr="00F424BD" w:rsidRDefault="00F424BD" w:rsidP="00F424B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F424BD" w:rsidSect="000B56D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ACB" w:rsidRDefault="00446ACB" w:rsidP="00F95C08">
      <w:pPr>
        <w:spacing w:line="240" w:lineRule="auto"/>
      </w:pPr>
    </w:p>
  </w:endnote>
  <w:endnote w:type="continuationSeparator" w:id="0">
    <w:p w:rsidR="00446ACB" w:rsidRPr="00AC3823" w:rsidRDefault="00446ACB" w:rsidP="00AC3823">
      <w:pPr>
        <w:pStyle w:val="Footer"/>
      </w:pPr>
    </w:p>
  </w:endnote>
  <w:endnote w:type="continuationNotice" w:id="1">
    <w:p w:rsidR="00446ACB" w:rsidRDefault="00446A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6DE" w:rsidRPr="000B56DE" w:rsidRDefault="000B56DE" w:rsidP="000B56DE">
    <w:pPr>
      <w:pStyle w:val="Footer"/>
      <w:tabs>
        <w:tab w:val="right" w:pos="9638"/>
      </w:tabs>
    </w:pPr>
    <w:r w:rsidRPr="000B56DE">
      <w:rPr>
        <w:b/>
        <w:sz w:val="18"/>
      </w:rPr>
      <w:fldChar w:fldCharType="begin"/>
    </w:r>
    <w:r w:rsidRPr="000B56DE">
      <w:rPr>
        <w:b/>
        <w:sz w:val="18"/>
      </w:rPr>
      <w:instrText xml:space="preserve"> PAGE  \* MERGEFORMAT </w:instrText>
    </w:r>
    <w:r w:rsidRPr="000B56DE">
      <w:rPr>
        <w:b/>
        <w:sz w:val="18"/>
      </w:rPr>
      <w:fldChar w:fldCharType="separate"/>
    </w:r>
    <w:r w:rsidR="005616A3">
      <w:rPr>
        <w:b/>
        <w:noProof/>
        <w:sz w:val="18"/>
      </w:rPr>
      <w:t>2</w:t>
    </w:r>
    <w:r w:rsidRPr="000B56DE">
      <w:rPr>
        <w:b/>
        <w:sz w:val="18"/>
      </w:rPr>
      <w:fldChar w:fldCharType="end"/>
    </w:r>
    <w:r>
      <w:rPr>
        <w:b/>
        <w:sz w:val="18"/>
      </w:rPr>
      <w:tab/>
    </w:r>
    <w:r>
      <w:t>GE.18-13483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6DE" w:rsidRPr="000B56DE" w:rsidRDefault="000B56DE" w:rsidP="000B56DE">
    <w:pPr>
      <w:pStyle w:val="Footer"/>
      <w:tabs>
        <w:tab w:val="right" w:pos="9638"/>
      </w:tabs>
      <w:rPr>
        <w:b/>
        <w:sz w:val="18"/>
      </w:rPr>
    </w:pPr>
    <w:r>
      <w:t>GE.18-13483</w:t>
    </w:r>
    <w:r>
      <w:tab/>
    </w:r>
    <w:r w:rsidRPr="000B56DE">
      <w:rPr>
        <w:b/>
        <w:sz w:val="18"/>
      </w:rPr>
      <w:fldChar w:fldCharType="begin"/>
    </w:r>
    <w:r w:rsidRPr="000B56DE">
      <w:rPr>
        <w:b/>
        <w:sz w:val="18"/>
      </w:rPr>
      <w:instrText xml:space="preserve"> PAGE  \* MERGEFORMAT </w:instrText>
    </w:r>
    <w:r w:rsidRPr="000B56D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B56D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0B56DE" w:rsidRDefault="000B56DE" w:rsidP="000B56DE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13483  (</w:t>
    </w:r>
    <w:proofErr w:type="gramEnd"/>
    <w:r>
      <w:rPr>
        <w:sz w:val="20"/>
      </w:rPr>
      <w:t>F)</w:t>
    </w:r>
    <w:r w:rsidR="00C7767D">
      <w:rPr>
        <w:sz w:val="20"/>
      </w:rPr>
      <w:t xml:space="preserve">    140918    200918</w:t>
    </w:r>
    <w:r>
      <w:rPr>
        <w:sz w:val="20"/>
      </w:rPr>
      <w:br/>
    </w:r>
    <w:r w:rsidRPr="000B56DE">
      <w:rPr>
        <w:rFonts w:ascii="C39T30Lfz" w:hAnsi="C39T30Lfz"/>
        <w:sz w:val="56"/>
      </w:rPr>
      <w:t></w:t>
    </w:r>
    <w:r w:rsidRPr="000B56DE">
      <w:rPr>
        <w:rFonts w:ascii="C39T30Lfz" w:hAnsi="C39T30Lfz"/>
        <w:sz w:val="56"/>
      </w:rPr>
      <w:t></w:t>
    </w:r>
    <w:r w:rsidRPr="000B56DE">
      <w:rPr>
        <w:rFonts w:ascii="C39T30Lfz" w:hAnsi="C39T30Lfz"/>
        <w:sz w:val="56"/>
      </w:rPr>
      <w:t></w:t>
    </w:r>
    <w:r w:rsidRPr="000B56DE">
      <w:rPr>
        <w:rFonts w:ascii="C39T30Lfz" w:hAnsi="C39T30Lfz"/>
        <w:sz w:val="56"/>
      </w:rPr>
      <w:t></w:t>
    </w:r>
    <w:r w:rsidRPr="000B56DE">
      <w:rPr>
        <w:rFonts w:ascii="C39T30Lfz" w:hAnsi="C39T30Lfz"/>
        <w:sz w:val="56"/>
      </w:rPr>
      <w:t></w:t>
    </w:r>
    <w:r w:rsidRPr="000B56DE">
      <w:rPr>
        <w:rFonts w:ascii="C39T30Lfz" w:hAnsi="C39T30Lfz"/>
        <w:sz w:val="56"/>
      </w:rPr>
      <w:t></w:t>
    </w:r>
    <w:r w:rsidRPr="000B56DE">
      <w:rPr>
        <w:rFonts w:ascii="C39T30Lfz" w:hAnsi="C39T30Lfz"/>
        <w:sz w:val="56"/>
      </w:rPr>
      <w:t></w:t>
    </w:r>
    <w:r w:rsidRPr="000B56DE">
      <w:rPr>
        <w:rFonts w:ascii="C39T30Lfz" w:hAnsi="C39T30Lfz"/>
        <w:sz w:val="56"/>
      </w:rPr>
      <w:t></w:t>
    </w:r>
    <w:r w:rsidRPr="000B56DE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2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2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ACB" w:rsidRPr="00AC3823" w:rsidRDefault="00446AC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46ACB" w:rsidRPr="00AC3823" w:rsidRDefault="00446AC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46ACB" w:rsidRPr="00AC3823" w:rsidRDefault="00446ACB">
      <w:pPr>
        <w:spacing w:line="240" w:lineRule="auto"/>
        <w:rPr>
          <w:sz w:val="2"/>
          <w:szCs w:val="2"/>
        </w:rPr>
      </w:pPr>
    </w:p>
  </w:footnote>
  <w:footnote w:id="2">
    <w:p w:rsidR="00C7767D" w:rsidRPr="00C7767D" w:rsidRDefault="00C7767D" w:rsidP="00C7767D">
      <w:pPr>
        <w:pStyle w:val="FootnoteText"/>
      </w:pPr>
      <w:r>
        <w:rPr>
          <w:rStyle w:val="FootnoteReference"/>
        </w:rPr>
        <w:tab/>
      </w:r>
      <w:r w:rsidRPr="00C7767D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7767D">
        <w:t xml:space="preserve">Conformément au programme de travail du Comité des transports </w:t>
      </w:r>
      <w:r>
        <w:t>intérieurs pour la période 2018</w:t>
      </w:r>
      <w:r>
        <w:noBreakHyphen/>
      </w:r>
      <w:r w:rsidRPr="00C7767D">
        <w:t>2019 (ECE/TRANS/274, par. 123, et ECE/TRANS/2018/21/Add.1, module 3.1), le Forum mondial a pour mission d</w:t>
      </w:r>
      <w:r w:rsidR="005A4C15">
        <w:t>’</w:t>
      </w:r>
      <w:r w:rsidRPr="00C7767D">
        <w:t>élaborer, d</w:t>
      </w:r>
      <w:r w:rsidR="005A4C15">
        <w:t>’</w:t>
      </w:r>
      <w:r w:rsidRPr="00C7767D">
        <w:t>harmoniser et de mettre à jour les Règlements ONU en vue d</w:t>
      </w:r>
      <w:r w:rsidR="005A4C15">
        <w:t>’</w:t>
      </w:r>
      <w:r w:rsidRPr="00C7767D"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6DE" w:rsidRPr="000B56DE" w:rsidRDefault="0028750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616A3">
      <w:t>ECE/TRANS/WP.29/2018/126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6DE" w:rsidRPr="000B56DE" w:rsidRDefault="00287500" w:rsidP="000B56D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616A3">
      <w:t>ECE/TRANS/WP.29/2018/126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fr-FR" w:vendorID="64" w:dllVersion="6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defaultTabStop w:val="567"/>
  <w:hyphenationZone w:val="425"/>
  <w:evenAndOddHeaders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ACB"/>
    <w:rsid w:val="00017F94"/>
    <w:rsid w:val="00023842"/>
    <w:rsid w:val="000334F9"/>
    <w:rsid w:val="00045FEB"/>
    <w:rsid w:val="0007796D"/>
    <w:rsid w:val="000B56DE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87500"/>
    <w:rsid w:val="002D7C93"/>
    <w:rsid w:val="0030567F"/>
    <w:rsid w:val="00305801"/>
    <w:rsid w:val="003916DE"/>
    <w:rsid w:val="003A23C5"/>
    <w:rsid w:val="00421996"/>
    <w:rsid w:val="00441C3B"/>
    <w:rsid w:val="00446ACB"/>
    <w:rsid w:val="00446FE5"/>
    <w:rsid w:val="00452396"/>
    <w:rsid w:val="004837D8"/>
    <w:rsid w:val="004E2EED"/>
    <w:rsid w:val="004E468C"/>
    <w:rsid w:val="005505B7"/>
    <w:rsid w:val="005616A3"/>
    <w:rsid w:val="00573BE5"/>
    <w:rsid w:val="00586ED3"/>
    <w:rsid w:val="00596AA9"/>
    <w:rsid w:val="005A4C15"/>
    <w:rsid w:val="005A5917"/>
    <w:rsid w:val="006711D7"/>
    <w:rsid w:val="0071601D"/>
    <w:rsid w:val="007A62E6"/>
    <w:rsid w:val="007E3D68"/>
    <w:rsid w:val="007F20FA"/>
    <w:rsid w:val="0080684C"/>
    <w:rsid w:val="0084277A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27DB0"/>
    <w:rsid w:val="00B45F2E"/>
    <w:rsid w:val="00B765F7"/>
    <w:rsid w:val="00BA0CA9"/>
    <w:rsid w:val="00C02897"/>
    <w:rsid w:val="00C7767D"/>
    <w:rsid w:val="00C97039"/>
    <w:rsid w:val="00D3439C"/>
    <w:rsid w:val="00DB1831"/>
    <w:rsid w:val="00DD3BFD"/>
    <w:rsid w:val="00DF6678"/>
    <w:rsid w:val="00E0299A"/>
    <w:rsid w:val="00E85C74"/>
    <w:rsid w:val="00E932F5"/>
    <w:rsid w:val="00EA6547"/>
    <w:rsid w:val="00EF2E22"/>
    <w:rsid w:val="00F35BAF"/>
    <w:rsid w:val="00F424BD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96174463-9074-4CE0-A40B-B8C3A496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C7767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C7767D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ECE/TRANS/WP.29/2018/126</vt:lpstr>
      <vt:lpstr>ECE/TRANS/WP.29/2018/126</vt:lpstr>
    </vt:vector>
  </TitlesOfParts>
  <Company>DCM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ECE/TRANS/WP.29/2018/126</dc:title>
  <dc:subject/>
  <dc:creator>Isabelle VIGNY</dc:creator>
  <cp:keywords/>
  <dc:description/>
  <cp:lastModifiedBy>Secretariat</cp:lastModifiedBy>
  <cp:revision>2</cp:revision>
  <cp:lastPrinted>2018-09-20T10:41:00Z</cp:lastPrinted>
  <dcterms:created xsi:type="dcterms:W3CDTF">2018-10-01T16:23:00Z</dcterms:created>
  <dcterms:modified xsi:type="dcterms:W3CDTF">2018-10-01T16:23:00Z</dcterms:modified>
</cp:coreProperties>
</file>