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255A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255AC" w:rsidP="00E255AC">
            <w:pPr>
              <w:jc w:val="right"/>
            </w:pPr>
            <w:r w:rsidRPr="00E255AC">
              <w:rPr>
                <w:sz w:val="40"/>
              </w:rPr>
              <w:t>ECE</w:t>
            </w:r>
            <w:r>
              <w:t>/TRANS/WP.29/2018/166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255A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E255AC" w:rsidRDefault="00E255AC" w:rsidP="00E255AC">
            <w:pPr>
              <w:spacing w:line="240" w:lineRule="exact"/>
            </w:pPr>
            <w:r>
              <w:t>3 septembre 2018</w:t>
            </w:r>
          </w:p>
          <w:p w:rsidR="00E255AC" w:rsidRDefault="00E255AC" w:rsidP="00E255AC">
            <w:pPr>
              <w:spacing w:line="240" w:lineRule="exact"/>
            </w:pPr>
            <w:r>
              <w:t>Français</w:t>
            </w:r>
          </w:p>
          <w:p w:rsidR="00E255AC" w:rsidRPr="00DB58B5" w:rsidRDefault="00E255AC" w:rsidP="00E255A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81CC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255AC" w:rsidRDefault="00E255A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281CC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255AC" w:rsidRDefault="00E255AC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E255AC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E255AC" w:rsidRDefault="00E255AC" w:rsidP="00AF0CB5">
      <w:pPr>
        <w:spacing w:line="240" w:lineRule="exact"/>
      </w:pPr>
      <w:r>
        <w:t>Genève, 13-16 novembre 2018</w:t>
      </w:r>
    </w:p>
    <w:p w:rsidR="00E255AC" w:rsidRDefault="00E255AC" w:rsidP="00AF0CB5">
      <w:pPr>
        <w:spacing w:line="240" w:lineRule="exact"/>
      </w:pPr>
      <w:r>
        <w:t>Point 2.2 de l</w:t>
      </w:r>
      <w:r w:rsidR="00281CCA">
        <w:t>’</w:t>
      </w:r>
      <w:r>
        <w:t>ordre du jour provisoire</w:t>
      </w:r>
    </w:p>
    <w:p w:rsidR="00E255AC" w:rsidRPr="008C279B" w:rsidRDefault="00E255AC" w:rsidP="00E255AC">
      <w:pPr>
        <w:rPr>
          <w:b/>
          <w:bCs/>
        </w:rPr>
      </w:pPr>
      <w:r w:rsidRPr="000E546F">
        <w:rPr>
          <w:b/>
        </w:rPr>
        <w:t>Coordination et organisation des travaux </w:t>
      </w:r>
      <w:r w:rsidRPr="000E546F">
        <w:rPr>
          <w:b/>
          <w:bCs/>
        </w:rPr>
        <w:t>:</w:t>
      </w:r>
      <w:r w:rsidRPr="008C279B">
        <w:rPr>
          <w:b/>
          <w:bCs/>
        </w:rPr>
        <w:br/>
      </w:r>
      <w:r w:rsidRPr="000E546F">
        <w:rPr>
          <w:b/>
        </w:rPr>
        <w:t xml:space="preserve">Programme de travail, liste des documents </w:t>
      </w:r>
      <w:r>
        <w:rPr>
          <w:b/>
        </w:rPr>
        <w:br/>
      </w:r>
      <w:r w:rsidRPr="000E546F">
        <w:rPr>
          <w:b/>
        </w:rPr>
        <w:t>et calendrier des sessions pour l</w:t>
      </w:r>
      <w:r w:rsidR="00281CCA">
        <w:rPr>
          <w:b/>
        </w:rPr>
        <w:t>’</w:t>
      </w:r>
      <w:r w:rsidRPr="000E546F">
        <w:rPr>
          <w:b/>
        </w:rPr>
        <w:t>année 2018</w:t>
      </w:r>
    </w:p>
    <w:p w:rsidR="00E255AC" w:rsidRDefault="00E255AC" w:rsidP="00E255AC">
      <w:pPr>
        <w:pStyle w:val="HChG"/>
      </w:pPr>
      <w:r>
        <w:tab/>
      </w:r>
      <w:r>
        <w:tab/>
      </w:r>
      <w:bookmarkStart w:id="1" w:name="_Toc505702997"/>
      <w:bookmarkStart w:id="2" w:name="_Toc505705752"/>
      <w:r w:rsidRPr="00E255AC">
        <w:t>Proposition</w:t>
      </w:r>
      <w:r>
        <w:t xml:space="preserve"> d</w:t>
      </w:r>
      <w:r w:rsidR="00281CCA">
        <w:t>’</w:t>
      </w:r>
      <w:r>
        <w:t xml:space="preserve">amendements aux </w:t>
      </w:r>
      <w:bookmarkEnd w:id="1"/>
      <w:bookmarkEnd w:id="2"/>
      <w:r>
        <w:t xml:space="preserve">mandat et règlement </w:t>
      </w:r>
      <w:proofErr w:type="gramStart"/>
      <w:r>
        <w:t>intérieur</w:t>
      </w:r>
      <w:proofErr w:type="gramEnd"/>
      <w:r>
        <w:t xml:space="preserve"> du Forum mondial de l</w:t>
      </w:r>
      <w:r w:rsidR="00281CCA">
        <w:t>’</w:t>
      </w:r>
      <w:r>
        <w:t>harmonisation des Règlements concernant les véhicules</w:t>
      </w:r>
      <w:r w:rsidRPr="00E255A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255AC" w:rsidRPr="001C104B" w:rsidRDefault="00E255AC" w:rsidP="00E255AC">
      <w:pPr>
        <w:pStyle w:val="H1G"/>
      </w:pPr>
      <w:r>
        <w:tab/>
      </w:r>
      <w:r>
        <w:tab/>
      </w:r>
      <w:r w:rsidRPr="00E255AC">
        <w:t>Note</w:t>
      </w:r>
      <w:r>
        <w:t xml:space="preserve"> du secrétariat</w:t>
      </w:r>
    </w:p>
    <w:p w:rsidR="00E255AC" w:rsidRPr="00A90A3A" w:rsidRDefault="00E255AC" w:rsidP="00E255AC">
      <w:pPr>
        <w:pStyle w:val="SingleTxtG"/>
      </w:pPr>
      <w:r>
        <w:tab/>
      </w:r>
      <w:r w:rsidRPr="003169FD">
        <w:t xml:space="preserve">Le </w:t>
      </w:r>
      <w:r>
        <w:t>texte ci-après est fondé sur le document</w:t>
      </w:r>
      <w:r w:rsidRPr="003169FD">
        <w:t xml:space="preserve"> </w:t>
      </w:r>
      <w:r>
        <w:t>ECE/TRANS/WP.29/690/Rev.1</w:t>
      </w:r>
      <w:r w:rsidRPr="003E5C6B">
        <w:t xml:space="preserve">, qui contient </w:t>
      </w:r>
      <w:r w:rsidRPr="00E255AC">
        <w:t>les</w:t>
      </w:r>
      <w:r>
        <w:t xml:space="preserve"> mandat et règlement intérieur du Forum mondial de l</w:t>
      </w:r>
      <w:r w:rsidR="00281CCA">
        <w:t>’</w:t>
      </w:r>
      <w:r>
        <w:t xml:space="preserve">harmonisation des Règlements concernant les véhicules. Il y est proposé de mettre </w:t>
      </w:r>
      <w:r w:rsidRPr="00A30F8E">
        <w:t xml:space="preserve">à jour la partie de ce document qui concerne le règlement </w:t>
      </w:r>
      <w:r w:rsidRPr="00D12F88">
        <w:t xml:space="preserve">intérieur afin de </w:t>
      </w:r>
      <w:r>
        <w:t>tenir compte de</w:t>
      </w:r>
      <w:r w:rsidRPr="00D12F88">
        <w:t xml:space="preserve"> la décision prise par le </w:t>
      </w:r>
      <w:r w:rsidRPr="00D12F88">
        <w:rPr>
          <w:rStyle w:val="fr"/>
          <w:bCs/>
        </w:rPr>
        <w:t>Forum mondial de l</w:t>
      </w:r>
      <w:r w:rsidR="00281CCA">
        <w:rPr>
          <w:rStyle w:val="fr"/>
          <w:bCs/>
        </w:rPr>
        <w:t>’</w:t>
      </w:r>
      <w:r w:rsidRPr="00D12F88">
        <w:rPr>
          <w:rStyle w:val="fr"/>
          <w:bCs/>
        </w:rPr>
        <w:t xml:space="preserve">harmonisation des Règlements concernant les véhicules </w:t>
      </w:r>
      <w:r w:rsidRPr="00D12F88">
        <w:t>(WP.29)</w:t>
      </w:r>
      <w:r>
        <w:t>,</w:t>
      </w:r>
      <w:r w:rsidRPr="00D12F88">
        <w:t xml:space="preserve"> à sa session de juin 2018</w:t>
      </w:r>
      <w:r>
        <w:t>,</w:t>
      </w:r>
      <w:r w:rsidRPr="00D12F88">
        <w:t xml:space="preserve"> de transformer le </w:t>
      </w:r>
      <w:r w:rsidRPr="00D12F88">
        <w:rPr>
          <w:rStyle w:val="fr"/>
          <w:bCs/>
        </w:rPr>
        <w:t xml:space="preserve">Groupe de travail en matière de roulement et de freinage en </w:t>
      </w:r>
      <w:r w:rsidRPr="00D12F88">
        <w:rPr>
          <w:bCs/>
          <w:lang w:val="fr-FR"/>
        </w:rPr>
        <w:t>Groupe de travail des véhicules automati</w:t>
      </w:r>
      <w:r>
        <w:rPr>
          <w:bCs/>
          <w:lang w:val="fr-FR"/>
        </w:rPr>
        <w:t>sés</w:t>
      </w:r>
      <w:r w:rsidRPr="00D12F88">
        <w:rPr>
          <w:bCs/>
          <w:lang w:val="fr-FR"/>
        </w:rPr>
        <w:t xml:space="preserve">/autonomes et connectés, </w:t>
      </w:r>
      <w:r>
        <w:rPr>
          <w:bCs/>
          <w:lang w:val="fr-FR"/>
        </w:rPr>
        <w:t>ainsi que</w:t>
      </w:r>
      <w:r w:rsidRPr="00D12F88">
        <w:rPr>
          <w:bCs/>
          <w:lang w:val="fr-FR"/>
        </w:rPr>
        <w:t xml:space="preserve"> </w:t>
      </w:r>
      <w:r>
        <w:rPr>
          <w:bCs/>
          <w:lang w:val="fr-FR"/>
        </w:rPr>
        <w:t>de</w:t>
      </w:r>
      <w:r w:rsidRPr="00D12F88">
        <w:rPr>
          <w:bCs/>
          <w:lang w:val="fr-FR"/>
        </w:rPr>
        <w:t xml:space="preserve"> la redistribution de plusieurs tâches qui s</w:t>
      </w:r>
      <w:r w:rsidR="00281CCA">
        <w:rPr>
          <w:bCs/>
          <w:lang w:val="fr-FR"/>
        </w:rPr>
        <w:t>’</w:t>
      </w:r>
      <w:r w:rsidRPr="00D12F88">
        <w:rPr>
          <w:bCs/>
          <w:lang w:val="fr-FR"/>
        </w:rPr>
        <w:t>est ensuivie. Avec l</w:t>
      </w:r>
      <w:r w:rsidR="00281CCA">
        <w:rPr>
          <w:bCs/>
          <w:lang w:val="fr-FR"/>
        </w:rPr>
        <w:t>’</w:t>
      </w:r>
      <w:r w:rsidRPr="00D12F88">
        <w:rPr>
          <w:bCs/>
          <w:lang w:val="fr-FR"/>
        </w:rPr>
        <w:t>adoption du présent document, le « Groupe de travail du bruit (GRB) » sera</w:t>
      </w:r>
      <w:r>
        <w:rPr>
          <w:bCs/>
          <w:lang w:val="fr-FR"/>
        </w:rPr>
        <w:t>it</w:t>
      </w:r>
      <w:r w:rsidRPr="00D12F88">
        <w:rPr>
          <w:bCs/>
          <w:lang w:val="fr-FR"/>
        </w:rPr>
        <w:t xml:space="preserve"> </w:t>
      </w:r>
      <w:r>
        <w:rPr>
          <w:bCs/>
          <w:lang w:val="fr-FR"/>
        </w:rPr>
        <w:t>renommé</w:t>
      </w:r>
      <w:r w:rsidR="00871688">
        <w:rPr>
          <w:bCs/>
          <w:lang w:val="fr-FR"/>
        </w:rPr>
        <w:t xml:space="preserve"> « Groupe de travail du </w:t>
      </w:r>
      <w:r w:rsidRPr="00D12F88">
        <w:rPr>
          <w:bCs/>
          <w:lang w:val="fr-FR"/>
        </w:rPr>
        <w:t xml:space="preserve">bruit et des pneumatiques (GRBP) ». Les modifications </w:t>
      </w:r>
      <w:r>
        <w:rPr>
          <w:bCs/>
          <w:lang w:val="fr-FR"/>
        </w:rPr>
        <w:t>proposées concernant les</w:t>
      </w:r>
      <w:r w:rsidR="0096140B">
        <w:rPr>
          <w:bCs/>
          <w:lang w:val="fr-FR"/>
        </w:rPr>
        <w:t xml:space="preserve"> articles </w:t>
      </w:r>
      <w:r w:rsidRPr="00D12F88">
        <w:rPr>
          <w:bCs/>
          <w:lang w:val="fr-FR"/>
        </w:rPr>
        <w:t xml:space="preserve">35 et 37 sont des clarifications préparées par le secrétariat par souci de cohérence et </w:t>
      </w:r>
      <w:r>
        <w:rPr>
          <w:bCs/>
          <w:lang w:val="fr-FR"/>
        </w:rPr>
        <w:t>sont indiquées</w:t>
      </w:r>
      <w:r w:rsidRPr="00D12F88">
        <w:rPr>
          <w:bCs/>
          <w:lang w:val="fr-FR"/>
        </w:rPr>
        <w:t xml:space="preserve"> ent</w:t>
      </w:r>
      <w:r>
        <w:rPr>
          <w:bCs/>
          <w:lang w:val="fr-FR"/>
        </w:rPr>
        <w:t xml:space="preserve">re crochets. </w:t>
      </w:r>
      <w:r w:rsidRPr="00A47C4F">
        <w:rPr>
          <w:lang w:val="fr-FR"/>
        </w:rPr>
        <w:t xml:space="preserve">Les modifications </w:t>
      </w:r>
      <w:r w:rsidRPr="00A47C4F">
        <w:rPr>
          <w:rStyle w:val="spelle"/>
          <w:lang w:val="fr-FR"/>
        </w:rPr>
        <w:t>qu</w:t>
      </w:r>
      <w:r w:rsidR="00281CCA">
        <w:rPr>
          <w:rStyle w:val="spelle"/>
          <w:lang w:val="fr-FR"/>
        </w:rPr>
        <w:t>’</w:t>
      </w:r>
      <w:r w:rsidRPr="00A47C4F">
        <w:rPr>
          <w:rStyle w:val="spelle"/>
          <w:lang w:val="fr-FR"/>
        </w:rPr>
        <w:t>il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est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proposé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d</w:t>
      </w:r>
      <w:r w:rsidR="00281CCA">
        <w:rPr>
          <w:rStyle w:val="spelle"/>
          <w:lang w:val="fr-FR"/>
        </w:rPr>
        <w:t>’</w:t>
      </w:r>
      <w:r w:rsidRPr="00A47C4F">
        <w:rPr>
          <w:rStyle w:val="spelle"/>
          <w:lang w:val="fr-FR"/>
        </w:rPr>
        <w:t>apporter</w:t>
      </w:r>
      <w:r w:rsidRPr="00A47C4F">
        <w:rPr>
          <w:lang w:val="fr-FR"/>
        </w:rPr>
        <w:t xml:space="preserve"> au </w:t>
      </w:r>
      <w:r w:rsidRPr="00A47C4F">
        <w:rPr>
          <w:rStyle w:val="spelle"/>
          <w:lang w:val="fr-FR"/>
        </w:rPr>
        <w:t>texte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actuel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figurent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en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caractères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gras</w:t>
      </w:r>
      <w:r w:rsidRPr="00A47C4F">
        <w:rPr>
          <w:lang w:val="fr-FR"/>
        </w:rPr>
        <w:t xml:space="preserve"> pour les </w:t>
      </w:r>
      <w:r w:rsidRPr="00A47C4F">
        <w:rPr>
          <w:rStyle w:val="spelle"/>
          <w:lang w:val="fr-FR"/>
        </w:rPr>
        <w:t>ajouts</w:t>
      </w:r>
      <w:r w:rsidRPr="00A47C4F">
        <w:rPr>
          <w:lang w:val="fr-FR"/>
        </w:rPr>
        <w:t xml:space="preserve"> et </w:t>
      </w:r>
      <w:r w:rsidRPr="00A47C4F">
        <w:rPr>
          <w:rStyle w:val="spelle"/>
          <w:lang w:val="fr-FR"/>
        </w:rPr>
        <w:t>biffés</w:t>
      </w:r>
      <w:r w:rsidRPr="00A47C4F">
        <w:rPr>
          <w:lang w:val="fr-FR"/>
        </w:rPr>
        <w:t xml:space="preserve"> pour les suppressions</w:t>
      </w:r>
      <w:r>
        <w:t>.</w:t>
      </w:r>
    </w:p>
    <w:p w:rsidR="00E255AC" w:rsidRPr="006037C1" w:rsidRDefault="00E255AC" w:rsidP="00281CCA">
      <w:pPr>
        <w:pStyle w:val="HChG"/>
      </w:pPr>
      <w:r>
        <w:rPr>
          <w:i/>
          <w:iCs/>
        </w:rPr>
        <w:br w:type="page"/>
      </w:r>
      <w:r>
        <w:lastRenderedPageBreak/>
        <w:tab/>
        <w:t>I.</w:t>
      </w:r>
      <w:r>
        <w:tab/>
        <w:t>Proposition</w:t>
      </w:r>
    </w:p>
    <w:p w:rsidR="00E255AC" w:rsidRPr="00281CCA" w:rsidRDefault="00E255AC" w:rsidP="00281CCA">
      <w:pPr>
        <w:pStyle w:val="SingleTxtG"/>
      </w:pPr>
      <w:r w:rsidRPr="00426FD5">
        <w:t>[</w:t>
      </w:r>
      <w:r>
        <w:rPr>
          <w:i/>
          <w:iCs/>
        </w:rPr>
        <w:t>Article 35</w:t>
      </w:r>
      <w:r w:rsidRPr="0096140B">
        <w:rPr>
          <w:iCs/>
        </w:rPr>
        <w:t>,</w:t>
      </w:r>
      <w:r>
        <w:rPr>
          <w:i/>
          <w:iCs/>
        </w:rPr>
        <w:t xml:space="preserve"> </w:t>
      </w:r>
      <w:r>
        <w:t>modifier comme suit</w:t>
      </w:r>
      <w:r w:rsidR="00281CCA">
        <w:t> </w:t>
      </w:r>
      <w:r>
        <w:t>:</w:t>
      </w:r>
    </w:p>
    <w:p w:rsidR="00E255AC" w:rsidRPr="00EF33EC" w:rsidRDefault="00E255AC" w:rsidP="00E255AC">
      <w:pPr>
        <w:pStyle w:val="H1G"/>
        <w:ind w:left="0" w:right="0" w:firstLine="0"/>
        <w:jc w:val="center"/>
        <w:rPr>
          <w:b w:val="0"/>
        </w:rPr>
      </w:pPr>
      <w:r w:rsidRPr="00281CCA">
        <w:rPr>
          <w:rStyle w:val="SingleTxtGChar"/>
          <w:b w:val="0"/>
        </w:rPr>
        <w:t>« </w:t>
      </w:r>
      <w:r>
        <w:t>Article</w:t>
      </w:r>
      <w:r w:rsidRPr="00EF33EC">
        <w:t xml:space="preserve"> 3</w:t>
      </w:r>
      <w:r>
        <w:t>5</w:t>
      </w:r>
    </w:p>
    <w:p w:rsidR="00E255AC" w:rsidRPr="00EE024D" w:rsidRDefault="00281CCA" w:rsidP="00E255AC">
      <w:pPr>
        <w:pStyle w:val="SingleTxtG"/>
      </w:pPr>
      <w:r>
        <w:tab/>
      </w:r>
      <w:r w:rsidR="00E255AC">
        <w:t xml:space="preserve">Les organes subsidiaires du WP.29 </w:t>
      </w:r>
      <w:r w:rsidR="00E255AC" w:rsidRPr="00D0469B">
        <w:rPr>
          <w:b/>
        </w:rPr>
        <w:t>agissent dans le cadre du mandat du WP.29</w:t>
      </w:r>
      <w:r w:rsidR="00E255AC">
        <w:t xml:space="preserve"> </w:t>
      </w:r>
      <w:r w:rsidR="00E255AC">
        <w:rPr>
          <w:b/>
          <w:bCs/>
        </w:rPr>
        <w:t>et</w:t>
      </w:r>
      <w:r w:rsidR="00E255AC">
        <w:t xml:space="preserve"> appliquent le Règlement intérieur du WP.29 comme il convient. ».]</w:t>
      </w:r>
    </w:p>
    <w:p w:rsidR="00E255AC" w:rsidRPr="00396B64" w:rsidRDefault="00E255AC" w:rsidP="00E255AC">
      <w:pPr>
        <w:pStyle w:val="SingleTxtG"/>
      </w:pPr>
      <w:r>
        <w:t>[</w:t>
      </w:r>
      <w:r>
        <w:rPr>
          <w:i/>
          <w:iCs/>
        </w:rPr>
        <w:t>Article</w:t>
      </w:r>
      <w:r w:rsidRPr="00F45B6B">
        <w:rPr>
          <w:i/>
          <w:iCs/>
        </w:rPr>
        <w:t xml:space="preserve"> 37</w:t>
      </w:r>
      <w:r w:rsidRPr="0096140B">
        <w:rPr>
          <w:iCs/>
        </w:rPr>
        <w:t>,</w:t>
      </w:r>
      <w:r>
        <w:t xml:space="preserve"> </w:t>
      </w:r>
      <w:r w:rsidR="00281CCA">
        <w:t>modifier comme suit </w:t>
      </w:r>
      <w:r>
        <w:t>:</w:t>
      </w:r>
    </w:p>
    <w:p w:rsidR="00E255AC" w:rsidRPr="00EF33EC" w:rsidRDefault="00E255AC" w:rsidP="00E255AC">
      <w:pPr>
        <w:pStyle w:val="H1G"/>
        <w:ind w:left="0" w:right="0" w:firstLine="0"/>
        <w:jc w:val="center"/>
        <w:rPr>
          <w:b w:val="0"/>
        </w:rPr>
      </w:pPr>
      <w:bookmarkStart w:id="3" w:name="_Toc505703057"/>
      <w:bookmarkStart w:id="4" w:name="_Toc505705812"/>
      <w:r w:rsidRPr="00281CCA">
        <w:rPr>
          <w:rStyle w:val="SingleTxtGChar"/>
          <w:b w:val="0"/>
        </w:rPr>
        <w:t>« </w:t>
      </w:r>
      <w:r>
        <w:t>Article</w:t>
      </w:r>
      <w:r w:rsidRPr="00EF33EC">
        <w:t xml:space="preserve"> 37</w:t>
      </w:r>
      <w:bookmarkEnd w:id="3"/>
      <w:bookmarkEnd w:id="4"/>
    </w:p>
    <w:p w:rsidR="00E255AC" w:rsidRPr="00396B64" w:rsidRDefault="00E255AC" w:rsidP="00E255AC">
      <w:pPr>
        <w:pStyle w:val="SingleTxtG"/>
      </w:pPr>
      <w:r w:rsidRPr="00396B64">
        <w:tab/>
      </w:r>
      <w:r>
        <w:t>À la fin de sa dernière session de chaque année, chaque organe subsidiaire du WP.29 élit les experts agréés par les participants, au sens de l</w:t>
      </w:r>
      <w:r w:rsidR="00281CCA">
        <w:t>’</w:t>
      </w:r>
      <w:r>
        <w:t>article 1 a), un Président et, s</w:t>
      </w:r>
      <w:r w:rsidR="00281CCA">
        <w:t>’</w:t>
      </w:r>
      <w:r>
        <w:t>il le souhaite</w:t>
      </w:r>
      <w:r w:rsidRPr="00396B64">
        <w:t xml:space="preserve">, </w:t>
      </w:r>
      <w:r>
        <w:rPr>
          <w:strike/>
        </w:rPr>
        <w:t>un</w:t>
      </w:r>
      <w:r w:rsidRPr="002854B3">
        <w:rPr>
          <w:strike/>
        </w:rPr>
        <w:t xml:space="preserve"> </w:t>
      </w:r>
      <w:r w:rsidRPr="00732293">
        <w:rPr>
          <w:b/>
        </w:rPr>
        <w:t>des</w:t>
      </w:r>
      <w:r w:rsidRPr="00732293">
        <w:t xml:space="preserve"> </w:t>
      </w:r>
      <w:r w:rsidRPr="00396B64">
        <w:t>Vice-</w:t>
      </w:r>
      <w:r>
        <w:t>Président</w:t>
      </w:r>
      <w:r w:rsidRPr="00160640">
        <w:rPr>
          <w:b/>
          <w:bCs/>
        </w:rPr>
        <w:t>s</w:t>
      </w:r>
      <w:r w:rsidRPr="00396B64">
        <w:t>.</w:t>
      </w:r>
      <w:r>
        <w:t> ».]</w:t>
      </w:r>
    </w:p>
    <w:p w:rsidR="00E255AC" w:rsidRDefault="00E255AC" w:rsidP="00E255AC">
      <w:pPr>
        <w:pStyle w:val="SingleTxtG"/>
        <w:keepNext/>
        <w:keepLines/>
      </w:pPr>
      <w:r w:rsidRPr="00A90A3A">
        <w:rPr>
          <w:i/>
          <w:iCs/>
        </w:rPr>
        <w:t>Annex</w:t>
      </w:r>
      <w:r>
        <w:rPr>
          <w:i/>
          <w:iCs/>
        </w:rPr>
        <w:t>e</w:t>
      </w:r>
      <w:r w:rsidRPr="00A90A3A">
        <w:rPr>
          <w:i/>
          <w:iCs/>
        </w:rPr>
        <w:t xml:space="preserve"> 2</w:t>
      </w:r>
      <w:r>
        <w:t xml:space="preserve">, </w:t>
      </w:r>
      <w:r w:rsidR="00281CCA">
        <w:t>modifier comme suit </w:t>
      </w:r>
      <w:r>
        <w:t>:</w:t>
      </w:r>
    </w:p>
    <w:p w:rsidR="00E255AC" w:rsidRPr="00C773B0" w:rsidRDefault="00E255AC" w:rsidP="00E255AC">
      <w:pPr>
        <w:pStyle w:val="HChG"/>
      </w:pPr>
      <w:bookmarkStart w:id="5" w:name="_Toc505703064"/>
      <w:bookmarkStart w:id="6" w:name="_Toc505705819"/>
      <w:r w:rsidRPr="00281CCA">
        <w:rPr>
          <w:rStyle w:val="SingleTxtGChar"/>
          <w:b w:val="0"/>
        </w:rPr>
        <w:t>« </w:t>
      </w:r>
      <w:r w:rsidRPr="00C773B0">
        <w:t>Annex</w:t>
      </w:r>
      <w:r>
        <w:t>e</w:t>
      </w:r>
      <w:r w:rsidRPr="00C773B0">
        <w:t xml:space="preserve"> 2</w:t>
      </w:r>
      <w:bookmarkEnd w:id="5"/>
      <w:bookmarkEnd w:id="6"/>
    </w:p>
    <w:p w:rsidR="00E255AC" w:rsidRPr="00396B64" w:rsidRDefault="00E255AC" w:rsidP="00281CCA">
      <w:pPr>
        <w:pStyle w:val="HChG"/>
        <w:rPr>
          <w:b w:val="0"/>
          <w:szCs w:val="28"/>
        </w:rPr>
      </w:pPr>
      <w:r>
        <w:tab/>
      </w:r>
      <w:r>
        <w:tab/>
      </w:r>
      <w:bookmarkStart w:id="7" w:name="_Toc505703065"/>
      <w:bookmarkStart w:id="8" w:name="_Toc505705820"/>
      <w:r w:rsidRPr="003169FD">
        <w:t xml:space="preserve">Organes </w:t>
      </w:r>
      <w:r w:rsidRPr="00281CCA">
        <w:t>subsidiaires</w:t>
      </w:r>
      <w:r w:rsidRPr="003169FD">
        <w:t xml:space="preserve"> du</w:t>
      </w:r>
      <w:r w:rsidRPr="003169FD">
        <w:rPr>
          <w:szCs w:val="28"/>
        </w:rPr>
        <w:t xml:space="preserve"> WP.29</w:t>
      </w:r>
      <w:bookmarkEnd w:id="7"/>
      <w:bookmarkEnd w:id="8"/>
    </w:p>
    <w:p w:rsidR="00E255AC" w:rsidRPr="00281CCA" w:rsidRDefault="00E255AC" w:rsidP="00281CCA">
      <w:pPr>
        <w:pStyle w:val="SingleTxtG"/>
        <w:tabs>
          <w:tab w:val="left" w:pos="7371"/>
        </w:tabs>
      </w:pPr>
      <w:r w:rsidRPr="003169FD">
        <w:t>Groupe de travail de la pollution et de l</w:t>
      </w:r>
      <w:r w:rsidR="00281CCA">
        <w:t>’</w:t>
      </w:r>
      <w:r w:rsidRPr="003169FD">
        <w:t>énergie</w:t>
      </w:r>
      <w:r w:rsidRPr="00EF33EC">
        <w:tab/>
      </w:r>
      <w:r w:rsidRPr="00EF33EC">
        <w:tab/>
        <w:t>(GRPE)</w:t>
      </w:r>
    </w:p>
    <w:p w:rsidR="00E255AC" w:rsidRPr="00EF33EC" w:rsidRDefault="00E255AC" w:rsidP="00281CCA">
      <w:pPr>
        <w:pStyle w:val="SingleTxtG"/>
        <w:tabs>
          <w:tab w:val="left" w:pos="7371"/>
        </w:tabs>
      </w:pPr>
      <w:r w:rsidRPr="003169FD">
        <w:t>Groupe de travail des dispositions générales de sécurité</w:t>
      </w:r>
      <w:r w:rsidRPr="00EF33EC">
        <w:tab/>
      </w:r>
      <w:r w:rsidR="00281CCA">
        <w:tab/>
      </w:r>
      <w:r w:rsidRPr="00EF33EC">
        <w:t>(GRSG)</w:t>
      </w:r>
    </w:p>
    <w:p w:rsidR="00E255AC" w:rsidRDefault="00E255AC" w:rsidP="00281CCA">
      <w:pPr>
        <w:pStyle w:val="SingleTxtG"/>
        <w:tabs>
          <w:tab w:val="left" w:pos="7371"/>
        </w:tabs>
      </w:pPr>
      <w:r w:rsidRPr="0053514F">
        <w:rPr>
          <w:strike/>
        </w:rPr>
        <w:t>Groupe de travail en matière de roulement et de freinage</w:t>
      </w:r>
      <w:r w:rsidRPr="0053514F">
        <w:rPr>
          <w:strike/>
        </w:rPr>
        <w:tab/>
      </w:r>
      <w:r w:rsidR="00281CCA">
        <w:tab/>
      </w:r>
      <w:r w:rsidRPr="00160640">
        <w:rPr>
          <w:strike/>
        </w:rPr>
        <w:t>(GRRF)</w:t>
      </w:r>
    </w:p>
    <w:p w:rsidR="00E255AC" w:rsidRPr="0053514F" w:rsidRDefault="00E255AC" w:rsidP="00281CCA">
      <w:pPr>
        <w:pStyle w:val="SingleTxtG"/>
        <w:tabs>
          <w:tab w:val="left" w:pos="7371"/>
        </w:tabs>
        <w:rPr>
          <w:b/>
          <w:bCs/>
        </w:rPr>
      </w:pPr>
      <w:r w:rsidRPr="0053514F">
        <w:rPr>
          <w:b/>
          <w:bCs/>
          <w:lang w:val="fr-FR"/>
        </w:rPr>
        <w:t xml:space="preserve">Groupe de travail </w:t>
      </w:r>
      <w:r>
        <w:rPr>
          <w:b/>
          <w:bCs/>
          <w:lang w:val="fr-FR"/>
        </w:rPr>
        <w:t>des</w:t>
      </w:r>
      <w:r w:rsidRPr="0053514F">
        <w:rPr>
          <w:b/>
          <w:bCs/>
          <w:lang w:val="fr-FR"/>
        </w:rPr>
        <w:t xml:space="preserve"> véhicules automati</w:t>
      </w:r>
      <w:r>
        <w:rPr>
          <w:b/>
          <w:bCs/>
          <w:lang w:val="fr-FR"/>
        </w:rPr>
        <w:t>sés</w:t>
      </w:r>
      <w:r w:rsidRPr="0053514F">
        <w:rPr>
          <w:b/>
          <w:bCs/>
          <w:lang w:val="fr-FR"/>
        </w:rPr>
        <w:t>/autonomes et connectés</w:t>
      </w:r>
      <w:r w:rsidRPr="0053514F">
        <w:rPr>
          <w:b/>
          <w:bCs/>
        </w:rPr>
        <w:tab/>
        <w:t>(GRVA)</w:t>
      </w:r>
    </w:p>
    <w:p w:rsidR="00E255AC" w:rsidRPr="00EF33EC" w:rsidRDefault="00E255AC" w:rsidP="00281CCA">
      <w:pPr>
        <w:pStyle w:val="SingleTxtG"/>
        <w:tabs>
          <w:tab w:val="left" w:pos="7371"/>
        </w:tabs>
      </w:pPr>
      <w:r>
        <w:t>Groupe de travail de l</w:t>
      </w:r>
      <w:r w:rsidR="00281CCA">
        <w:t>’</w:t>
      </w:r>
      <w:r>
        <w:t>éclairage et de la signalisation lumineuse</w:t>
      </w:r>
      <w:r w:rsidRPr="00EF33EC">
        <w:tab/>
      </w:r>
      <w:r w:rsidR="00281CCA">
        <w:tab/>
      </w:r>
      <w:r w:rsidRPr="00EF33EC">
        <w:t>(GRE)</w:t>
      </w:r>
    </w:p>
    <w:p w:rsidR="00E255AC" w:rsidRPr="00EF33EC" w:rsidRDefault="00E255AC" w:rsidP="00281CCA">
      <w:pPr>
        <w:pStyle w:val="SingleTxtG"/>
        <w:tabs>
          <w:tab w:val="left" w:pos="7371"/>
        </w:tabs>
      </w:pPr>
      <w:r>
        <w:t>Groupe de travail de la sécurité passive</w:t>
      </w:r>
      <w:r w:rsidR="00281CCA">
        <w:tab/>
      </w:r>
      <w:r w:rsidR="00281CCA">
        <w:tab/>
      </w:r>
      <w:r w:rsidRPr="00EF33EC">
        <w:t>(GRSP)</w:t>
      </w:r>
    </w:p>
    <w:p w:rsidR="00E255AC" w:rsidRDefault="00E255AC" w:rsidP="00281CCA">
      <w:pPr>
        <w:pStyle w:val="SingleTxtG"/>
        <w:tabs>
          <w:tab w:val="left" w:pos="7371"/>
        </w:tabs>
      </w:pPr>
      <w:r>
        <w:t xml:space="preserve">Groupe de travail du bruit </w:t>
      </w:r>
      <w:r>
        <w:rPr>
          <w:b/>
          <w:bCs/>
        </w:rPr>
        <w:t>et des pneumatiques</w:t>
      </w:r>
      <w:r w:rsidR="00281CCA">
        <w:tab/>
      </w:r>
      <w:r>
        <w:tab/>
      </w:r>
      <w:r w:rsidRPr="00EF33EC">
        <w:t>(GRB</w:t>
      </w:r>
      <w:r w:rsidRPr="00160640">
        <w:rPr>
          <w:b/>
          <w:bCs/>
        </w:rPr>
        <w:t>P</w:t>
      </w:r>
      <w:r w:rsidRPr="00EF33EC">
        <w:t>)</w:t>
      </w:r>
      <w:r>
        <w:t> ».</w:t>
      </w:r>
    </w:p>
    <w:p w:rsidR="00E255AC" w:rsidRDefault="00E255AC" w:rsidP="00281CCA">
      <w:pPr>
        <w:pStyle w:val="HChG"/>
      </w:pPr>
      <w:r>
        <w:tab/>
        <w:t>II.</w:t>
      </w:r>
      <w:r>
        <w:tab/>
      </w:r>
      <w:r w:rsidRPr="00281CCA">
        <w:t>Justification</w:t>
      </w:r>
    </w:p>
    <w:p w:rsidR="00E255AC" w:rsidRDefault="00E255AC" w:rsidP="00281CCA">
      <w:pPr>
        <w:pStyle w:val="SingleTxtG"/>
      </w:pPr>
      <w:r>
        <w:t>1.</w:t>
      </w:r>
      <w:r>
        <w:tab/>
      </w:r>
      <w:r w:rsidRPr="00895BA3">
        <w:t>Les</w:t>
      </w:r>
      <w:r>
        <w:t xml:space="preserve"> mandat et règlement intérieur du WP.29 doivent être mis à jour pour tenir compte </w:t>
      </w:r>
      <w:r w:rsidRPr="00281CCA">
        <w:t>de</w:t>
      </w:r>
      <w:r>
        <w:t xml:space="preserve"> la décision du WP.29 (ECE/TRANS/WP.29/1139, par. 33) concernant le GRVA. </w:t>
      </w:r>
    </w:p>
    <w:p w:rsidR="00E255AC" w:rsidRDefault="00E255AC" w:rsidP="00281CCA">
      <w:pPr>
        <w:pStyle w:val="SingleTxtG"/>
      </w:pPr>
      <w:r>
        <w:t>2.</w:t>
      </w:r>
      <w:r>
        <w:tab/>
        <w:t>La modification qu</w:t>
      </w:r>
      <w:r w:rsidR="00281CCA">
        <w:t>’</w:t>
      </w:r>
      <w:r>
        <w:t xml:space="preserve">il est proposé </w:t>
      </w:r>
      <w:r w:rsidRPr="00D0469B">
        <w:t>d</w:t>
      </w:r>
      <w:r w:rsidR="00281CCA">
        <w:t>’</w:t>
      </w:r>
      <w:r w:rsidRPr="00D0469B">
        <w:t>apporter à l</w:t>
      </w:r>
      <w:r w:rsidR="00281CCA">
        <w:t>’</w:t>
      </w:r>
      <w:r w:rsidR="00794382">
        <w:t>article </w:t>
      </w:r>
      <w:r w:rsidRPr="00D0469B">
        <w:t>35 vise à clarifier ce dernier et est déjà appliquée implicitement.</w:t>
      </w:r>
    </w:p>
    <w:p w:rsidR="00E255AC" w:rsidRDefault="00E255AC" w:rsidP="00281CCA">
      <w:pPr>
        <w:pStyle w:val="SingleTxtG"/>
      </w:pPr>
      <w:r>
        <w:t>3.</w:t>
      </w:r>
      <w:r>
        <w:tab/>
        <w:t>La modification qu</w:t>
      </w:r>
      <w:r w:rsidR="00281CCA">
        <w:t>’</w:t>
      </w:r>
      <w:r>
        <w:t>il est proposé d</w:t>
      </w:r>
      <w:r w:rsidR="00281CCA">
        <w:t>’</w:t>
      </w:r>
      <w:r>
        <w:t>apporter à l</w:t>
      </w:r>
      <w:r w:rsidR="00281CCA">
        <w:t>’</w:t>
      </w:r>
      <w:r>
        <w:t>a</w:t>
      </w:r>
      <w:r w:rsidR="00794382">
        <w:t>rticle </w:t>
      </w:r>
      <w:r>
        <w:t>37 vise à l</w:t>
      </w:r>
      <w:r w:rsidR="00281CCA">
        <w:t>’</w:t>
      </w:r>
      <w:r>
        <w:t>aligner sur l</w:t>
      </w:r>
      <w:r w:rsidR="00281CCA">
        <w:t>’</w:t>
      </w:r>
      <w:r w:rsidR="00794382">
        <w:t>article </w:t>
      </w:r>
      <w:r>
        <w:t>13.</w:t>
      </w:r>
    </w:p>
    <w:p w:rsidR="00F9573C" w:rsidRDefault="00E255AC" w:rsidP="00281CCA">
      <w:pPr>
        <w:pStyle w:val="SingleTxtG"/>
      </w:pPr>
      <w:r>
        <w:t>4.</w:t>
      </w:r>
      <w:r>
        <w:tab/>
        <w:t>La liste des Groupes de travail proposée dans l</w:t>
      </w:r>
      <w:r w:rsidR="00281CCA">
        <w:t>’</w:t>
      </w:r>
      <w:r w:rsidR="00794382">
        <w:t>annexe </w:t>
      </w:r>
      <w:r>
        <w:t>2 est mise à jour pour tenir compte de la décision du WP</w:t>
      </w:r>
      <w:r w:rsidR="00794382">
        <w:t>.29 (ECE/TRANS/WP.29/1139, par. </w:t>
      </w:r>
      <w:r>
        <w:t xml:space="preserve">33) et de la discussion au cours de laquelle il a été établi que le GRB devrait être rebaptisé Groupe de travail du bruit </w:t>
      </w:r>
      <w:r>
        <w:rPr>
          <w:b/>
          <w:bCs/>
        </w:rPr>
        <w:t>et des pneumatiques</w:t>
      </w:r>
      <w:r>
        <w:t xml:space="preserve"> </w:t>
      </w:r>
      <w:r w:rsidRPr="00EF33EC">
        <w:t>(GRB</w:t>
      </w:r>
      <w:r w:rsidRPr="00160640">
        <w:rPr>
          <w:b/>
          <w:bCs/>
        </w:rPr>
        <w:t>P</w:t>
      </w:r>
      <w:r w:rsidRPr="00EF33EC">
        <w:t>)</w:t>
      </w:r>
      <w:r>
        <w:t>, ce qui n</w:t>
      </w:r>
      <w:r w:rsidR="00281CCA">
        <w:t>’</w:t>
      </w:r>
      <w:r>
        <w:t>a pas été formellement consigné dans le rapport.</w:t>
      </w:r>
    </w:p>
    <w:p w:rsidR="00281CCA" w:rsidRPr="00281CCA" w:rsidRDefault="00281CCA" w:rsidP="00281CC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1CCA" w:rsidRPr="00281CCA" w:rsidSect="00E255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E0" w:rsidRDefault="00212EE0" w:rsidP="00F95C08">
      <w:pPr>
        <w:spacing w:line="240" w:lineRule="auto"/>
      </w:pPr>
    </w:p>
  </w:endnote>
  <w:endnote w:type="continuationSeparator" w:id="0">
    <w:p w:rsidR="00212EE0" w:rsidRPr="00AC3823" w:rsidRDefault="00212EE0" w:rsidP="00AC3823">
      <w:pPr>
        <w:pStyle w:val="Footer"/>
      </w:pPr>
    </w:p>
  </w:endnote>
  <w:endnote w:type="continuationNotice" w:id="1">
    <w:p w:rsidR="00212EE0" w:rsidRDefault="00212E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AC" w:rsidRPr="00E255AC" w:rsidRDefault="00E255AC" w:rsidP="00E255AC">
    <w:pPr>
      <w:pStyle w:val="Footer"/>
      <w:tabs>
        <w:tab w:val="right" w:pos="9638"/>
      </w:tabs>
    </w:pPr>
    <w:r w:rsidRPr="00E255AC">
      <w:rPr>
        <w:b/>
        <w:sz w:val="18"/>
      </w:rPr>
      <w:fldChar w:fldCharType="begin"/>
    </w:r>
    <w:r w:rsidRPr="00E255AC">
      <w:rPr>
        <w:b/>
        <w:sz w:val="18"/>
      </w:rPr>
      <w:instrText xml:space="preserve"> PAGE  \* MERGEFORMAT </w:instrText>
    </w:r>
    <w:r w:rsidRPr="00E255AC">
      <w:rPr>
        <w:b/>
        <w:sz w:val="18"/>
      </w:rPr>
      <w:fldChar w:fldCharType="separate"/>
    </w:r>
    <w:r w:rsidR="002E204D">
      <w:rPr>
        <w:b/>
        <w:noProof/>
        <w:sz w:val="18"/>
      </w:rPr>
      <w:t>2</w:t>
    </w:r>
    <w:r w:rsidRPr="00E255AC">
      <w:rPr>
        <w:b/>
        <w:sz w:val="18"/>
      </w:rPr>
      <w:fldChar w:fldCharType="end"/>
    </w:r>
    <w:r>
      <w:rPr>
        <w:b/>
        <w:sz w:val="18"/>
      </w:rPr>
      <w:tab/>
    </w:r>
    <w:r>
      <w:t>GE.18-14532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AC" w:rsidRPr="00E255AC" w:rsidRDefault="00E255AC" w:rsidP="00E255AC">
    <w:pPr>
      <w:pStyle w:val="Footer"/>
      <w:tabs>
        <w:tab w:val="right" w:pos="9638"/>
      </w:tabs>
      <w:rPr>
        <w:b/>
        <w:sz w:val="18"/>
      </w:rPr>
    </w:pPr>
    <w:r>
      <w:t>GE.18-14532</w:t>
    </w:r>
    <w:r>
      <w:tab/>
    </w:r>
    <w:r w:rsidRPr="00E255AC">
      <w:rPr>
        <w:b/>
        <w:sz w:val="18"/>
      </w:rPr>
      <w:fldChar w:fldCharType="begin"/>
    </w:r>
    <w:r w:rsidRPr="00E255AC">
      <w:rPr>
        <w:b/>
        <w:sz w:val="18"/>
      </w:rPr>
      <w:instrText xml:space="preserve"> PAGE  \* MERGEFORMAT </w:instrText>
    </w:r>
    <w:r w:rsidRPr="00E255AC">
      <w:rPr>
        <w:b/>
        <w:sz w:val="18"/>
      </w:rPr>
      <w:fldChar w:fldCharType="separate"/>
    </w:r>
    <w:r w:rsidRPr="00E255AC">
      <w:rPr>
        <w:b/>
        <w:noProof/>
        <w:sz w:val="18"/>
      </w:rPr>
      <w:t>3</w:t>
    </w:r>
    <w:r w:rsidRPr="00E255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255AC" w:rsidRDefault="00E255AC" w:rsidP="00E255A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14532  (</w:t>
    </w:r>
    <w:proofErr w:type="gramEnd"/>
    <w:r>
      <w:rPr>
        <w:sz w:val="20"/>
      </w:rPr>
      <w:t>F)    170918    280918</w:t>
    </w:r>
    <w:r>
      <w:rPr>
        <w:sz w:val="20"/>
      </w:rPr>
      <w:br/>
    </w:r>
    <w:r w:rsidRPr="00E255AC">
      <w:rPr>
        <w:rFonts w:ascii="C39T30Lfz" w:hAnsi="C39T30Lfz"/>
        <w:sz w:val="56"/>
      </w:rPr>
      <w:t></w:t>
    </w:r>
    <w:r w:rsidRPr="00E255AC">
      <w:rPr>
        <w:rFonts w:ascii="C39T30Lfz" w:hAnsi="C39T30Lfz"/>
        <w:sz w:val="56"/>
      </w:rPr>
      <w:t></w:t>
    </w:r>
    <w:r w:rsidRPr="00E255AC">
      <w:rPr>
        <w:rFonts w:ascii="C39T30Lfz" w:hAnsi="C39T30Lfz"/>
        <w:sz w:val="56"/>
      </w:rPr>
      <w:t></w:t>
    </w:r>
    <w:r w:rsidRPr="00E255AC">
      <w:rPr>
        <w:rFonts w:ascii="C39T30Lfz" w:hAnsi="C39T30Lfz"/>
        <w:sz w:val="56"/>
      </w:rPr>
      <w:t></w:t>
    </w:r>
    <w:r w:rsidRPr="00E255AC">
      <w:rPr>
        <w:rFonts w:ascii="C39T30Lfz" w:hAnsi="C39T30Lfz"/>
        <w:sz w:val="56"/>
      </w:rPr>
      <w:t></w:t>
    </w:r>
    <w:r w:rsidRPr="00E255AC">
      <w:rPr>
        <w:rFonts w:ascii="C39T30Lfz" w:hAnsi="C39T30Lfz"/>
        <w:sz w:val="56"/>
      </w:rPr>
      <w:t></w:t>
    </w:r>
    <w:r w:rsidRPr="00E255AC">
      <w:rPr>
        <w:rFonts w:ascii="C39T30Lfz" w:hAnsi="C39T30Lfz"/>
        <w:sz w:val="56"/>
      </w:rPr>
      <w:t></w:t>
    </w:r>
    <w:r w:rsidRPr="00E255AC">
      <w:rPr>
        <w:rFonts w:ascii="C39T30Lfz" w:hAnsi="C39T30Lfz"/>
        <w:sz w:val="56"/>
      </w:rPr>
      <w:t></w:t>
    </w:r>
    <w:r w:rsidRPr="00E255A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6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6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E0" w:rsidRPr="00AC3823" w:rsidRDefault="00212E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2EE0" w:rsidRPr="00AC3823" w:rsidRDefault="00212E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12EE0" w:rsidRPr="00AC3823" w:rsidRDefault="00212EE0">
      <w:pPr>
        <w:spacing w:line="240" w:lineRule="auto"/>
        <w:rPr>
          <w:sz w:val="2"/>
          <w:szCs w:val="2"/>
        </w:rPr>
      </w:pPr>
    </w:p>
  </w:footnote>
  <w:footnote w:id="2">
    <w:p w:rsidR="00E255AC" w:rsidRPr="00E255AC" w:rsidRDefault="00E255AC" w:rsidP="00E255AC">
      <w:pPr>
        <w:pStyle w:val="FootnoteText"/>
        <w:rPr>
          <w:lang w:val="fr-FR"/>
        </w:rPr>
      </w:pPr>
      <w:r>
        <w:rPr>
          <w:rStyle w:val="FootnoteReference"/>
        </w:rPr>
        <w:tab/>
      </w:r>
      <w:r w:rsidRPr="00E255A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47C4F">
        <w:rPr>
          <w:rStyle w:val="spelle"/>
          <w:lang w:val="fr-FR"/>
        </w:rPr>
        <w:t>Conformément</w:t>
      </w:r>
      <w:r w:rsidRPr="00A47C4F">
        <w:rPr>
          <w:lang w:val="fr-FR"/>
        </w:rPr>
        <w:t xml:space="preserve"> au </w:t>
      </w:r>
      <w:r w:rsidRPr="00A47C4F">
        <w:rPr>
          <w:rStyle w:val="spelle"/>
          <w:lang w:val="fr-FR"/>
        </w:rPr>
        <w:t>programme</w:t>
      </w:r>
      <w:r w:rsidRPr="00A47C4F">
        <w:rPr>
          <w:lang w:val="fr-FR"/>
        </w:rPr>
        <w:t xml:space="preserve"> de travail du </w:t>
      </w:r>
      <w:r w:rsidRPr="00A47C4F">
        <w:rPr>
          <w:rStyle w:val="spelle"/>
          <w:lang w:val="fr-FR"/>
        </w:rPr>
        <w:t>Comité</w:t>
      </w:r>
      <w:r w:rsidRPr="00A47C4F">
        <w:rPr>
          <w:lang w:val="fr-FR"/>
        </w:rPr>
        <w:t xml:space="preserve"> des transports </w:t>
      </w:r>
      <w:r w:rsidRPr="00A47C4F">
        <w:rPr>
          <w:rStyle w:val="spelle"/>
          <w:lang w:val="fr-FR"/>
        </w:rPr>
        <w:t>intérieurs</w:t>
      </w:r>
      <w:r w:rsidRPr="00A47C4F">
        <w:rPr>
          <w:lang w:val="fr-FR"/>
        </w:rPr>
        <w:t xml:space="preserve"> pour la </w:t>
      </w:r>
      <w:r w:rsidRPr="00A47C4F">
        <w:rPr>
          <w:rStyle w:val="spelle"/>
          <w:lang w:val="fr-FR"/>
        </w:rPr>
        <w:t>période</w:t>
      </w:r>
      <w:r w:rsidRPr="00A47C4F">
        <w:rPr>
          <w:lang w:val="fr-FR"/>
        </w:rPr>
        <w:t xml:space="preserve"> </w:t>
      </w:r>
      <w:r>
        <w:rPr>
          <w:szCs w:val="18"/>
          <w:lang w:val="fr-FR"/>
        </w:rPr>
        <w:t>2018</w:t>
      </w:r>
      <w:r>
        <w:rPr>
          <w:szCs w:val="18"/>
          <w:lang w:val="fr-FR"/>
        </w:rPr>
        <w:noBreakHyphen/>
      </w:r>
      <w:r w:rsidR="0096140B">
        <w:rPr>
          <w:szCs w:val="18"/>
          <w:lang w:val="fr-FR"/>
        </w:rPr>
        <w:t>2019 (ECE/TRANS/274, par. </w:t>
      </w:r>
      <w:r w:rsidRPr="00A47C4F">
        <w:rPr>
          <w:szCs w:val="18"/>
          <w:lang w:val="fr-FR"/>
        </w:rPr>
        <w:t xml:space="preserve">123, et ECE/TRANS/2018/21/Add.1, module 3.1), </w:t>
      </w:r>
      <w:r w:rsidRPr="00A47C4F">
        <w:rPr>
          <w:lang w:val="fr-FR"/>
        </w:rPr>
        <w:t xml:space="preserve">le Forum </w:t>
      </w:r>
      <w:r w:rsidRPr="00A47C4F">
        <w:rPr>
          <w:rStyle w:val="spelle"/>
          <w:lang w:val="fr-FR"/>
        </w:rPr>
        <w:t>mondial</w:t>
      </w:r>
      <w:r w:rsidRPr="00A47C4F">
        <w:rPr>
          <w:lang w:val="fr-FR"/>
        </w:rPr>
        <w:t xml:space="preserve"> a pour mission </w:t>
      </w:r>
      <w:r w:rsidRPr="00A47C4F">
        <w:rPr>
          <w:rStyle w:val="spelle"/>
          <w:lang w:val="fr-FR"/>
        </w:rPr>
        <w:t>d</w:t>
      </w:r>
      <w:r>
        <w:rPr>
          <w:rStyle w:val="spelle"/>
          <w:lang w:val="fr-FR"/>
        </w:rPr>
        <w:t>’</w:t>
      </w:r>
      <w:r w:rsidRPr="00A47C4F">
        <w:rPr>
          <w:rStyle w:val="spelle"/>
          <w:lang w:val="fr-FR"/>
        </w:rPr>
        <w:t>élaborer</w:t>
      </w:r>
      <w:r w:rsidRPr="00A47C4F">
        <w:rPr>
          <w:lang w:val="fr-FR"/>
        </w:rPr>
        <w:t xml:space="preserve">, </w:t>
      </w:r>
      <w:r w:rsidRPr="00A47C4F">
        <w:rPr>
          <w:rStyle w:val="spelle"/>
          <w:lang w:val="fr-FR"/>
        </w:rPr>
        <w:t>d</w:t>
      </w:r>
      <w:r>
        <w:rPr>
          <w:rStyle w:val="spelle"/>
          <w:lang w:val="fr-FR"/>
        </w:rPr>
        <w:t>’</w:t>
      </w:r>
      <w:r w:rsidRPr="00A47C4F">
        <w:rPr>
          <w:rStyle w:val="spelle"/>
          <w:lang w:val="fr-FR"/>
        </w:rPr>
        <w:t>harmoniser</w:t>
      </w:r>
      <w:r w:rsidRPr="00A47C4F">
        <w:rPr>
          <w:lang w:val="fr-FR"/>
        </w:rPr>
        <w:t xml:space="preserve"> et de </w:t>
      </w:r>
      <w:r w:rsidRPr="00A47C4F">
        <w:rPr>
          <w:rStyle w:val="spelle"/>
          <w:lang w:val="fr-FR"/>
        </w:rPr>
        <w:t>mettre</w:t>
      </w:r>
      <w:r w:rsidRPr="00A47C4F">
        <w:rPr>
          <w:lang w:val="fr-FR"/>
        </w:rPr>
        <w:t xml:space="preserve"> à jour les </w:t>
      </w:r>
      <w:r w:rsidRPr="00A47C4F">
        <w:rPr>
          <w:rStyle w:val="spelle"/>
          <w:lang w:val="fr-FR"/>
        </w:rPr>
        <w:t>Règlements</w:t>
      </w:r>
      <w:r w:rsidR="00281CCA">
        <w:rPr>
          <w:rStyle w:val="spelle"/>
          <w:lang w:val="fr-FR"/>
        </w:rPr>
        <w:t xml:space="preserve"> ONU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en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vue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d</w:t>
      </w:r>
      <w:r>
        <w:rPr>
          <w:rStyle w:val="spelle"/>
          <w:lang w:val="fr-FR"/>
        </w:rPr>
        <w:t>’</w:t>
      </w:r>
      <w:r w:rsidRPr="00A47C4F">
        <w:rPr>
          <w:rStyle w:val="spelle"/>
          <w:lang w:val="fr-FR"/>
        </w:rPr>
        <w:t>améliorer</w:t>
      </w:r>
      <w:r w:rsidRPr="00A47C4F">
        <w:rPr>
          <w:lang w:val="fr-FR"/>
        </w:rPr>
        <w:t xml:space="preserve"> les </w:t>
      </w:r>
      <w:r w:rsidRPr="00A47C4F">
        <w:rPr>
          <w:rStyle w:val="spelle"/>
          <w:lang w:val="fr-FR"/>
        </w:rPr>
        <w:t>caractéristiques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fonctionnelles</w:t>
      </w:r>
      <w:r w:rsidRPr="00A47C4F">
        <w:rPr>
          <w:lang w:val="fr-FR"/>
        </w:rPr>
        <w:t xml:space="preserve"> des </w:t>
      </w:r>
      <w:r w:rsidRPr="00A47C4F">
        <w:rPr>
          <w:rStyle w:val="spelle"/>
          <w:lang w:val="fr-FR"/>
        </w:rPr>
        <w:t>véhicules</w:t>
      </w:r>
      <w:r w:rsidRPr="00A47C4F">
        <w:rPr>
          <w:lang w:val="fr-FR"/>
        </w:rPr>
        <w:t xml:space="preserve">. Le </w:t>
      </w:r>
      <w:r w:rsidRPr="00A47C4F">
        <w:rPr>
          <w:rStyle w:val="spelle"/>
          <w:lang w:val="fr-FR"/>
        </w:rPr>
        <w:t>présent</w:t>
      </w:r>
      <w:r w:rsidRPr="00A47C4F">
        <w:rPr>
          <w:lang w:val="fr-FR"/>
        </w:rPr>
        <w:t xml:space="preserve"> document </w:t>
      </w:r>
      <w:r w:rsidRPr="00A47C4F">
        <w:rPr>
          <w:rStyle w:val="spelle"/>
          <w:lang w:val="fr-FR"/>
        </w:rPr>
        <w:t>est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soumis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en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vertu</w:t>
      </w:r>
      <w:r w:rsidRPr="00A47C4F">
        <w:rPr>
          <w:lang w:val="fr-FR"/>
        </w:rPr>
        <w:t xml:space="preserve"> de </w:t>
      </w:r>
      <w:r w:rsidRPr="00A47C4F">
        <w:rPr>
          <w:rStyle w:val="spelle"/>
          <w:lang w:val="fr-FR"/>
        </w:rPr>
        <w:t>ce</w:t>
      </w:r>
      <w:r w:rsidRPr="00A47C4F">
        <w:rPr>
          <w:lang w:val="fr-FR"/>
        </w:rPr>
        <w:t xml:space="preserve"> </w:t>
      </w:r>
      <w:r w:rsidRPr="00A47C4F">
        <w:rPr>
          <w:rStyle w:val="spelle"/>
          <w:lang w:val="fr-FR"/>
        </w:rPr>
        <w:t>mandat</w:t>
      </w:r>
      <w:r w:rsidRPr="00A47C4F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AC" w:rsidRPr="00E255AC" w:rsidRDefault="00C9642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255AC">
      <w:t>ECE/TRANS/WP.29/2018/166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AC" w:rsidRPr="00E255AC" w:rsidRDefault="00C96424" w:rsidP="00E255A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255AC">
      <w:t>ECE/TRANS/WP.29/2018/166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E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12EE0"/>
    <w:rsid w:val="00223272"/>
    <w:rsid w:val="0024779E"/>
    <w:rsid w:val="00257168"/>
    <w:rsid w:val="002744B8"/>
    <w:rsid w:val="00281CCA"/>
    <w:rsid w:val="002832AC"/>
    <w:rsid w:val="002854B3"/>
    <w:rsid w:val="002D7C93"/>
    <w:rsid w:val="002E204D"/>
    <w:rsid w:val="00305801"/>
    <w:rsid w:val="003916DE"/>
    <w:rsid w:val="00421996"/>
    <w:rsid w:val="00441C3B"/>
    <w:rsid w:val="00446FE5"/>
    <w:rsid w:val="00452396"/>
    <w:rsid w:val="004837D8"/>
    <w:rsid w:val="00492438"/>
    <w:rsid w:val="004E2EED"/>
    <w:rsid w:val="004E468C"/>
    <w:rsid w:val="005505B7"/>
    <w:rsid w:val="00573BE5"/>
    <w:rsid w:val="00586ED3"/>
    <w:rsid w:val="00596AA9"/>
    <w:rsid w:val="0071601D"/>
    <w:rsid w:val="00794382"/>
    <w:rsid w:val="007A62E6"/>
    <w:rsid w:val="007F20FA"/>
    <w:rsid w:val="0080684C"/>
    <w:rsid w:val="00871688"/>
    <w:rsid w:val="00871C75"/>
    <w:rsid w:val="008776DC"/>
    <w:rsid w:val="009446C0"/>
    <w:rsid w:val="0096140B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672A4"/>
    <w:rsid w:val="00C96424"/>
    <w:rsid w:val="00C97039"/>
    <w:rsid w:val="00CA2C9E"/>
    <w:rsid w:val="00D3439C"/>
    <w:rsid w:val="00DB1831"/>
    <w:rsid w:val="00DD3BFD"/>
    <w:rsid w:val="00DF6678"/>
    <w:rsid w:val="00E0299A"/>
    <w:rsid w:val="00E255AC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887E01-33CE-44D8-8F7E-D9A7A9F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255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spelle">
    <w:name w:val="spelle"/>
    <w:basedOn w:val="DefaultParagraphFont"/>
    <w:rsid w:val="00E255AC"/>
  </w:style>
  <w:style w:type="character" w:customStyle="1" w:styleId="fr">
    <w:name w:val="fr"/>
    <w:basedOn w:val="DefaultParagraphFont"/>
    <w:rsid w:val="00E2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ECE/TRANS/WP.29/2018/166</vt:lpstr>
      <vt:lpstr>ECE/TRANS/WP.29/2018/166</vt:lpstr>
    </vt:vector>
  </TitlesOfParts>
  <Company>DCM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ECE/TRANS/WP.29/2018/166</dc:title>
  <dc:subject/>
  <dc:creator>Isabelle VIGNY</dc:creator>
  <cp:keywords/>
  <cp:lastModifiedBy>Rev.2/Amend.1</cp:lastModifiedBy>
  <cp:revision>2</cp:revision>
  <cp:lastPrinted>2014-05-14T10:59:00Z</cp:lastPrinted>
  <dcterms:created xsi:type="dcterms:W3CDTF">2018-10-19T15:12:00Z</dcterms:created>
  <dcterms:modified xsi:type="dcterms:W3CDTF">2018-10-19T15:12:00Z</dcterms:modified>
</cp:coreProperties>
</file>