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34" w:type="dxa"/>
        <w:tblLook w:val="0000" w:firstRow="0" w:lastRow="0" w:firstColumn="0" w:lastColumn="0" w:noHBand="0" w:noVBand="0"/>
      </w:tblPr>
      <w:tblGrid>
        <w:gridCol w:w="4678"/>
        <w:gridCol w:w="5103"/>
      </w:tblGrid>
      <w:tr w:rsidR="00DF1DD9" w:rsidRPr="000519B1" w:rsidTr="004858E7">
        <w:tc>
          <w:tcPr>
            <w:tcW w:w="4678" w:type="dxa"/>
            <w:vAlign w:val="center"/>
          </w:tcPr>
          <w:p w:rsidR="00DF1DD9" w:rsidRPr="004858E7" w:rsidRDefault="00DF1DD9" w:rsidP="004858E7">
            <w:pPr>
              <w:autoSpaceDE w:val="0"/>
              <w:autoSpaceDN w:val="0"/>
              <w:adjustRightInd w:val="0"/>
              <w:jc w:val="left"/>
              <w:rPr>
                <w:rFonts w:ascii="Times New Roman" w:hAnsi="Times New Roman" w:cs="Times New Roman"/>
                <w:sz w:val="20"/>
                <w:szCs w:val="20"/>
                <w:lang w:val="en-TT"/>
              </w:rPr>
            </w:pPr>
            <w:r w:rsidRPr="004858E7">
              <w:rPr>
                <w:rFonts w:ascii="Times New Roman" w:hAnsi="Times New Roman" w:cs="Times New Roman"/>
                <w:sz w:val="20"/>
                <w:szCs w:val="20"/>
              </w:rPr>
              <w:t>Sub</w:t>
            </w:r>
            <w:r w:rsidR="004D7CF2">
              <w:rPr>
                <w:rFonts w:ascii="Times New Roman" w:hAnsi="Times New Roman" w:cs="Times New Roman"/>
                <w:sz w:val="20"/>
                <w:szCs w:val="20"/>
              </w:rPr>
              <w:t xml:space="preserve">mitted by </w:t>
            </w:r>
            <w:r w:rsidR="00E33E3F">
              <w:rPr>
                <w:rFonts w:ascii="Times New Roman" w:hAnsi="Times New Roman" w:cs="Times New Roman"/>
                <w:sz w:val="20"/>
                <w:szCs w:val="20"/>
              </w:rPr>
              <w:t>OICA</w:t>
            </w:r>
          </w:p>
        </w:tc>
        <w:tc>
          <w:tcPr>
            <w:tcW w:w="5103" w:type="dxa"/>
          </w:tcPr>
          <w:p w:rsidR="00DF1DD9" w:rsidRPr="004858E7" w:rsidRDefault="00DF1DD9" w:rsidP="00B361A9">
            <w:pPr>
              <w:autoSpaceDE w:val="0"/>
              <w:autoSpaceDN w:val="0"/>
              <w:adjustRightInd w:val="0"/>
              <w:jc w:val="right"/>
              <w:rPr>
                <w:rFonts w:ascii="Times New Roman" w:hAnsi="Times New Roman" w:cs="Times New Roman"/>
                <w:b/>
                <w:bCs/>
                <w:sz w:val="20"/>
                <w:szCs w:val="20"/>
                <w:lang w:val="en-TT"/>
              </w:rPr>
            </w:pPr>
            <w:r w:rsidRPr="004858E7">
              <w:rPr>
                <w:rFonts w:ascii="Times New Roman" w:hAnsi="Times New Roman" w:cs="Times New Roman"/>
                <w:sz w:val="20"/>
                <w:szCs w:val="20"/>
                <w:u w:val="single"/>
                <w:lang w:val="en-TT"/>
              </w:rPr>
              <w:t>Informal document</w:t>
            </w:r>
            <w:r w:rsidRPr="004858E7">
              <w:rPr>
                <w:rFonts w:ascii="Times New Roman" w:hAnsi="Times New Roman" w:cs="Times New Roman"/>
                <w:sz w:val="20"/>
                <w:szCs w:val="20"/>
                <w:lang w:val="en-TT"/>
              </w:rPr>
              <w:t xml:space="preserve"> </w:t>
            </w:r>
            <w:r w:rsidRPr="004858E7">
              <w:rPr>
                <w:rFonts w:ascii="Times New Roman" w:hAnsi="Times New Roman" w:cs="Times New Roman"/>
                <w:b/>
                <w:bCs/>
                <w:sz w:val="20"/>
                <w:szCs w:val="20"/>
                <w:lang w:val="en-TT"/>
              </w:rPr>
              <w:t>WP.29-</w:t>
            </w:r>
            <w:r w:rsidR="004D7CF2">
              <w:rPr>
                <w:rFonts w:ascii="Times New Roman" w:hAnsi="Times New Roman" w:cs="Times New Roman"/>
                <w:b/>
                <w:bCs/>
                <w:sz w:val="20"/>
                <w:szCs w:val="20"/>
                <w:lang w:val="en-TT"/>
              </w:rPr>
              <w:t>174-</w:t>
            </w:r>
            <w:r w:rsidR="00E33E3F">
              <w:rPr>
                <w:rFonts w:ascii="Times New Roman" w:hAnsi="Times New Roman" w:cs="Times New Roman"/>
                <w:b/>
                <w:bCs/>
                <w:sz w:val="20"/>
                <w:szCs w:val="20"/>
                <w:lang w:val="en-TT"/>
              </w:rPr>
              <w:t>20</w:t>
            </w:r>
            <w:r w:rsidRPr="004858E7">
              <w:rPr>
                <w:rFonts w:ascii="Times New Roman" w:hAnsi="Times New Roman" w:cs="Times New Roman"/>
                <w:b/>
                <w:sz w:val="20"/>
                <w:szCs w:val="20"/>
                <w:u w:val="single"/>
                <w:lang w:val="en-TT"/>
              </w:rPr>
              <w:t xml:space="preserve"> </w:t>
            </w:r>
            <w:r w:rsidRPr="004858E7">
              <w:rPr>
                <w:rFonts w:ascii="Times New Roman" w:hAnsi="Times New Roman" w:cs="Times New Roman"/>
                <w:b/>
                <w:sz w:val="20"/>
                <w:szCs w:val="20"/>
                <w:lang w:val="en-TT"/>
              </w:rPr>
              <w:t xml:space="preserve"> </w:t>
            </w:r>
          </w:p>
          <w:p w:rsidR="00DF1DD9" w:rsidRPr="004858E7" w:rsidRDefault="00DF1DD9" w:rsidP="00591D27">
            <w:pPr>
              <w:autoSpaceDE w:val="0"/>
              <w:autoSpaceDN w:val="0"/>
              <w:adjustRightInd w:val="0"/>
              <w:jc w:val="right"/>
              <w:rPr>
                <w:rFonts w:ascii="Times New Roman" w:hAnsi="Times New Roman" w:cs="Times New Roman"/>
                <w:sz w:val="20"/>
                <w:szCs w:val="20"/>
                <w:lang w:val="en-TT"/>
              </w:rPr>
            </w:pPr>
            <w:r w:rsidRPr="004858E7">
              <w:rPr>
                <w:rFonts w:ascii="Times New Roman" w:hAnsi="Times New Roman" w:cs="Times New Roman"/>
                <w:sz w:val="20"/>
                <w:szCs w:val="20"/>
                <w:lang w:val="en-TT"/>
              </w:rPr>
              <w:t>(</w:t>
            </w:r>
            <w:r w:rsidR="00640621" w:rsidRPr="004858E7">
              <w:rPr>
                <w:rFonts w:ascii="Times New Roman" w:hAnsi="Times New Roman" w:cs="Times New Roman"/>
                <w:sz w:val="20"/>
                <w:szCs w:val="20"/>
                <w:lang w:val="en-TT"/>
              </w:rPr>
              <w:t>174</w:t>
            </w:r>
            <w:r w:rsidRPr="004858E7">
              <w:rPr>
                <w:rFonts w:ascii="Times New Roman" w:hAnsi="Times New Roman" w:cs="Times New Roman"/>
                <w:sz w:val="20"/>
                <w:szCs w:val="20"/>
                <w:vertAlign w:val="superscript"/>
                <w:lang w:val="en-TT"/>
              </w:rPr>
              <w:t>th</w:t>
            </w:r>
            <w:r w:rsidRPr="004858E7">
              <w:rPr>
                <w:rFonts w:ascii="Times New Roman" w:hAnsi="Times New Roman" w:cs="Times New Roman"/>
                <w:sz w:val="20"/>
                <w:szCs w:val="20"/>
                <w:lang w:val="en-TT"/>
              </w:rPr>
              <w:t xml:space="preserve"> WP.29, </w:t>
            </w:r>
            <w:r w:rsidR="00640621" w:rsidRPr="004858E7">
              <w:rPr>
                <w:rFonts w:ascii="Times New Roman" w:hAnsi="Times New Roman" w:cs="Times New Roman"/>
                <w:sz w:val="20"/>
                <w:szCs w:val="20"/>
                <w:lang w:val="en-TT"/>
              </w:rPr>
              <w:t>13-16</w:t>
            </w:r>
            <w:r w:rsidR="0042772D" w:rsidRPr="004858E7">
              <w:rPr>
                <w:rFonts w:ascii="Times New Roman" w:hAnsi="Times New Roman" w:cs="Times New Roman"/>
                <w:sz w:val="20"/>
                <w:szCs w:val="20"/>
                <w:lang w:val="en-TT"/>
              </w:rPr>
              <w:t xml:space="preserve"> </w:t>
            </w:r>
            <w:r w:rsidR="00146B0B" w:rsidRPr="004858E7">
              <w:rPr>
                <w:rFonts w:ascii="Times New Roman" w:hAnsi="Times New Roman" w:cs="Times New Roman"/>
                <w:sz w:val="20"/>
                <w:szCs w:val="20"/>
                <w:lang w:val="en-TT"/>
              </w:rPr>
              <w:t xml:space="preserve">March </w:t>
            </w:r>
            <w:r w:rsidRPr="004858E7">
              <w:rPr>
                <w:rFonts w:ascii="Times New Roman" w:hAnsi="Times New Roman" w:cs="Times New Roman"/>
                <w:sz w:val="20"/>
                <w:szCs w:val="20"/>
                <w:lang w:val="en-TT"/>
              </w:rPr>
              <w:t>201</w:t>
            </w:r>
            <w:r w:rsidR="007468D8" w:rsidRPr="004858E7">
              <w:rPr>
                <w:rFonts w:ascii="Times New Roman" w:hAnsi="Times New Roman" w:cs="Times New Roman"/>
                <w:sz w:val="20"/>
                <w:szCs w:val="20"/>
                <w:lang w:val="en-TT"/>
              </w:rPr>
              <w:t>8</w:t>
            </w:r>
            <w:r w:rsidRPr="004858E7">
              <w:rPr>
                <w:rFonts w:ascii="Times New Roman" w:hAnsi="Times New Roman" w:cs="Times New Roman"/>
                <w:sz w:val="20"/>
                <w:szCs w:val="20"/>
                <w:lang w:val="en-TT"/>
              </w:rPr>
              <w:t>)</w:t>
            </w:r>
          </w:p>
          <w:p w:rsidR="00DF1DD9" w:rsidRPr="004858E7" w:rsidRDefault="00DF1DD9" w:rsidP="00640621">
            <w:pPr>
              <w:autoSpaceDE w:val="0"/>
              <w:autoSpaceDN w:val="0"/>
              <w:adjustRightInd w:val="0"/>
              <w:jc w:val="right"/>
              <w:rPr>
                <w:rFonts w:ascii="Times New Roman" w:hAnsi="Times New Roman" w:cs="Times New Roman"/>
                <w:sz w:val="20"/>
                <w:szCs w:val="20"/>
                <w:lang w:val="en-TT"/>
              </w:rPr>
            </w:pPr>
            <w:r w:rsidRPr="004858E7">
              <w:rPr>
                <w:rFonts w:ascii="Times New Roman" w:hAnsi="Times New Roman" w:cs="Times New Roman"/>
                <w:sz w:val="20"/>
                <w:szCs w:val="20"/>
                <w:lang w:val="en-TT"/>
              </w:rPr>
              <w:t xml:space="preserve">Agenda item </w:t>
            </w:r>
            <w:r w:rsidR="00E33E3F">
              <w:rPr>
                <w:rFonts w:ascii="Times New Roman" w:hAnsi="Times New Roman" w:cs="Times New Roman"/>
                <w:sz w:val="20"/>
                <w:szCs w:val="20"/>
                <w:lang w:val="en-TT"/>
              </w:rPr>
              <w:t>4.2.2</w:t>
            </w:r>
          </w:p>
        </w:tc>
      </w:tr>
    </w:tbl>
    <w:p w:rsidR="00E33E3F" w:rsidRPr="00E33E3F" w:rsidRDefault="00E33E3F" w:rsidP="00E33E3F">
      <w:pPr>
        <w:widowControl/>
        <w:spacing w:before="240"/>
        <w:jc w:val="center"/>
        <w:rPr>
          <w:rFonts w:ascii="Calibri" w:eastAsia="DengXian" w:hAnsi="Calibri" w:cs="Calibri"/>
          <w:kern w:val="0"/>
          <w:sz w:val="32"/>
          <w:szCs w:val="32"/>
          <w:u w:val="single"/>
          <w:lang w:val="en-GB" w:eastAsia="en-US"/>
        </w:rPr>
      </w:pPr>
      <w:bookmarkStart w:id="0" w:name="_GoBack"/>
      <w:bookmarkEnd w:id="0"/>
      <w:r w:rsidRPr="00E33E3F">
        <w:rPr>
          <w:rFonts w:ascii="Calibri" w:eastAsia="DengXian" w:hAnsi="Calibri" w:cs="Calibri"/>
          <w:kern w:val="0"/>
          <w:sz w:val="32"/>
          <w:szCs w:val="32"/>
          <w:u w:val="single"/>
          <w:lang w:val="en-GB" w:eastAsia="en-US"/>
        </w:rPr>
        <w:t>Outcome: Review of supplements to ECE-Regulations under GRSP:</w:t>
      </w:r>
    </w:p>
    <w:p w:rsidR="00E33E3F" w:rsidRPr="00E33E3F" w:rsidRDefault="00E33E3F" w:rsidP="00E33E3F">
      <w:pPr>
        <w:widowControl/>
        <w:jc w:val="left"/>
        <w:rPr>
          <w:rFonts w:ascii="Calibri" w:eastAsia="DengXian" w:hAnsi="Calibri" w:cs="Calibri"/>
          <w:b/>
          <w:bCs/>
          <w:color w:val="FF0000"/>
          <w:kern w:val="0"/>
          <w:sz w:val="28"/>
          <w:szCs w:val="28"/>
          <w:u w:val="single"/>
          <w:lang w:val="en-GB" w:eastAsia="en-US"/>
        </w:rPr>
      </w:pPr>
    </w:p>
    <w:p w:rsidR="00E33E3F" w:rsidRPr="00E33E3F" w:rsidRDefault="00E33E3F" w:rsidP="00E33E3F">
      <w:pPr>
        <w:widowControl/>
        <w:jc w:val="left"/>
        <w:rPr>
          <w:rFonts w:ascii="Calibri" w:eastAsia="DengXian" w:hAnsi="Calibri" w:cs="Calibri"/>
          <w:b/>
          <w:bCs/>
          <w:color w:val="FF0000"/>
          <w:kern w:val="0"/>
          <w:sz w:val="28"/>
          <w:szCs w:val="28"/>
          <w:u w:val="single"/>
          <w:lang w:val="en-GB" w:eastAsia="en-US"/>
        </w:rPr>
      </w:pPr>
      <w:r w:rsidRPr="00E33E3F">
        <w:rPr>
          <w:rFonts w:ascii="Calibri" w:eastAsia="DengXian" w:hAnsi="Calibri" w:cs="Calibri"/>
          <w:b/>
          <w:bCs/>
          <w:color w:val="FF0000"/>
          <w:kern w:val="0"/>
          <w:sz w:val="28"/>
          <w:szCs w:val="28"/>
          <w:u w:val="single"/>
          <w:lang w:val="en-GB" w:eastAsia="en-US"/>
        </w:rPr>
        <w:t>Supplements defined as critical:</w:t>
      </w:r>
    </w:p>
    <w:p w:rsidR="00E33E3F" w:rsidRPr="00E33E3F" w:rsidRDefault="00E33E3F" w:rsidP="00E33E3F">
      <w:pPr>
        <w:widowControl/>
        <w:jc w:val="left"/>
        <w:rPr>
          <w:rFonts w:ascii="Calibri" w:eastAsia="DengXian" w:hAnsi="Calibri" w:cs="Calibri"/>
          <w:b/>
          <w:bCs/>
          <w:kern w:val="0"/>
          <w:sz w:val="22"/>
          <w:u w:val="single"/>
          <w:lang w:val="en-GB" w:eastAsia="en-US"/>
        </w:rPr>
      </w:pPr>
      <w:r w:rsidRPr="00E33E3F">
        <w:rPr>
          <w:rFonts w:ascii="Calibri" w:eastAsia="DengXian" w:hAnsi="Calibri" w:cs="Calibri"/>
          <w:b/>
          <w:bCs/>
          <w:kern w:val="0"/>
          <w:sz w:val="22"/>
          <w:u w:val="single"/>
          <w:lang w:val="en-GB" w:eastAsia="en-US"/>
        </w:rPr>
        <w:t>Regulation 14.07</w:t>
      </w:r>
    </w:p>
    <w:p w:rsidR="00E33E3F" w:rsidRPr="00E33E3F" w:rsidRDefault="00E33E3F" w:rsidP="00E33E3F">
      <w:pPr>
        <w:widowControl/>
        <w:ind w:left="720"/>
        <w:jc w:val="left"/>
        <w:rPr>
          <w:rFonts w:ascii="Calibri" w:eastAsia="DengXian" w:hAnsi="Calibri" w:cs="Calibri"/>
          <w:color w:val="FF0000"/>
          <w:kern w:val="0"/>
          <w:sz w:val="22"/>
          <w:lang w:val="en-GB" w:eastAsia="en-US"/>
        </w:rPr>
      </w:pPr>
      <w:hyperlink r:id="rId7" w:history="1">
        <w:r w:rsidRPr="00E33E3F">
          <w:rPr>
            <w:rFonts w:ascii="Calibri" w:eastAsia="DengXian" w:hAnsi="Calibri" w:cs="Calibri"/>
            <w:color w:val="0563C1"/>
            <w:kern w:val="0"/>
            <w:sz w:val="22"/>
            <w:u w:val="single"/>
            <w:lang w:val="en-GB" w:eastAsia="en-US"/>
          </w:rPr>
          <w:t>Supplement 8</w:t>
        </w:r>
      </w:hyperlink>
      <w:r w:rsidRPr="00E33E3F">
        <w:rPr>
          <w:rFonts w:ascii="Calibri" w:eastAsia="DengXian" w:hAnsi="Calibri" w:cs="Calibri"/>
          <w:kern w:val="0"/>
          <w:sz w:val="22"/>
          <w:lang w:val="en-GB" w:eastAsia="en-US"/>
        </w:rPr>
        <w:t xml:space="preserve">: </w:t>
      </w:r>
      <w:r w:rsidRPr="00E33E3F">
        <w:rPr>
          <w:rFonts w:ascii="Calibri" w:eastAsia="DengXian" w:hAnsi="Calibri" w:cs="Calibri"/>
          <w:color w:val="0563C1"/>
          <w:kern w:val="0"/>
          <w:sz w:val="22"/>
          <w:u w:val="single"/>
          <w:lang w:val="en-GB" w:eastAsia="en-US"/>
        </w:rPr>
        <w:t xml:space="preserve">(EiF pending) </w:t>
      </w:r>
      <w:r w:rsidRPr="00E33E3F">
        <w:rPr>
          <w:rFonts w:ascii="Calibri" w:eastAsia="DengXian" w:hAnsi="Calibri" w:cs="Calibri"/>
          <w:kern w:val="0"/>
          <w:sz w:val="22"/>
          <w:lang w:val="en-GB" w:eastAsia="en-US"/>
        </w:rPr>
        <w:t xml:space="preserve">Introduction of B2 Fixture for i-size seating positions </w:t>
      </w:r>
      <w:r w:rsidRPr="00E33E3F">
        <w:rPr>
          <w:rFonts w:ascii="Calibri" w:eastAsia="DengXian" w:hAnsi="Calibri" w:cs="Calibri"/>
          <w:kern w:val="0"/>
          <w:sz w:val="22"/>
          <w:lang w:val="en-GB" w:eastAsia="en-US"/>
        </w:rPr>
        <w:br/>
      </w:r>
      <w:r w:rsidRPr="00E33E3F">
        <w:rPr>
          <w:rFonts w:ascii="Calibri" w:eastAsia="DengXian" w:hAnsi="Calibri" w:cs="Calibri"/>
          <w:color w:val="FF0000"/>
          <w:kern w:val="0"/>
          <w:sz w:val="22"/>
          <w:lang w:val="en-GB" w:eastAsia="en-US"/>
        </w:rPr>
        <w:t>Adopted in June 2017</w:t>
      </w:r>
    </w:p>
    <w:p w:rsidR="00E33E3F" w:rsidRPr="00E33E3F" w:rsidRDefault="00E33E3F" w:rsidP="00E33E3F">
      <w:pPr>
        <w:widowControl/>
        <w:jc w:val="left"/>
        <w:rPr>
          <w:rFonts w:ascii="Calibri" w:eastAsia="DengXian" w:hAnsi="Calibri" w:cs="Calibri"/>
          <w:kern w:val="0"/>
          <w:sz w:val="22"/>
          <w:lang w:val="en-GB" w:eastAsia="en-US"/>
        </w:rPr>
      </w:pPr>
    </w:p>
    <w:p w:rsidR="00E33E3F" w:rsidRPr="00E33E3F" w:rsidRDefault="00E33E3F" w:rsidP="00E33E3F">
      <w:pPr>
        <w:widowControl/>
        <w:jc w:val="left"/>
        <w:rPr>
          <w:rFonts w:ascii="Calibri" w:eastAsia="DengXian" w:hAnsi="Calibri" w:cs="Calibri"/>
          <w:b/>
          <w:bCs/>
          <w:kern w:val="0"/>
          <w:sz w:val="22"/>
          <w:u w:val="single"/>
          <w:lang w:val="en-GB" w:eastAsia="en-US"/>
        </w:rPr>
      </w:pPr>
      <w:r w:rsidRPr="00E33E3F">
        <w:rPr>
          <w:rFonts w:ascii="Calibri" w:eastAsia="DengXian" w:hAnsi="Calibri" w:cs="Calibri"/>
          <w:b/>
          <w:bCs/>
          <w:kern w:val="0"/>
          <w:sz w:val="22"/>
          <w:u w:val="single"/>
          <w:lang w:val="en-GB" w:eastAsia="en-US"/>
        </w:rPr>
        <w:t>Regulation 16.06</w:t>
      </w:r>
    </w:p>
    <w:p w:rsidR="00E33E3F" w:rsidRPr="00E33E3F" w:rsidRDefault="00E33E3F" w:rsidP="00E33E3F">
      <w:pPr>
        <w:widowControl/>
        <w:ind w:left="2070" w:hanging="1350"/>
        <w:jc w:val="left"/>
        <w:rPr>
          <w:rFonts w:ascii="Calibri" w:eastAsia="DengXian" w:hAnsi="Calibri" w:cs="Calibri"/>
          <w:kern w:val="0"/>
          <w:sz w:val="22"/>
          <w:lang w:eastAsia="en-US"/>
        </w:rPr>
      </w:pPr>
      <w:hyperlink r:id="rId8" w:history="1">
        <w:r w:rsidRPr="00E33E3F">
          <w:rPr>
            <w:rFonts w:ascii="Calibri" w:eastAsia="DengXian" w:hAnsi="Calibri" w:cs="Calibri"/>
            <w:color w:val="0563C1"/>
            <w:kern w:val="0"/>
            <w:sz w:val="22"/>
            <w:u w:val="single"/>
            <w:lang w:val="en-GB" w:eastAsia="en-US"/>
          </w:rPr>
          <w:t>Supplement 9</w:t>
        </w:r>
      </w:hyperlink>
      <w:r w:rsidRPr="00E33E3F">
        <w:rPr>
          <w:rFonts w:ascii="Calibri" w:eastAsia="DengXian" w:hAnsi="Calibri" w:cs="Calibri"/>
          <w:color w:val="0563C1"/>
          <w:kern w:val="0"/>
          <w:sz w:val="22"/>
          <w:u w:val="single"/>
          <w:lang w:val="en-GB" w:eastAsia="en-US"/>
        </w:rPr>
        <w:t>: (EiF pending) Introduction of B2 Fixture as prerequisite for i-size seating positions. In addition introduction of R2X and L1/L2 Fixtures. Furthermore change of the tolerances for the weight of all Fixtures.</w:t>
      </w:r>
    </w:p>
    <w:p w:rsidR="00E33E3F" w:rsidRPr="00E33E3F" w:rsidRDefault="00E33E3F" w:rsidP="00E33E3F">
      <w:pPr>
        <w:widowControl/>
        <w:ind w:left="2070" w:hanging="1350"/>
        <w:jc w:val="left"/>
        <w:rPr>
          <w:rFonts w:ascii="Calibri" w:eastAsia="DengXian" w:hAnsi="Calibri" w:cs="Calibri"/>
          <w:color w:val="FF0000"/>
          <w:kern w:val="0"/>
          <w:sz w:val="22"/>
          <w:lang w:eastAsia="en-US"/>
        </w:rPr>
      </w:pPr>
      <w:r w:rsidRPr="00E33E3F">
        <w:rPr>
          <w:rFonts w:ascii="Calibri" w:eastAsia="DengXian" w:hAnsi="Calibri" w:cs="Calibri"/>
          <w:color w:val="FF0000"/>
          <w:kern w:val="0"/>
          <w:sz w:val="22"/>
          <w:lang w:val="en-GB" w:eastAsia="en-US"/>
        </w:rPr>
        <w:t>Adopted in June 2017</w:t>
      </w:r>
    </w:p>
    <w:p w:rsidR="00E33E3F" w:rsidRPr="00E33E3F" w:rsidRDefault="00E33E3F" w:rsidP="00E33E3F">
      <w:pPr>
        <w:widowControl/>
        <w:ind w:left="2070" w:hanging="1350"/>
        <w:jc w:val="left"/>
        <w:rPr>
          <w:rFonts w:ascii="Calibri" w:eastAsia="DengXian" w:hAnsi="Calibri" w:cs="Calibri"/>
          <w:color w:val="FF0000"/>
          <w:kern w:val="0"/>
          <w:sz w:val="22"/>
          <w:lang w:eastAsia="en-US"/>
        </w:rPr>
      </w:pPr>
    </w:p>
    <w:p w:rsidR="00E33E3F" w:rsidRPr="00E33E3F" w:rsidRDefault="00E33E3F" w:rsidP="00E33E3F">
      <w:pPr>
        <w:widowControl/>
        <w:jc w:val="left"/>
        <w:rPr>
          <w:rFonts w:ascii="Calibri" w:eastAsia="DengXian" w:hAnsi="Calibri" w:cs="Calibri"/>
          <w:b/>
          <w:bCs/>
          <w:kern w:val="0"/>
          <w:sz w:val="22"/>
          <w:u w:val="single"/>
          <w:lang w:eastAsia="en-US"/>
        </w:rPr>
      </w:pPr>
      <w:r w:rsidRPr="00E33E3F">
        <w:rPr>
          <w:rFonts w:ascii="Calibri" w:eastAsia="DengXian" w:hAnsi="Calibri" w:cs="Calibri"/>
          <w:b/>
          <w:bCs/>
          <w:kern w:val="0"/>
          <w:sz w:val="22"/>
          <w:u w:val="single"/>
          <w:lang w:val="en-GB" w:eastAsia="en-US"/>
        </w:rPr>
        <w:t xml:space="preserve">Regulation 16.07 </w:t>
      </w:r>
    </w:p>
    <w:p w:rsidR="00E33E3F" w:rsidRPr="00E33E3F" w:rsidRDefault="00E33E3F" w:rsidP="00E33E3F">
      <w:pPr>
        <w:widowControl/>
        <w:ind w:left="720"/>
        <w:jc w:val="left"/>
        <w:rPr>
          <w:rFonts w:ascii="Calibri" w:eastAsia="DengXian" w:hAnsi="Calibri" w:cs="Calibri"/>
          <w:kern w:val="0"/>
          <w:sz w:val="22"/>
          <w:lang w:val="en-GB" w:eastAsia="en-US"/>
        </w:rPr>
      </w:pPr>
      <w:hyperlink r:id="rId9" w:history="1">
        <w:r w:rsidRPr="00E33E3F">
          <w:rPr>
            <w:rFonts w:ascii="Calibri" w:eastAsia="DengXian" w:hAnsi="Calibri" w:cs="Calibri"/>
            <w:color w:val="0563C1"/>
            <w:kern w:val="0"/>
            <w:sz w:val="22"/>
            <w:u w:val="single"/>
            <w:lang w:val="en-GB" w:eastAsia="en-US"/>
          </w:rPr>
          <w:t>Supplement 1</w:t>
        </w:r>
      </w:hyperlink>
      <w:r w:rsidRPr="00E33E3F">
        <w:rPr>
          <w:rFonts w:ascii="Calibri" w:eastAsia="DengXian" w:hAnsi="Calibri" w:cs="Calibri"/>
          <w:color w:val="0563C1"/>
          <w:kern w:val="0"/>
          <w:sz w:val="22"/>
          <w:u w:val="single"/>
          <w:lang w:val="en-GB" w:eastAsia="en-US"/>
        </w:rPr>
        <w:t xml:space="preserve">: (EiF pending) </w:t>
      </w:r>
      <w:r w:rsidRPr="00E33E3F">
        <w:rPr>
          <w:rFonts w:ascii="Calibri" w:eastAsia="DengXian" w:hAnsi="Calibri" w:cs="Calibri"/>
          <w:kern w:val="0"/>
          <w:sz w:val="22"/>
          <w:lang w:val="en-GB" w:eastAsia="en-US"/>
        </w:rPr>
        <w:t>Introduction of B2 Fixture for i-size seating positions</w:t>
      </w:r>
    </w:p>
    <w:p w:rsidR="00E33E3F" w:rsidRPr="00E33E3F" w:rsidRDefault="00E33E3F" w:rsidP="00E33E3F">
      <w:pPr>
        <w:widowControl/>
        <w:ind w:left="2070" w:hanging="1350"/>
        <w:jc w:val="left"/>
        <w:rPr>
          <w:rFonts w:ascii="Calibri" w:eastAsia="DengXian" w:hAnsi="Calibri" w:cs="Calibri"/>
          <w:kern w:val="0"/>
          <w:sz w:val="22"/>
          <w:lang w:eastAsia="en-US"/>
        </w:rPr>
      </w:pPr>
      <w:r w:rsidRPr="00E33E3F">
        <w:rPr>
          <w:rFonts w:ascii="Calibri" w:eastAsia="DengXian" w:hAnsi="Calibri" w:cs="Calibri"/>
          <w:kern w:val="0"/>
          <w:sz w:val="22"/>
          <w:lang w:val="en-GB" w:eastAsia="en-US"/>
        </w:rPr>
        <w:t>Adopted in June 2017</w:t>
      </w:r>
    </w:p>
    <w:p w:rsidR="00E33E3F" w:rsidRPr="00E33E3F" w:rsidRDefault="00E33E3F" w:rsidP="00E33E3F">
      <w:pPr>
        <w:widowControl/>
        <w:ind w:left="720"/>
        <w:jc w:val="left"/>
        <w:rPr>
          <w:rFonts w:ascii="Calibri" w:eastAsia="DengXian" w:hAnsi="Calibri" w:cs="Calibri"/>
          <w:color w:val="0563C1"/>
          <w:kern w:val="0"/>
          <w:sz w:val="22"/>
          <w:u w:val="single"/>
          <w:lang w:val="en-GB" w:eastAsia="en-US"/>
        </w:rPr>
      </w:pPr>
    </w:p>
    <w:p w:rsidR="00E33E3F" w:rsidRPr="00E33E3F" w:rsidRDefault="00E33E3F" w:rsidP="00E33E3F">
      <w:pPr>
        <w:widowControl/>
        <w:jc w:val="left"/>
        <w:rPr>
          <w:rFonts w:ascii="Calibri" w:eastAsia="DengXian" w:hAnsi="Calibri" w:cs="Calibri"/>
          <w:b/>
          <w:bCs/>
          <w:kern w:val="0"/>
          <w:sz w:val="22"/>
          <w:lang w:eastAsia="en-US"/>
        </w:rPr>
      </w:pPr>
      <w:r w:rsidRPr="00E33E3F">
        <w:rPr>
          <w:rFonts w:ascii="Calibri" w:eastAsia="DengXian" w:hAnsi="Calibri" w:cs="Calibri"/>
          <w:b/>
          <w:bCs/>
          <w:kern w:val="0"/>
          <w:sz w:val="22"/>
          <w:u w:val="single"/>
          <w:lang w:val="en-GB" w:eastAsia="en-US"/>
        </w:rPr>
        <w:t>Regulation 17.08</w:t>
      </w:r>
    </w:p>
    <w:p w:rsidR="00E33E3F" w:rsidRPr="00E33E3F" w:rsidRDefault="00E33E3F" w:rsidP="00E33E3F">
      <w:pPr>
        <w:widowControl/>
        <w:ind w:left="2070" w:hanging="1350"/>
        <w:jc w:val="left"/>
        <w:rPr>
          <w:rFonts w:ascii="Calibri" w:eastAsia="DengXian" w:hAnsi="Calibri" w:cs="Calibri"/>
          <w:kern w:val="0"/>
          <w:sz w:val="22"/>
          <w:lang w:eastAsia="en-US"/>
        </w:rPr>
      </w:pPr>
      <w:hyperlink r:id="rId10" w:history="1">
        <w:r w:rsidRPr="00E33E3F">
          <w:rPr>
            <w:rFonts w:ascii="Calibri" w:eastAsia="DengXian" w:hAnsi="Calibri" w:cs="Calibri"/>
            <w:color w:val="0563C1"/>
            <w:kern w:val="0"/>
            <w:sz w:val="22"/>
            <w:u w:val="single"/>
            <w:lang w:val="en-GB" w:eastAsia="en-US"/>
          </w:rPr>
          <w:t>Supplement 2</w:t>
        </w:r>
      </w:hyperlink>
      <w:r w:rsidRPr="00E33E3F">
        <w:rPr>
          <w:rFonts w:ascii="Calibri" w:eastAsia="DengXian" w:hAnsi="Calibri" w:cs="Calibri"/>
          <w:color w:val="0563C1"/>
          <w:kern w:val="0"/>
          <w:sz w:val="22"/>
          <w:u w:val="single"/>
          <w:lang w:val="en-GB" w:eastAsia="en-US"/>
        </w:rPr>
        <w:t>: (EiF: 10.06.2014) Locking mechanism for folding/auxiliary seats</w:t>
      </w:r>
    </w:p>
    <w:p w:rsidR="00E33E3F" w:rsidRPr="00E33E3F" w:rsidRDefault="00E33E3F" w:rsidP="00E33E3F">
      <w:pPr>
        <w:widowControl/>
        <w:ind w:left="2070" w:hanging="1350"/>
        <w:jc w:val="left"/>
        <w:rPr>
          <w:rFonts w:ascii="Calibri" w:eastAsia="DengXian" w:hAnsi="Calibri" w:cs="Calibri"/>
          <w:color w:val="0563C1"/>
          <w:kern w:val="0"/>
          <w:sz w:val="22"/>
          <w:u w:val="single"/>
          <w:lang w:val="en-GB" w:eastAsia="en-US"/>
        </w:rPr>
      </w:pPr>
    </w:p>
    <w:p w:rsidR="00E33E3F" w:rsidRPr="00E33E3F" w:rsidRDefault="00E33E3F" w:rsidP="00E33E3F">
      <w:pPr>
        <w:widowControl/>
        <w:ind w:left="2070" w:hanging="1350"/>
        <w:jc w:val="left"/>
        <w:rPr>
          <w:rFonts w:ascii="Calibri" w:eastAsia="DengXian" w:hAnsi="Calibri" w:cs="Calibri"/>
          <w:color w:val="0563C1"/>
          <w:kern w:val="0"/>
          <w:sz w:val="22"/>
          <w:u w:val="single"/>
          <w:lang w:val="en-GB" w:eastAsia="en-US"/>
        </w:rPr>
      </w:pPr>
      <w:hyperlink r:id="rId11" w:history="1">
        <w:r w:rsidRPr="00E33E3F">
          <w:rPr>
            <w:rFonts w:ascii="Calibri" w:eastAsia="DengXian" w:hAnsi="Calibri" w:cs="Calibri"/>
            <w:color w:val="0563C1"/>
            <w:kern w:val="0"/>
            <w:sz w:val="22"/>
            <w:u w:val="single"/>
            <w:lang w:val="en-GB" w:eastAsia="en-US"/>
          </w:rPr>
          <w:t>Supplement 3</w:t>
        </w:r>
      </w:hyperlink>
      <w:r w:rsidRPr="00E33E3F">
        <w:rPr>
          <w:rFonts w:ascii="Calibri" w:eastAsia="DengXian" w:hAnsi="Calibri" w:cs="Calibri"/>
          <w:color w:val="0563C1"/>
          <w:kern w:val="0"/>
          <w:sz w:val="22"/>
          <w:u w:val="single"/>
          <w:lang w:val="en-GB" w:eastAsia="en-US"/>
        </w:rPr>
        <w:t>: (EiF: 20.01.2016) Introduction of Moment of Inertia for the test blocks in the luggage retention test</w:t>
      </w:r>
    </w:p>
    <w:p w:rsidR="00E33E3F" w:rsidRPr="00E33E3F" w:rsidRDefault="00E33E3F" w:rsidP="00E33E3F">
      <w:pPr>
        <w:widowControl/>
        <w:jc w:val="left"/>
        <w:rPr>
          <w:rFonts w:ascii="Calibri" w:eastAsia="DengXian" w:hAnsi="Calibri" w:cs="Calibri"/>
          <w:kern w:val="0"/>
          <w:sz w:val="22"/>
          <w:lang w:eastAsia="en-US"/>
        </w:rPr>
      </w:pPr>
    </w:p>
    <w:p w:rsidR="00E33E3F" w:rsidRPr="00E33E3F" w:rsidRDefault="00E33E3F" w:rsidP="00E33E3F">
      <w:pPr>
        <w:widowControl/>
        <w:jc w:val="left"/>
        <w:rPr>
          <w:rFonts w:ascii="Calibri" w:eastAsia="DengXian" w:hAnsi="Calibri" w:cs="Calibri"/>
          <w:b/>
          <w:bCs/>
          <w:kern w:val="0"/>
          <w:sz w:val="22"/>
          <w:u w:val="single"/>
          <w:lang w:val="en-GB" w:eastAsia="en-US"/>
        </w:rPr>
      </w:pPr>
      <w:r w:rsidRPr="00E33E3F">
        <w:rPr>
          <w:rFonts w:ascii="Calibri" w:eastAsia="DengXian" w:hAnsi="Calibri" w:cs="Calibri"/>
          <w:b/>
          <w:bCs/>
          <w:kern w:val="0"/>
          <w:sz w:val="22"/>
          <w:u w:val="single"/>
          <w:lang w:val="en-GB" w:eastAsia="en-US"/>
        </w:rPr>
        <w:t>Regulation 94.02</w:t>
      </w:r>
    </w:p>
    <w:p w:rsidR="00E33E3F" w:rsidRPr="00E33E3F" w:rsidRDefault="00E33E3F" w:rsidP="00E33E3F">
      <w:pPr>
        <w:widowControl/>
        <w:ind w:left="2070" w:hanging="1350"/>
        <w:jc w:val="left"/>
        <w:rPr>
          <w:rFonts w:ascii="Calibri" w:eastAsia="DengXian" w:hAnsi="Calibri" w:cs="Calibri"/>
          <w:kern w:val="0"/>
          <w:sz w:val="22"/>
          <w:lang w:eastAsia="en-US"/>
        </w:rPr>
      </w:pPr>
      <w:hyperlink r:id="rId12" w:history="1">
        <w:r w:rsidRPr="00E33E3F">
          <w:rPr>
            <w:rFonts w:ascii="Calibri" w:eastAsia="DengXian" w:hAnsi="Calibri" w:cs="Calibri"/>
            <w:color w:val="0563C1"/>
            <w:kern w:val="0"/>
            <w:sz w:val="22"/>
            <w:u w:val="single"/>
            <w:lang w:val="en-GB" w:eastAsia="en-US"/>
          </w:rPr>
          <w:t>Supplement 4</w:t>
        </w:r>
      </w:hyperlink>
      <w:r w:rsidRPr="00E33E3F">
        <w:rPr>
          <w:rFonts w:ascii="Calibri" w:eastAsia="DengXian" w:hAnsi="Calibri" w:cs="Calibri"/>
          <w:color w:val="0563C1"/>
          <w:kern w:val="0"/>
          <w:sz w:val="22"/>
          <w:u w:val="single"/>
          <w:lang w:val="en-GB" w:eastAsia="en-US"/>
        </w:rPr>
        <w:t>: (EiF: 13.02.2014) Specifications for automatically activated door locks</w:t>
      </w:r>
    </w:p>
    <w:p w:rsidR="00E33E3F" w:rsidRPr="00E33E3F" w:rsidRDefault="00E33E3F" w:rsidP="00E33E3F">
      <w:pPr>
        <w:widowControl/>
        <w:jc w:val="left"/>
        <w:rPr>
          <w:rFonts w:ascii="Calibri" w:eastAsia="DengXian" w:hAnsi="Calibri" w:cs="Calibri"/>
          <w:kern w:val="0"/>
          <w:sz w:val="22"/>
          <w:lang w:eastAsia="en-US"/>
        </w:rPr>
      </w:pPr>
    </w:p>
    <w:p w:rsidR="00E33E3F" w:rsidRPr="00E33E3F" w:rsidRDefault="00E33E3F" w:rsidP="00E33E3F">
      <w:pPr>
        <w:widowControl/>
        <w:jc w:val="left"/>
        <w:rPr>
          <w:rFonts w:ascii="Calibri" w:eastAsia="DengXian" w:hAnsi="Calibri" w:cs="Calibri"/>
          <w:b/>
          <w:bCs/>
          <w:kern w:val="0"/>
          <w:sz w:val="22"/>
          <w:u w:val="single"/>
          <w:lang w:val="en-GB" w:eastAsia="en-US"/>
        </w:rPr>
      </w:pPr>
      <w:r w:rsidRPr="00E33E3F">
        <w:rPr>
          <w:rFonts w:ascii="Calibri" w:eastAsia="DengXian" w:hAnsi="Calibri" w:cs="Calibri"/>
          <w:b/>
          <w:bCs/>
          <w:kern w:val="0"/>
          <w:sz w:val="22"/>
          <w:u w:val="single"/>
          <w:lang w:val="en-GB" w:eastAsia="en-US"/>
        </w:rPr>
        <w:t>Regulation 95.02</w:t>
      </w:r>
    </w:p>
    <w:p w:rsidR="00E33E3F" w:rsidRPr="00E33E3F" w:rsidRDefault="00E33E3F" w:rsidP="00E33E3F">
      <w:pPr>
        <w:widowControl/>
        <w:ind w:left="2070" w:hanging="1350"/>
        <w:jc w:val="left"/>
        <w:rPr>
          <w:rFonts w:ascii="Calibri" w:eastAsia="DengXian" w:hAnsi="Calibri" w:cs="Calibri"/>
          <w:kern w:val="0"/>
          <w:sz w:val="22"/>
          <w:lang w:eastAsia="en-US"/>
        </w:rPr>
      </w:pPr>
      <w:hyperlink r:id="rId13" w:history="1">
        <w:r w:rsidRPr="00E33E3F">
          <w:rPr>
            <w:rFonts w:ascii="Calibri" w:eastAsia="DengXian" w:hAnsi="Calibri" w:cs="Calibri"/>
            <w:color w:val="0563C1"/>
            <w:kern w:val="0"/>
            <w:sz w:val="22"/>
            <w:u w:val="single"/>
            <w:lang w:val="en-GB" w:eastAsia="en-US"/>
          </w:rPr>
          <w:t>Supplement 3</w:t>
        </w:r>
      </w:hyperlink>
      <w:r w:rsidRPr="00E33E3F">
        <w:rPr>
          <w:rFonts w:ascii="Calibri" w:eastAsia="DengXian" w:hAnsi="Calibri" w:cs="Calibri"/>
          <w:color w:val="0563C1"/>
          <w:kern w:val="0"/>
          <w:sz w:val="22"/>
          <w:u w:val="single"/>
          <w:lang w:val="en-GB" w:eastAsia="en-US"/>
        </w:rPr>
        <w:t>: (EiF: 13.02.2014) Specifications for automatically activated door locks</w:t>
      </w:r>
    </w:p>
    <w:p w:rsidR="00E33E3F" w:rsidRPr="00E33E3F" w:rsidRDefault="00E33E3F" w:rsidP="00E33E3F">
      <w:pPr>
        <w:widowControl/>
        <w:jc w:val="left"/>
        <w:rPr>
          <w:rFonts w:ascii="Arial" w:eastAsia="DengXian" w:hAnsi="Arial" w:cs="Arial"/>
          <w:color w:val="2E74B5"/>
          <w:kern w:val="0"/>
          <w:sz w:val="22"/>
          <w:lang w:eastAsia="en-US"/>
        </w:rPr>
      </w:pPr>
    </w:p>
    <w:p w:rsidR="00E33E3F" w:rsidRPr="00E33E3F" w:rsidRDefault="00E33E3F" w:rsidP="00E33E3F">
      <w:pPr>
        <w:widowControl/>
        <w:ind w:left="2070" w:hanging="1350"/>
        <w:jc w:val="left"/>
        <w:rPr>
          <w:rFonts w:ascii="Calibri" w:eastAsia="DengXian" w:hAnsi="Calibri" w:cs="Calibri"/>
          <w:kern w:val="0"/>
          <w:sz w:val="22"/>
          <w:lang w:eastAsia="en-US"/>
        </w:rPr>
      </w:pPr>
    </w:p>
    <w:p w:rsidR="00E33E3F" w:rsidRPr="00E33E3F" w:rsidRDefault="00E33E3F" w:rsidP="00E33E3F">
      <w:pPr>
        <w:widowControl/>
        <w:jc w:val="left"/>
        <w:rPr>
          <w:rFonts w:ascii="Calibri" w:eastAsia="DengXian" w:hAnsi="Calibri" w:cs="Calibri"/>
          <w:b/>
          <w:bCs/>
          <w:color w:val="FFC000"/>
          <w:kern w:val="0"/>
          <w:sz w:val="28"/>
          <w:szCs w:val="28"/>
          <w:u w:val="single"/>
          <w:lang w:eastAsia="en-US"/>
        </w:rPr>
      </w:pPr>
      <w:r w:rsidRPr="00E33E3F">
        <w:rPr>
          <w:rFonts w:ascii="Calibri" w:eastAsia="DengXian" w:hAnsi="Calibri" w:cs="Calibri"/>
          <w:b/>
          <w:bCs/>
          <w:color w:val="FFC000"/>
          <w:kern w:val="0"/>
          <w:sz w:val="28"/>
          <w:szCs w:val="28"/>
          <w:u w:val="single"/>
          <w:lang w:val="en-GB" w:eastAsia="en-US"/>
        </w:rPr>
        <w:t>Supplements potentially providing problems to single OEM:</w:t>
      </w:r>
    </w:p>
    <w:p w:rsidR="00E33E3F" w:rsidRPr="00E33E3F" w:rsidRDefault="00E33E3F" w:rsidP="00E33E3F">
      <w:pPr>
        <w:widowControl/>
        <w:jc w:val="left"/>
        <w:rPr>
          <w:rFonts w:ascii="Calibri" w:eastAsia="DengXian" w:hAnsi="Calibri" w:cs="Calibri"/>
          <w:b/>
          <w:bCs/>
          <w:kern w:val="0"/>
          <w:sz w:val="22"/>
          <w:u w:val="single"/>
          <w:lang w:val="en-GB" w:eastAsia="en-US"/>
        </w:rPr>
      </w:pPr>
      <w:r w:rsidRPr="00E33E3F">
        <w:rPr>
          <w:rFonts w:ascii="Calibri" w:eastAsia="DengXian" w:hAnsi="Calibri" w:cs="Calibri"/>
          <w:b/>
          <w:bCs/>
          <w:kern w:val="0"/>
          <w:sz w:val="22"/>
          <w:u w:val="single"/>
          <w:lang w:val="en-GB" w:eastAsia="en-US"/>
        </w:rPr>
        <w:t>Regulation 14.05</w:t>
      </w:r>
    </w:p>
    <w:p w:rsidR="00E33E3F" w:rsidRPr="00E33E3F" w:rsidRDefault="00E33E3F" w:rsidP="00E33E3F">
      <w:pPr>
        <w:widowControl/>
        <w:ind w:left="720"/>
        <w:jc w:val="left"/>
        <w:rPr>
          <w:rFonts w:ascii="Calibri" w:eastAsia="DengXian" w:hAnsi="Calibri" w:cs="Calibri"/>
          <w:kern w:val="0"/>
          <w:sz w:val="22"/>
          <w:lang w:val="en-GB" w:eastAsia="en-US"/>
        </w:rPr>
      </w:pPr>
      <w:r w:rsidRPr="00E33E3F">
        <w:rPr>
          <w:rFonts w:ascii="Calibri" w:eastAsia="DengXian" w:hAnsi="Calibri" w:cs="Calibri"/>
          <w:kern w:val="0"/>
          <w:sz w:val="22"/>
          <w:lang w:val="en-GB" w:eastAsia="en-US"/>
        </w:rPr>
        <w:t xml:space="preserve">Supplement 4: </w:t>
      </w:r>
      <w:r w:rsidRPr="00E33E3F">
        <w:rPr>
          <w:rFonts w:ascii="Calibri" w:eastAsia="DengXian" w:hAnsi="Calibri" w:cs="Calibri"/>
          <w:color w:val="0563C1"/>
          <w:kern w:val="0"/>
          <w:sz w:val="22"/>
          <w:u w:val="single"/>
          <w:lang w:val="en-GB" w:eastAsia="en-US"/>
        </w:rPr>
        <w:t xml:space="preserve">(EiF 26.06.2013) </w:t>
      </w:r>
      <w:r w:rsidRPr="00E33E3F">
        <w:rPr>
          <w:rFonts w:ascii="Calibri" w:eastAsia="DengXian" w:hAnsi="Calibri" w:cs="Calibri"/>
          <w:kern w:val="0"/>
          <w:sz w:val="22"/>
          <w:lang w:val="en-GB" w:eastAsia="en-US"/>
        </w:rPr>
        <w:t xml:space="preserve">Removes exposed seating position exemption </w:t>
      </w:r>
    </w:p>
    <w:p w:rsidR="00E33E3F" w:rsidRPr="00E33E3F" w:rsidRDefault="00E33E3F" w:rsidP="00E33E3F">
      <w:pPr>
        <w:widowControl/>
        <w:ind w:left="2070" w:hanging="1350"/>
        <w:jc w:val="left"/>
        <w:rPr>
          <w:rFonts w:ascii="Calibri" w:eastAsia="DengXian" w:hAnsi="Calibri" w:cs="Calibri"/>
          <w:kern w:val="0"/>
          <w:sz w:val="22"/>
          <w:lang w:eastAsia="en-US"/>
        </w:rPr>
      </w:pPr>
      <w:r w:rsidRPr="00E33E3F">
        <w:rPr>
          <w:rFonts w:ascii="Calibri" w:eastAsia="DengXian" w:hAnsi="Calibri" w:cs="Calibri"/>
          <w:color w:val="0563C1"/>
          <w:kern w:val="0"/>
          <w:sz w:val="22"/>
          <w:u w:val="single"/>
          <w:lang w:val="en-GB" w:eastAsia="en-US"/>
        </w:rPr>
        <w:lastRenderedPageBreak/>
        <w:t xml:space="preserve">Supplement 5: (EiF 26.02.2004) 3-point seating positions for all M1 and for outboard seating positions in N1 </w:t>
      </w:r>
    </w:p>
    <w:p w:rsidR="00E33E3F" w:rsidRPr="00E33E3F" w:rsidRDefault="00E33E3F" w:rsidP="00E33E3F">
      <w:pPr>
        <w:widowControl/>
        <w:jc w:val="left"/>
        <w:rPr>
          <w:rFonts w:ascii="Calibri" w:eastAsia="DengXian" w:hAnsi="Calibri" w:cs="Calibri"/>
          <w:b/>
          <w:bCs/>
          <w:kern w:val="0"/>
          <w:sz w:val="22"/>
          <w:u w:val="single"/>
          <w:lang w:eastAsia="en-US"/>
        </w:rPr>
      </w:pPr>
      <w:r w:rsidRPr="00E33E3F">
        <w:rPr>
          <w:rFonts w:ascii="Calibri" w:eastAsia="DengXian" w:hAnsi="Calibri" w:cs="Calibri"/>
          <w:b/>
          <w:bCs/>
          <w:kern w:val="0"/>
          <w:sz w:val="22"/>
          <w:u w:val="single"/>
          <w:lang w:val="en-GB" w:eastAsia="en-US"/>
        </w:rPr>
        <w:t>Regulation 14.07</w:t>
      </w:r>
    </w:p>
    <w:p w:rsidR="00E33E3F" w:rsidRPr="00E33E3F" w:rsidRDefault="00E33E3F" w:rsidP="00E33E3F">
      <w:pPr>
        <w:widowControl/>
        <w:ind w:left="2070" w:hanging="1350"/>
        <w:jc w:val="left"/>
        <w:rPr>
          <w:rFonts w:ascii="Calibri" w:eastAsia="DengXian" w:hAnsi="Calibri" w:cs="Calibri"/>
          <w:kern w:val="0"/>
          <w:sz w:val="22"/>
          <w:lang w:val="en-GB" w:eastAsia="en-US"/>
        </w:rPr>
      </w:pPr>
      <w:r w:rsidRPr="00E33E3F">
        <w:rPr>
          <w:rFonts w:ascii="Calibri" w:eastAsia="DengXian" w:hAnsi="Calibri" w:cs="Calibri"/>
          <w:color w:val="0563C1"/>
          <w:kern w:val="0"/>
          <w:sz w:val="22"/>
          <w:u w:val="single"/>
          <w:lang w:val="en-GB" w:eastAsia="en-US"/>
        </w:rPr>
        <w:t>Supplement 2: (EiF 13.04.2012) Anchorages located within the top tether zone to be marked or tested according to top tether provisions. ISOFIX seating position for front seat in case of narrow rear passenger compartment</w:t>
      </w:r>
    </w:p>
    <w:p w:rsidR="00E33E3F" w:rsidRPr="00E33E3F" w:rsidRDefault="00E33E3F" w:rsidP="00E33E3F">
      <w:pPr>
        <w:widowControl/>
        <w:jc w:val="left"/>
        <w:rPr>
          <w:rFonts w:ascii="Calibri" w:eastAsia="DengXian" w:hAnsi="Calibri" w:cs="Calibri"/>
          <w:b/>
          <w:bCs/>
          <w:kern w:val="0"/>
          <w:sz w:val="22"/>
          <w:u w:val="single"/>
          <w:lang w:val="en-GB" w:eastAsia="en-US"/>
        </w:rPr>
      </w:pPr>
      <w:r w:rsidRPr="00E33E3F">
        <w:rPr>
          <w:rFonts w:ascii="Calibri" w:eastAsia="DengXian" w:hAnsi="Calibri" w:cs="Calibri"/>
          <w:b/>
          <w:bCs/>
          <w:kern w:val="0"/>
          <w:sz w:val="22"/>
          <w:u w:val="single"/>
          <w:lang w:val="en-GB" w:eastAsia="en-US"/>
        </w:rPr>
        <w:t>Regulation 16.06</w:t>
      </w:r>
    </w:p>
    <w:p w:rsidR="00E33E3F" w:rsidRPr="00E33E3F" w:rsidRDefault="00E33E3F" w:rsidP="00E33E3F">
      <w:pPr>
        <w:widowControl/>
        <w:ind w:left="2070" w:hanging="1350"/>
        <w:jc w:val="left"/>
        <w:rPr>
          <w:rFonts w:ascii="Calibri" w:eastAsia="DengXian" w:hAnsi="Calibri" w:cs="Calibri"/>
          <w:kern w:val="0"/>
          <w:sz w:val="22"/>
          <w:lang w:eastAsia="en-US"/>
        </w:rPr>
      </w:pPr>
      <w:r w:rsidRPr="00E33E3F">
        <w:rPr>
          <w:rFonts w:ascii="Calibri" w:eastAsia="DengXian" w:hAnsi="Calibri" w:cs="Calibri"/>
          <w:color w:val="0563C1"/>
          <w:kern w:val="0"/>
          <w:sz w:val="22"/>
          <w:u w:val="single"/>
          <w:lang w:val="en-GB" w:eastAsia="en-US"/>
        </w:rPr>
        <w:t>Supplement 5: (EiF 10.06.2014) New airbag warning label</w:t>
      </w:r>
    </w:p>
    <w:p w:rsidR="00E33E3F" w:rsidRPr="00E33E3F" w:rsidRDefault="00E33E3F" w:rsidP="00E33E3F">
      <w:pPr>
        <w:widowControl/>
        <w:ind w:left="2070" w:hanging="1350"/>
        <w:jc w:val="left"/>
        <w:rPr>
          <w:rFonts w:ascii="Calibri" w:eastAsia="DengXian" w:hAnsi="Calibri" w:cs="Calibri"/>
          <w:color w:val="0563C1"/>
          <w:kern w:val="0"/>
          <w:sz w:val="22"/>
          <w:u w:val="single"/>
          <w:lang w:val="en-GB" w:eastAsia="en-US"/>
        </w:rPr>
      </w:pPr>
      <w:r w:rsidRPr="00E33E3F">
        <w:rPr>
          <w:rFonts w:ascii="Calibri" w:eastAsia="DengXian" w:hAnsi="Calibri" w:cs="Calibri"/>
          <w:color w:val="0563C1"/>
          <w:kern w:val="0"/>
          <w:sz w:val="22"/>
          <w:u w:val="single"/>
          <w:lang w:val="en-GB" w:eastAsia="en-US"/>
        </w:rPr>
        <w:t>Supplement 8: (EiF 22.07.2017) Modification of the universal belt test fixture (lap belt angles and contact).</w:t>
      </w:r>
    </w:p>
    <w:p w:rsidR="00E33E3F" w:rsidRPr="00E33E3F" w:rsidRDefault="00E33E3F" w:rsidP="00E33E3F">
      <w:pPr>
        <w:widowControl/>
        <w:jc w:val="left"/>
        <w:rPr>
          <w:rFonts w:ascii="Calibri" w:eastAsia="DengXian" w:hAnsi="Calibri" w:cs="Calibri"/>
          <w:b/>
          <w:bCs/>
          <w:kern w:val="0"/>
          <w:sz w:val="22"/>
          <w:lang w:eastAsia="en-US"/>
        </w:rPr>
      </w:pPr>
      <w:r w:rsidRPr="00E33E3F">
        <w:rPr>
          <w:rFonts w:ascii="Calibri" w:eastAsia="DengXian" w:hAnsi="Calibri" w:cs="Calibri"/>
          <w:b/>
          <w:bCs/>
          <w:kern w:val="0"/>
          <w:sz w:val="22"/>
          <w:u w:val="single"/>
          <w:lang w:val="en-GB" w:eastAsia="en-US"/>
        </w:rPr>
        <w:t>Regulation 17.08</w:t>
      </w:r>
    </w:p>
    <w:p w:rsidR="00E33E3F" w:rsidRPr="00E33E3F" w:rsidRDefault="00E33E3F" w:rsidP="00E33E3F">
      <w:pPr>
        <w:widowControl/>
        <w:ind w:left="2070" w:hanging="1350"/>
        <w:jc w:val="left"/>
        <w:rPr>
          <w:rFonts w:ascii="Calibri" w:eastAsia="DengXian" w:hAnsi="Calibri" w:cs="Calibri"/>
          <w:kern w:val="0"/>
          <w:sz w:val="22"/>
          <w:lang w:eastAsia="en-US"/>
        </w:rPr>
      </w:pPr>
      <w:r w:rsidRPr="00E33E3F">
        <w:rPr>
          <w:rFonts w:ascii="Calibri" w:eastAsia="DengXian" w:hAnsi="Calibri" w:cs="Calibri"/>
          <w:color w:val="0563C1"/>
          <w:kern w:val="0"/>
          <w:sz w:val="22"/>
          <w:u w:val="single"/>
          <w:lang w:val="en-GB" w:eastAsia="en-US"/>
        </w:rPr>
        <w:t>Supplement 4: (EiF) Clarification of head restraint testing (seat bench)</w:t>
      </w:r>
    </w:p>
    <w:p w:rsidR="00E33E3F" w:rsidRPr="00E33E3F" w:rsidRDefault="00E33E3F" w:rsidP="00E33E3F">
      <w:pPr>
        <w:widowControl/>
        <w:jc w:val="left"/>
        <w:rPr>
          <w:rFonts w:ascii="Calibri" w:eastAsia="DengXian" w:hAnsi="Calibri" w:cs="Calibri"/>
          <w:b/>
          <w:bCs/>
          <w:kern w:val="0"/>
          <w:sz w:val="22"/>
          <w:u w:val="single"/>
          <w:lang w:eastAsia="en-US"/>
        </w:rPr>
      </w:pPr>
      <w:r w:rsidRPr="00E33E3F">
        <w:rPr>
          <w:rFonts w:ascii="Calibri" w:eastAsia="DengXian" w:hAnsi="Calibri" w:cs="Calibri"/>
          <w:b/>
          <w:bCs/>
          <w:kern w:val="0"/>
          <w:sz w:val="22"/>
          <w:u w:val="single"/>
          <w:lang w:val="en-GB" w:eastAsia="en-US"/>
        </w:rPr>
        <w:t>Regulation 94.01</w:t>
      </w:r>
    </w:p>
    <w:p w:rsidR="00E33E3F" w:rsidRPr="00E33E3F" w:rsidRDefault="00E33E3F" w:rsidP="00E33E3F">
      <w:pPr>
        <w:widowControl/>
        <w:ind w:left="2070" w:hanging="1350"/>
        <w:jc w:val="left"/>
        <w:rPr>
          <w:rFonts w:ascii="Calibri" w:eastAsia="DengXian" w:hAnsi="Calibri" w:cs="Calibri"/>
          <w:kern w:val="0"/>
          <w:sz w:val="22"/>
          <w:lang w:eastAsia="en-US"/>
        </w:rPr>
      </w:pPr>
      <w:r w:rsidRPr="00E33E3F">
        <w:rPr>
          <w:rFonts w:ascii="Calibri" w:eastAsia="DengXian" w:hAnsi="Calibri" w:cs="Calibri"/>
          <w:color w:val="0563C1"/>
          <w:kern w:val="0"/>
          <w:sz w:val="22"/>
          <w:u w:val="single"/>
          <w:lang w:val="en-GB" w:eastAsia="en-US"/>
        </w:rPr>
        <w:t>Supplement 4: (EiF 26.07.2012) New airbag warning label</w:t>
      </w:r>
    </w:p>
    <w:p w:rsidR="00E33E3F" w:rsidRPr="00E33E3F" w:rsidRDefault="00E33E3F" w:rsidP="00E33E3F">
      <w:pPr>
        <w:widowControl/>
        <w:jc w:val="left"/>
        <w:rPr>
          <w:rFonts w:ascii="Calibri" w:eastAsia="DengXian" w:hAnsi="Calibri" w:cs="Calibri"/>
          <w:b/>
          <w:bCs/>
          <w:kern w:val="0"/>
          <w:sz w:val="22"/>
          <w:u w:val="single"/>
          <w:lang w:eastAsia="en-US"/>
        </w:rPr>
      </w:pPr>
      <w:r w:rsidRPr="00E33E3F">
        <w:rPr>
          <w:rFonts w:ascii="Calibri" w:eastAsia="DengXian" w:hAnsi="Calibri" w:cs="Calibri"/>
          <w:b/>
          <w:bCs/>
          <w:kern w:val="0"/>
          <w:sz w:val="22"/>
          <w:u w:val="single"/>
          <w:lang w:val="en-GB" w:eastAsia="en-US"/>
        </w:rPr>
        <w:t>Regulation 94.02</w:t>
      </w:r>
    </w:p>
    <w:p w:rsidR="00E33E3F" w:rsidRPr="00E33E3F" w:rsidRDefault="00E33E3F" w:rsidP="00E33E3F">
      <w:pPr>
        <w:widowControl/>
        <w:ind w:left="2070" w:hanging="1350"/>
        <w:jc w:val="left"/>
        <w:rPr>
          <w:rFonts w:ascii="Calibri" w:eastAsia="DengXian" w:hAnsi="Calibri" w:cs="Calibri"/>
          <w:kern w:val="0"/>
          <w:sz w:val="22"/>
          <w:lang w:eastAsia="en-US"/>
        </w:rPr>
      </w:pPr>
      <w:r w:rsidRPr="00E33E3F">
        <w:rPr>
          <w:rFonts w:ascii="Calibri" w:eastAsia="DengXian" w:hAnsi="Calibri" w:cs="Calibri"/>
          <w:color w:val="0563C1"/>
          <w:kern w:val="0"/>
          <w:sz w:val="22"/>
          <w:u w:val="single"/>
          <w:lang w:val="en-GB" w:eastAsia="en-US"/>
        </w:rPr>
        <w:t>Supplement 1: (EiF 13.04.2012) New airbag warning label</w:t>
      </w:r>
    </w:p>
    <w:p w:rsidR="008E60B0" w:rsidRPr="008E60B0" w:rsidRDefault="008E60B0" w:rsidP="008E60B0">
      <w:pPr>
        <w:widowControl/>
        <w:suppressAutoHyphens/>
        <w:spacing w:before="240" w:line="240" w:lineRule="atLeast"/>
        <w:ind w:left="1134" w:right="1134"/>
        <w:jc w:val="cente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sectPr w:rsidR="008E60B0" w:rsidRPr="008E60B0" w:rsidSect="003107A7">
      <w:pgSz w:w="11906" w:h="16838"/>
      <w:pgMar w:top="1417" w:right="1417" w:bottom="1417" w:left="141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591" w:rsidRDefault="006D5591" w:rsidP="00AC17C6">
      <w:r>
        <w:separator/>
      </w:r>
    </w:p>
  </w:endnote>
  <w:endnote w:type="continuationSeparator" w:id="0">
    <w:p w:rsidR="006D5591" w:rsidRDefault="006D5591" w:rsidP="00AC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591" w:rsidRDefault="006D5591" w:rsidP="00AC17C6">
      <w:r>
        <w:separator/>
      </w:r>
    </w:p>
  </w:footnote>
  <w:footnote w:type="continuationSeparator" w:id="0">
    <w:p w:rsidR="006D5591" w:rsidRDefault="006D5591" w:rsidP="00AC1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55C01"/>
    <w:rsid w:val="00001079"/>
    <w:rsid w:val="000124C4"/>
    <w:rsid w:val="00012B54"/>
    <w:rsid w:val="00021CC5"/>
    <w:rsid w:val="000245B6"/>
    <w:rsid w:val="00026778"/>
    <w:rsid w:val="00034DC2"/>
    <w:rsid w:val="00040CF1"/>
    <w:rsid w:val="0004427E"/>
    <w:rsid w:val="000552DA"/>
    <w:rsid w:val="0007515B"/>
    <w:rsid w:val="00075BD4"/>
    <w:rsid w:val="00076836"/>
    <w:rsid w:val="000953C9"/>
    <w:rsid w:val="000954C0"/>
    <w:rsid w:val="000A0A31"/>
    <w:rsid w:val="000C0DED"/>
    <w:rsid w:val="000C22E8"/>
    <w:rsid w:val="000C47C7"/>
    <w:rsid w:val="000D304C"/>
    <w:rsid w:val="000D608B"/>
    <w:rsid w:val="000D6E7D"/>
    <w:rsid w:val="000E4B33"/>
    <w:rsid w:val="000F0FE2"/>
    <w:rsid w:val="00107923"/>
    <w:rsid w:val="00116C61"/>
    <w:rsid w:val="00127EFE"/>
    <w:rsid w:val="00133B94"/>
    <w:rsid w:val="00135D99"/>
    <w:rsid w:val="00137129"/>
    <w:rsid w:val="00141791"/>
    <w:rsid w:val="00145CDD"/>
    <w:rsid w:val="00146B0B"/>
    <w:rsid w:val="0017055B"/>
    <w:rsid w:val="00176AE9"/>
    <w:rsid w:val="001856AF"/>
    <w:rsid w:val="001873DF"/>
    <w:rsid w:val="00190035"/>
    <w:rsid w:val="00196C07"/>
    <w:rsid w:val="00197351"/>
    <w:rsid w:val="001974FA"/>
    <w:rsid w:val="001A1335"/>
    <w:rsid w:val="001A3ECA"/>
    <w:rsid w:val="001B4A44"/>
    <w:rsid w:val="001D75A0"/>
    <w:rsid w:val="001E387C"/>
    <w:rsid w:val="001E465F"/>
    <w:rsid w:val="00213C84"/>
    <w:rsid w:val="00215A03"/>
    <w:rsid w:val="00225387"/>
    <w:rsid w:val="00232DDC"/>
    <w:rsid w:val="0026181D"/>
    <w:rsid w:val="00264314"/>
    <w:rsid w:val="00276A0E"/>
    <w:rsid w:val="002918CC"/>
    <w:rsid w:val="002B4F0F"/>
    <w:rsid w:val="002C5515"/>
    <w:rsid w:val="002D1AC1"/>
    <w:rsid w:val="002D4C23"/>
    <w:rsid w:val="002E3CA7"/>
    <w:rsid w:val="002E6527"/>
    <w:rsid w:val="002F303E"/>
    <w:rsid w:val="002F5716"/>
    <w:rsid w:val="002F579C"/>
    <w:rsid w:val="00302303"/>
    <w:rsid w:val="003107A7"/>
    <w:rsid w:val="00345AC0"/>
    <w:rsid w:val="00347D84"/>
    <w:rsid w:val="0036149B"/>
    <w:rsid w:val="003625D8"/>
    <w:rsid w:val="00373ED3"/>
    <w:rsid w:val="00382A19"/>
    <w:rsid w:val="00387CEF"/>
    <w:rsid w:val="00391DF1"/>
    <w:rsid w:val="00392460"/>
    <w:rsid w:val="0039301F"/>
    <w:rsid w:val="00397154"/>
    <w:rsid w:val="00397B10"/>
    <w:rsid w:val="003A4CC4"/>
    <w:rsid w:val="003C1B08"/>
    <w:rsid w:val="003D160A"/>
    <w:rsid w:val="003D17C9"/>
    <w:rsid w:val="003D6134"/>
    <w:rsid w:val="003D662D"/>
    <w:rsid w:val="003E6D78"/>
    <w:rsid w:val="00400090"/>
    <w:rsid w:val="004004B1"/>
    <w:rsid w:val="00400AC5"/>
    <w:rsid w:val="00406C2A"/>
    <w:rsid w:val="004164A5"/>
    <w:rsid w:val="00424C95"/>
    <w:rsid w:val="0042772D"/>
    <w:rsid w:val="00430276"/>
    <w:rsid w:val="00451CBA"/>
    <w:rsid w:val="00455C01"/>
    <w:rsid w:val="00461746"/>
    <w:rsid w:val="00466FFA"/>
    <w:rsid w:val="004760AF"/>
    <w:rsid w:val="0047764E"/>
    <w:rsid w:val="00483EE7"/>
    <w:rsid w:val="004858E7"/>
    <w:rsid w:val="0049376A"/>
    <w:rsid w:val="004B7428"/>
    <w:rsid w:val="004C1528"/>
    <w:rsid w:val="004C43F2"/>
    <w:rsid w:val="004D7CF2"/>
    <w:rsid w:val="004E29F6"/>
    <w:rsid w:val="004E530F"/>
    <w:rsid w:val="004E5438"/>
    <w:rsid w:val="004E56D3"/>
    <w:rsid w:val="004F1847"/>
    <w:rsid w:val="00500D5F"/>
    <w:rsid w:val="00502DE7"/>
    <w:rsid w:val="00503564"/>
    <w:rsid w:val="00506B87"/>
    <w:rsid w:val="005111ED"/>
    <w:rsid w:val="0051190A"/>
    <w:rsid w:val="0051354A"/>
    <w:rsid w:val="005151FC"/>
    <w:rsid w:val="00522750"/>
    <w:rsid w:val="00523B1A"/>
    <w:rsid w:val="005267D5"/>
    <w:rsid w:val="005270A0"/>
    <w:rsid w:val="00530726"/>
    <w:rsid w:val="00540A88"/>
    <w:rsid w:val="0055046D"/>
    <w:rsid w:val="00585162"/>
    <w:rsid w:val="00591D27"/>
    <w:rsid w:val="00595FE2"/>
    <w:rsid w:val="005A4AB2"/>
    <w:rsid w:val="005B1E7D"/>
    <w:rsid w:val="005B28CB"/>
    <w:rsid w:val="005B4BA9"/>
    <w:rsid w:val="005B55E3"/>
    <w:rsid w:val="005C1E6B"/>
    <w:rsid w:val="005C2A74"/>
    <w:rsid w:val="005D1B01"/>
    <w:rsid w:val="005D1CC9"/>
    <w:rsid w:val="005D5EB3"/>
    <w:rsid w:val="005D6AC7"/>
    <w:rsid w:val="005F1D6A"/>
    <w:rsid w:val="005F49D7"/>
    <w:rsid w:val="00600165"/>
    <w:rsid w:val="00600DAB"/>
    <w:rsid w:val="00602B8D"/>
    <w:rsid w:val="006038F2"/>
    <w:rsid w:val="006048EA"/>
    <w:rsid w:val="006255E0"/>
    <w:rsid w:val="0062715A"/>
    <w:rsid w:val="006314FF"/>
    <w:rsid w:val="0063510F"/>
    <w:rsid w:val="00636D29"/>
    <w:rsid w:val="00640621"/>
    <w:rsid w:val="00645A3D"/>
    <w:rsid w:val="00651852"/>
    <w:rsid w:val="006555D1"/>
    <w:rsid w:val="006563C8"/>
    <w:rsid w:val="00665C88"/>
    <w:rsid w:val="00676BD0"/>
    <w:rsid w:val="006838DF"/>
    <w:rsid w:val="006857D2"/>
    <w:rsid w:val="00687C22"/>
    <w:rsid w:val="00692A1E"/>
    <w:rsid w:val="00695979"/>
    <w:rsid w:val="006A01FC"/>
    <w:rsid w:val="006A47B4"/>
    <w:rsid w:val="006B5848"/>
    <w:rsid w:val="006D5591"/>
    <w:rsid w:val="006D63D3"/>
    <w:rsid w:val="006D7503"/>
    <w:rsid w:val="006F2ABF"/>
    <w:rsid w:val="006F5B9A"/>
    <w:rsid w:val="006F6AD2"/>
    <w:rsid w:val="006F7C66"/>
    <w:rsid w:val="007274A2"/>
    <w:rsid w:val="00733B1A"/>
    <w:rsid w:val="00737E73"/>
    <w:rsid w:val="007416E8"/>
    <w:rsid w:val="007426C8"/>
    <w:rsid w:val="007444A7"/>
    <w:rsid w:val="007468D8"/>
    <w:rsid w:val="00747216"/>
    <w:rsid w:val="0075080D"/>
    <w:rsid w:val="0076119B"/>
    <w:rsid w:val="0077021E"/>
    <w:rsid w:val="00770AE6"/>
    <w:rsid w:val="00776FA1"/>
    <w:rsid w:val="00785216"/>
    <w:rsid w:val="00785A71"/>
    <w:rsid w:val="00786AD7"/>
    <w:rsid w:val="0078744D"/>
    <w:rsid w:val="00792498"/>
    <w:rsid w:val="007934E0"/>
    <w:rsid w:val="007A1F73"/>
    <w:rsid w:val="007A1FBA"/>
    <w:rsid w:val="007B1179"/>
    <w:rsid w:val="007B215B"/>
    <w:rsid w:val="007B39F9"/>
    <w:rsid w:val="007B494A"/>
    <w:rsid w:val="007B79F3"/>
    <w:rsid w:val="007D22C8"/>
    <w:rsid w:val="007E66A0"/>
    <w:rsid w:val="007F1AAC"/>
    <w:rsid w:val="007F617D"/>
    <w:rsid w:val="008049BA"/>
    <w:rsid w:val="0080516E"/>
    <w:rsid w:val="00813E04"/>
    <w:rsid w:val="00822C4E"/>
    <w:rsid w:val="00827233"/>
    <w:rsid w:val="00833A1F"/>
    <w:rsid w:val="0085214F"/>
    <w:rsid w:val="008606DD"/>
    <w:rsid w:val="00862F20"/>
    <w:rsid w:val="00864AF6"/>
    <w:rsid w:val="00870B53"/>
    <w:rsid w:val="00876E60"/>
    <w:rsid w:val="008818BE"/>
    <w:rsid w:val="00886811"/>
    <w:rsid w:val="008869D7"/>
    <w:rsid w:val="00890036"/>
    <w:rsid w:val="00891C07"/>
    <w:rsid w:val="00897A9E"/>
    <w:rsid w:val="008A4811"/>
    <w:rsid w:val="008B7C62"/>
    <w:rsid w:val="008C20E9"/>
    <w:rsid w:val="008C47B6"/>
    <w:rsid w:val="008C67D1"/>
    <w:rsid w:val="008C7742"/>
    <w:rsid w:val="008C7B19"/>
    <w:rsid w:val="008D7975"/>
    <w:rsid w:val="008D7F5F"/>
    <w:rsid w:val="008E60B0"/>
    <w:rsid w:val="008F2F68"/>
    <w:rsid w:val="008F4A9F"/>
    <w:rsid w:val="00902AB4"/>
    <w:rsid w:val="009143E2"/>
    <w:rsid w:val="009148F4"/>
    <w:rsid w:val="009215DE"/>
    <w:rsid w:val="00926630"/>
    <w:rsid w:val="0093081C"/>
    <w:rsid w:val="00947B44"/>
    <w:rsid w:val="00963F5D"/>
    <w:rsid w:val="00967E24"/>
    <w:rsid w:val="00971174"/>
    <w:rsid w:val="00981457"/>
    <w:rsid w:val="009838FA"/>
    <w:rsid w:val="009839B8"/>
    <w:rsid w:val="009875EE"/>
    <w:rsid w:val="00987A61"/>
    <w:rsid w:val="009951C0"/>
    <w:rsid w:val="009A3337"/>
    <w:rsid w:val="009A5CD4"/>
    <w:rsid w:val="009B5AE3"/>
    <w:rsid w:val="009B60E8"/>
    <w:rsid w:val="009B689E"/>
    <w:rsid w:val="009C1185"/>
    <w:rsid w:val="009C229B"/>
    <w:rsid w:val="009D2771"/>
    <w:rsid w:val="009D5FD9"/>
    <w:rsid w:val="009E60B3"/>
    <w:rsid w:val="009F2F8F"/>
    <w:rsid w:val="009F41E8"/>
    <w:rsid w:val="00A13CDB"/>
    <w:rsid w:val="00A154D8"/>
    <w:rsid w:val="00A15AA4"/>
    <w:rsid w:val="00A169BD"/>
    <w:rsid w:val="00A23376"/>
    <w:rsid w:val="00A2393E"/>
    <w:rsid w:val="00A24E14"/>
    <w:rsid w:val="00A3222F"/>
    <w:rsid w:val="00A45B63"/>
    <w:rsid w:val="00A47168"/>
    <w:rsid w:val="00A4761D"/>
    <w:rsid w:val="00A5042F"/>
    <w:rsid w:val="00A540FA"/>
    <w:rsid w:val="00A55376"/>
    <w:rsid w:val="00A7264D"/>
    <w:rsid w:val="00A73E16"/>
    <w:rsid w:val="00A86F4F"/>
    <w:rsid w:val="00A979E4"/>
    <w:rsid w:val="00A97D86"/>
    <w:rsid w:val="00A97ED4"/>
    <w:rsid w:val="00AA0715"/>
    <w:rsid w:val="00AA2249"/>
    <w:rsid w:val="00AB15D2"/>
    <w:rsid w:val="00AC0A88"/>
    <w:rsid w:val="00AC17C6"/>
    <w:rsid w:val="00AC2688"/>
    <w:rsid w:val="00AD3938"/>
    <w:rsid w:val="00AE7CD5"/>
    <w:rsid w:val="00B01454"/>
    <w:rsid w:val="00B01BF4"/>
    <w:rsid w:val="00B14922"/>
    <w:rsid w:val="00B15DA3"/>
    <w:rsid w:val="00B314FE"/>
    <w:rsid w:val="00B36393"/>
    <w:rsid w:val="00B469CD"/>
    <w:rsid w:val="00B52874"/>
    <w:rsid w:val="00B54D46"/>
    <w:rsid w:val="00B60B36"/>
    <w:rsid w:val="00B620A8"/>
    <w:rsid w:val="00B637AC"/>
    <w:rsid w:val="00B6629C"/>
    <w:rsid w:val="00B83391"/>
    <w:rsid w:val="00B94D77"/>
    <w:rsid w:val="00B9538F"/>
    <w:rsid w:val="00BA1BA3"/>
    <w:rsid w:val="00BB2A12"/>
    <w:rsid w:val="00BB4872"/>
    <w:rsid w:val="00BB4B40"/>
    <w:rsid w:val="00BB5CC9"/>
    <w:rsid w:val="00BC4A30"/>
    <w:rsid w:val="00BD09F4"/>
    <w:rsid w:val="00BD125D"/>
    <w:rsid w:val="00BD2D76"/>
    <w:rsid w:val="00BD346A"/>
    <w:rsid w:val="00BE3BF4"/>
    <w:rsid w:val="00BF185F"/>
    <w:rsid w:val="00BF2C84"/>
    <w:rsid w:val="00C02312"/>
    <w:rsid w:val="00C037CD"/>
    <w:rsid w:val="00C04714"/>
    <w:rsid w:val="00C07A17"/>
    <w:rsid w:val="00C16453"/>
    <w:rsid w:val="00C169F7"/>
    <w:rsid w:val="00C248BA"/>
    <w:rsid w:val="00C33C91"/>
    <w:rsid w:val="00C349DB"/>
    <w:rsid w:val="00C370E4"/>
    <w:rsid w:val="00C44FD5"/>
    <w:rsid w:val="00C54453"/>
    <w:rsid w:val="00C7387A"/>
    <w:rsid w:val="00C80AF1"/>
    <w:rsid w:val="00C82917"/>
    <w:rsid w:val="00C843FE"/>
    <w:rsid w:val="00C96301"/>
    <w:rsid w:val="00C97399"/>
    <w:rsid w:val="00C975ED"/>
    <w:rsid w:val="00CA3C4A"/>
    <w:rsid w:val="00CA6BB0"/>
    <w:rsid w:val="00CB4295"/>
    <w:rsid w:val="00CD1B69"/>
    <w:rsid w:val="00CD6703"/>
    <w:rsid w:val="00CE4DF5"/>
    <w:rsid w:val="00CE6B77"/>
    <w:rsid w:val="00CF39C6"/>
    <w:rsid w:val="00CF4BED"/>
    <w:rsid w:val="00CF51D3"/>
    <w:rsid w:val="00D13BA9"/>
    <w:rsid w:val="00D147C1"/>
    <w:rsid w:val="00D2018D"/>
    <w:rsid w:val="00D36245"/>
    <w:rsid w:val="00D37FE2"/>
    <w:rsid w:val="00D44E30"/>
    <w:rsid w:val="00D559F2"/>
    <w:rsid w:val="00D57C4B"/>
    <w:rsid w:val="00D66F4A"/>
    <w:rsid w:val="00D728E5"/>
    <w:rsid w:val="00D81B9A"/>
    <w:rsid w:val="00D81D2F"/>
    <w:rsid w:val="00D856B4"/>
    <w:rsid w:val="00D87B16"/>
    <w:rsid w:val="00D9082C"/>
    <w:rsid w:val="00D92541"/>
    <w:rsid w:val="00DA619C"/>
    <w:rsid w:val="00DA7E44"/>
    <w:rsid w:val="00DB3337"/>
    <w:rsid w:val="00DB56A5"/>
    <w:rsid w:val="00DC2E6A"/>
    <w:rsid w:val="00DD3A04"/>
    <w:rsid w:val="00DD753F"/>
    <w:rsid w:val="00DE3473"/>
    <w:rsid w:val="00DE6B70"/>
    <w:rsid w:val="00DF1DD9"/>
    <w:rsid w:val="00DF5FB6"/>
    <w:rsid w:val="00DF786F"/>
    <w:rsid w:val="00E0223A"/>
    <w:rsid w:val="00E07201"/>
    <w:rsid w:val="00E13190"/>
    <w:rsid w:val="00E147E4"/>
    <w:rsid w:val="00E15516"/>
    <w:rsid w:val="00E214D3"/>
    <w:rsid w:val="00E21CBC"/>
    <w:rsid w:val="00E22C7F"/>
    <w:rsid w:val="00E23729"/>
    <w:rsid w:val="00E27D4E"/>
    <w:rsid w:val="00E31188"/>
    <w:rsid w:val="00E32B9C"/>
    <w:rsid w:val="00E33E3F"/>
    <w:rsid w:val="00E3716A"/>
    <w:rsid w:val="00E44C2A"/>
    <w:rsid w:val="00E569D2"/>
    <w:rsid w:val="00E67236"/>
    <w:rsid w:val="00E73EB1"/>
    <w:rsid w:val="00E7506E"/>
    <w:rsid w:val="00E7626B"/>
    <w:rsid w:val="00E869B8"/>
    <w:rsid w:val="00E86BD1"/>
    <w:rsid w:val="00E87E2B"/>
    <w:rsid w:val="00E952FC"/>
    <w:rsid w:val="00E97183"/>
    <w:rsid w:val="00E97D96"/>
    <w:rsid w:val="00EA0D2B"/>
    <w:rsid w:val="00EA517A"/>
    <w:rsid w:val="00EA7D0C"/>
    <w:rsid w:val="00EB5C2B"/>
    <w:rsid w:val="00EB5C3D"/>
    <w:rsid w:val="00ED08DC"/>
    <w:rsid w:val="00ED4E5E"/>
    <w:rsid w:val="00EE1DB8"/>
    <w:rsid w:val="00EE314B"/>
    <w:rsid w:val="00EE4F39"/>
    <w:rsid w:val="00EF1F58"/>
    <w:rsid w:val="00F035DF"/>
    <w:rsid w:val="00F114C7"/>
    <w:rsid w:val="00F31E0E"/>
    <w:rsid w:val="00F40A90"/>
    <w:rsid w:val="00F41657"/>
    <w:rsid w:val="00F439A3"/>
    <w:rsid w:val="00F43A2E"/>
    <w:rsid w:val="00F728A1"/>
    <w:rsid w:val="00F754DD"/>
    <w:rsid w:val="00F84D85"/>
    <w:rsid w:val="00F853BE"/>
    <w:rsid w:val="00F85911"/>
    <w:rsid w:val="00F970CA"/>
    <w:rsid w:val="00FA014B"/>
    <w:rsid w:val="00FA01EC"/>
    <w:rsid w:val="00FA1949"/>
    <w:rsid w:val="00FC0E99"/>
    <w:rsid w:val="00FE234B"/>
    <w:rsid w:val="00FE4D5E"/>
    <w:rsid w:val="00FF0051"/>
    <w:rsid w:val="00FF5F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EA1927"/>
  <w15:docId w15:val="{69082911-575A-4F00-AA4C-EF8CF690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D4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unhideWhenUsed/>
    <w:rsid w:val="00AC17C6"/>
    <w:pPr>
      <w:tabs>
        <w:tab w:val="center" w:pos="4252"/>
        <w:tab w:val="right" w:pos="8504"/>
      </w:tabs>
      <w:snapToGrid w:val="0"/>
    </w:pPr>
  </w:style>
  <w:style w:type="character" w:customStyle="1" w:styleId="HeaderChar">
    <w:name w:val="Header Char"/>
    <w:aliases w:val="6_G Char"/>
    <w:basedOn w:val="DefaultParagraphFont"/>
    <w:link w:val="Header"/>
    <w:uiPriority w:val="99"/>
    <w:rsid w:val="00AC17C6"/>
  </w:style>
  <w:style w:type="paragraph" w:styleId="Footer">
    <w:name w:val="footer"/>
    <w:basedOn w:val="Normal"/>
    <w:link w:val="FooterChar"/>
    <w:uiPriority w:val="99"/>
    <w:unhideWhenUsed/>
    <w:rsid w:val="00AC17C6"/>
    <w:pPr>
      <w:tabs>
        <w:tab w:val="center" w:pos="4252"/>
        <w:tab w:val="right" w:pos="8504"/>
      </w:tabs>
      <w:snapToGrid w:val="0"/>
    </w:pPr>
  </w:style>
  <w:style w:type="character" w:customStyle="1" w:styleId="FooterChar">
    <w:name w:val="Footer Char"/>
    <w:basedOn w:val="DefaultParagraphFont"/>
    <w:link w:val="Footer"/>
    <w:uiPriority w:val="99"/>
    <w:rsid w:val="00AC17C6"/>
  </w:style>
  <w:style w:type="paragraph" w:styleId="BalloonText">
    <w:name w:val="Balloon Text"/>
    <w:basedOn w:val="Normal"/>
    <w:link w:val="BalloonTextChar"/>
    <w:uiPriority w:val="99"/>
    <w:semiHidden/>
    <w:unhideWhenUsed/>
    <w:rsid w:val="00AC17C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C17C6"/>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7468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858981">
      <w:bodyDiv w:val="1"/>
      <w:marLeft w:val="0"/>
      <w:marRight w:val="0"/>
      <w:marTop w:val="0"/>
      <w:marBottom w:val="0"/>
      <w:divBdr>
        <w:top w:val="none" w:sz="0" w:space="0" w:color="auto"/>
        <w:left w:val="none" w:sz="0" w:space="0" w:color="auto"/>
        <w:bottom w:val="none" w:sz="0" w:space="0" w:color="auto"/>
        <w:right w:val="none" w:sz="0" w:space="0" w:color="auto"/>
      </w:divBdr>
    </w:div>
    <w:div w:id="997881180">
      <w:bodyDiv w:val="1"/>
      <w:marLeft w:val="0"/>
      <w:marRight w:val="0"/>
      <w:marTop w:val="0"/>
      <w:marBottom w:val="0"/>
      <w:divBdr>
        <w:top w:val="none" w:sz="0" w:space="0" w:color="auto"/>
        <w:left w:val="none" w:sz="0" w:space="0" w:color="auto"/>
        <w:bottom w:val="none" w:sz="0" w:space="0" w:color="auto"/>
        <w:right w:val="none" w:sz="0" w:space="0" w:color="auto"/>
      </w:divBdr>
      <w:divsChild>
        <w:div w:id="30979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fileadmin/DAM/trans/doc/2017/wp29/ECE-TRANS-WP29-2017-059e.docx" TargetMode="External"/><Relationship Id="rId13" Type="http://schemas.openxmlformats.org/officeDocument/2006/relationships/hyperlink" Target="http://www.unece.org/fileadmin/DAM/trans/doc/2013/wp29/ECE-TRANS-WP29-2013-048e.doc" TargetMode="External"/><Relationship Id="rId3" Type="http://schemas.openxmlformats.org/officeDocument/2006/relationships/settings" Target="settings.xml"/><Relationship Id="rId7" Type="http://schemas.openxmlformats.org/officeDocument/2006/relationships/hyperlink" Target="http://www.unece.org/fileadmin/DAM/trans/doc/2017/wp29/ECE-TRANS-WP29-2017-058e.docx" TargetMode="External"/><Relationship Id="rId12" Type="http://schemas.openxmlformats.org/officeDocument/2006/relationships/hyperlink" Target="http://www.unece.org/fileadmin/DAM/trans/doc/2013/wp29/ECE-TRANS-WP29-2013-047e.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nece.org/fileadmin/DAM/trans/main/wp29/wp29regs/2016/R017r5am1e.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ece.org/fileadmin/DAM/trans/doc/2013/wp29/ECE-TRANS-WP29-2013-105e.doc" TargetMode="External"/><Relationship Id="rId4" Type="http://schemas.openxmlformats.org/officeDocument/2006/relationships/webSettings" Target="webSettings.xml"/><Relationship Id="rId9" Type="http://schemas.openxmlformats.org/officeDocument/2006/relationships/hyperlink" Target="http://www.unece.org/fileadmin/DAM/trans/doc/2017/wp29/ECE-TRANS-WP29-2017-060e.docx"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C7C6A-31CE-455A-9171-477CCCB9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2339</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トヨタ自動車</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NTSEL</dc:creator>
  <cp:lastModifiedBy>Rev.26</cp:lastModifiedBy>
  <cp:revision>2</cp:revision>
  <cp:lastPrinted>2018-03-13T09:50:00Z</cp:lastPrinted>
  <dcterms:created xsi:type="dcterms:W3CDTF">2018-03-15T11:17:00Z</dcterms:created>
  <dcterms:modified xsi:type="dcterms:W3CDTF">2018-03-15T11:17:00Z</dcterms:modified>
</cp:coreProperties>
</file>