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718C7" w:rsidTr="00C97039">
        <w:trPr>
          <w:trHeight w:hRule="exact" w:val="851"/>
        </w:trPr>
        <w:tc>
          <w:tcPr>
            <w:tcW w:w="1276" w:type="dxa"/>
            <w:tcBorders>
              <w:bottom w:val="single" w:sz="4" w:space="0" w:color="auto"/>
            </w:tcBorders>
          </w:tcPr>
          <w:p w:rsidR="00F35BAF" w:rsidRPr="00F718C7" w:rsidRDefault="00F35BAF" w:rsidP="00960011">
            <w:bookmarkStart w:id="0" w:name="_GoBack"/>
            <w:bookmarkEnd w:id="0"/>
          </w:p>
        </w:tc>
        <w:tc>
          <w:tcPr>
            <w:tcW w:w="2268" w:type="dxa"/>
            <w:tcBorders>
              <w:bottom w:val="single" w:sz="4" w:space="0" w:color="auto"/>
            </w:tcBorders>
            <w:vAlign w:val="bottom"/>
          </w:tcPr>
          <w:p w:rsidR="00F35BAF" w:rsidRPr="00F718C7" w:rsidRDefault="00F35BAF" w:rsidP="00C97039">
            <w:pPr>
              <w:spacing w:after="80" w:line="300" w:lineRule="exact"/>
              <w:rPr>
                <w:sz w:val="28"/>
              </w:rPr>
            </w:pPr>
            <w:r w:rsidRPr="00F718C7">
              <w:rPr>
                <w:sz w:val="28"/>
              </w:rPr>
              <w:t>Nations Unies</w:t>
            </w:r>
          </w:p>
        </w:tc>
        <w:tc>
          <w:tcPr>
            <w:tcW w:w="6095" w:type="dxa"/>
            <w:gridSpan w:val="2"/>
            <w:tcBorders>
              <w:bottom w:val="single" w:sz="4" w:space="0" w:color="auto"/>
            </w:tcBorders>
            <w:vAlign w:val="bottom"/>
          </w:tcPr>
          <w:p w:rsidR="00F35BAF" w:rsidRPr="00F718C7" w:rsidRDefault="00960011" w:rsidP="00960011">
            <w:pPr>
              <w:jc w:val="right"/>
            </w:pPr>
            <w:r w:rsidRPr="00F718C7">
              <w:rPr>
                <w:sz w:val="40"/>
              </w:rPr>
              <w:t>ECE</w:t>
            </w:r>
            <w:r w:rsidRPr="00F718C7">
              <w:t>/TRANS/WP.29/GRE/2018/18</w:t>
            </w:r>
          </w:p>
        </w:tc>
      </w:tr>
      <w:tr w:rsidR="00F35BAF" w:rsidRPr="00F718C7" w:rsidTr="00C97039">
        <w:trPr>
          <w:trHeight w:hRule="exact" w:val="2835"/>
        </w:trPr>
        <w:tc>
          <w:tcPr>
            <w:tcW w:w="1276" w:type="dxa"/>
            <w:tcBorders>
              <w:top w:val="single" w:sz="4" w:space="0" w:color="auto"/>
              <w:bottom w:val="single" w:sz="12" w:space="0" w:color="auto"/>
            </w:tcBorders>
          </w:tcPr>
          <w:p w:rsidR="00F35BAF" w:rsidRPr="00F718C7" w:rsidRDefault="00F35BAF" w:rsidP="00C97039">
            <w:pPr>
              <w:spacing w:before="120"/>
              <w:jc w:val="center"/>
            </w:pPr>
            <w:r w:rsidRPr="00F718C7">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718C7" w:rsidRDefault="00F35BAF" w:rsidP="00C97039">
            <w:pPr>
              <w:spacing w:before="120" w:line="420" w:lineRule="exact"/>
              <w:rPr>
                <w:b/>
                <w:sz w:val="40"/>
                <w:szCs w:val="40"/>
              </w:rPr>
            </w:pPr>
            <w:r w:rsidRPr="00F718C7">
              <w:rPr>
                <w:b/>
                <w:sz w:val="40"/>
                <w:szCs w:val="40"/>
              </w:rPr>
              <w:t>Conseil économique et social</w:t>
            </w:r>
          </w:p>
        </w:tc>
        <w:tc>
          <w:tcPr>
            <w:tcW w:w="2835" w:type="dxa"/>
            <w:tcBorders>
              <w:top w:val="single" w:sz="4" w:space="0" w:color="auto"/>
              <w:bottom w:val="single" w:sz="12" w:space="0" w:color="auto"/>
            </w:tcBorders>
          </w:tcPr>
          <w:p w:rsidR="00F35BAF" w:rsidRPr="00F718C7" w:rsidRDefault="00960011" w:rsidP="00C97039">
            <w:pPr>
              <w:spacing w:before="240"/>
            </w:pPr>
            <w:r w:rsidRPr="00F718C7">
              <w:t>Distr. générale</w:t>
            </w:r>
          </w:p>
          <w:p w:rsidR="00960011" w:rsidRPr="00F718C7" w:rsidRDefault="00474134" w:rsidP="00960011">
            <w:pPr>
              <w:spacing w:line="240" w:lineRule="exact"/>
            </w:pPr>
            <w:r>
              <w:t>8</w:t>
            </w:r>
            <w:r w:rsidR="00960011" w:rsidRPr="00F718C7">
              <w:t xml:space="preserve"> février 2018</w:t>
            </w:r>
          </w:p>
          <w:p w:rsidR="00960011" w:rsidRPr="00F718C7" w:rsidRDefault="00960011" w:rsidP="00960011">
            <w:pPr>
              <w:spacing w:line="240" w:lineRule="exact"/>
            </w:pPr>
            <w:r w:rsidRPr="00F718C7">
              <w:t>Français</w:t>
            </w:r>
          </w:p>
          <w:p w:rsidR="00960011" w:rsidRPr="00F718C7" w:rsidRDefault="00960011" w:rsidP="00960011">
            <w:pPr>
              <w:spacing w:line="240" w:lineRule="exact"/>
            </w:pPr>
            <w:r w:rsidRPr="00F718C7">
              <w:t>Original : anglais</w:t>
            </w:r>
          </w:p>
        </w:tc>
      </w:tr>
    </w:tbl>
    <w:p w:rsidR="007F20FA" w:rsidRPr="00F718C7" w:rsidRDefault="007F20FA" w:rsidP="007F20FA">
      <w:pPr>
        <w:spacing w:before="120"/>
        <w:rPr>
          <w:b/>
          <w:sz w:val="28"/>
          <w:szCs w:val="28"/>
        </w:rPr>
      </w:pPr>
      <w:r w:rsidRPr="00F718C7">
        <w:rPr>
          <w:b/>
          <w:sz w:val="28"/>
          <w:szCs w:val="28"/>
        </w:rPr>
        <w:t>Commission économique pour l’Europe</w:t>
      </w:r>
    </w:p>
    <w:p w:rsidR="007F20FA" w:rsidRPr="00F718C7" w:rsidRDefault="007F20FA" w:rsidP="007F20FA">
      <w:pPr>
        <w:spacing w:before="120"/>
        <w:rPr>
          <w:sz w:val="28"/>
          <w:szCs w:val="28"/>
        </w:rPr>
      </w:pPr>
      <w:r w:rsidRPr="00F718C7">
        <w:rPr>
          <w:sz w:val="28"/>
          <w:szCs w:val="28"/>
        </w:rPr>
        <w:t>Comité des transports intérieurs</w:t>
      </w:r>
    </w:p>
    <w:p w:rsidR="00453C40" w:rsidRPr="00F718C7" w:rsidRDefault="00453C40" w:rsidP="00466A53">
      <w:pPr>
        <w:spacing w:before="120"/>
        <w:rPr>
          <w:b/>
          <w:sz w:val="24"/>
          <w:szCs w:val="24"/>
        </w:rPr>
      </w:pPr>
      <w:r w:rsidRPr="00F718C7">
        <w:rPr>
          <w:b/>
          <w:iCs/>
          <w:sz w:val="24"/>
          <w:szCs w:val="24"/>
        </w:rPr>
        <w:t>Forum</w:t>
      </w:r>
      <w:r w:rsidRPr="00F718C7">
        <w:rPr>
          <w:b/>
          <w:sz w:val="24"/>
          <w:szCs w:val="24"/>
        </w:rPr>
        <w:t xml:space="preserve"> mondial de l’harmonisation </w:t>
      </w:r>
      <w:r w:rsidR="00466A53" w:rsidRPr="00F718C7">
        <w:rPr>
          <w:b/>
          <w:sz w:val="24"/>
          <w:szCs w:val="24"/>
        </w:rPr>
        <w:br/>
      </w:r>
      <w:r w:rsidRPr="00F718C7">
        <w:rPr>
          <w:b/>
          <w:sz w:val="24"/>
          <w:szCs w:val="24"/>
        </w:rPr>
        <w:t xml:space="preserve">des Règlements concernant les véhicules </w:t>
      </w:r>
    </w:p>
    <w:p w:rsidR="00453C40" w:rsidRPr="00F718C7" w:rsidRDefault="00453C40" w:rsidP="00466A53">
      <w:pPr>
        <w:spacing w:before="120"/>
        <w:rPr>
          <w:b/>
          <w:bCs/>
        </w:rPr>
      </w:pPr>
      <w:r w:rsidRPr="00F718C7">
        <w:rPr>
          <w:b/>
          <w:bCs/>
        </w:rPr>
        <w:t xml:space="preserve">Groupe de travail de l’éclairage </w:t>
      </w:r>
      <w:r w:rsidR="00466A53" w:rsidRPr="00F718C7">
        <w:rPr>
          <w:b/>
          <w:bCs/>
        </w:rPr>
        <w:br/>
      </w:r>
      <w:r w:rsidRPr="00F718C7">
        <w:rPr>
          <w:b/>
          <w:bCs/>
        </w:rPr>
        <w:t xml:space="preserve">et de la signalisation lumineuse </w:t>
      </w:r>
    </w:p>
    <w:p w:rsidR="00453C40" w:rsidRPr="00F718C7" w:rsidRDefault="00453C40" w:rsidP="00466A53">
      <w:pPr>
        <w:spacing w:before="120"/>
        <w:rPr>
          <w:b/>
        </w:rPr>
      </w:pPr>
      <w:r w:rsidRPr="00F718C7">
        <w:rPr>
          <w:b/>
        </w:rPr>
        <w:t>Soixante-dix-neuvième session</w:t>
      </w:r>
    </w:p>
    <w:p w:rsidR="00453C40" w:rsidRPr="00F718C7" w:rsidRDefault="00453C40" w:rsidP="00466A53">
      <w:pPr>
        <w:rPr>
          <w:bCs/>
        </w:rPr>
      </w:pPr>
      <w:r w:rsidRPr="00F718C7">
        <w:t>Genève</w:t>
      </w:r>
      <w:r w:rsidRPr="00F718C7">
        <w:rPr>
          <w:bCs/>
        </w:rPr>
        <w:t>, 24-27 avril 2018</w:t>
      </w:r>
    </w:p>
    <w:p w:rsidR="00453C40" w:rsidRPr="00F718C7" w:rsidRDefault="00453C40" w:rsidP="00466A53">
      <w:pPr>
        <w:rPr>
          <w:bCs/>
        </w:rPr>
      </w:pPr>
      <w:r w:rsidRPr="00F718C7">
        <w:rPr>
          <w:bCs/>
        </w:rPr>
        <w:t>Point 4 de l’ordre du jour provisoire</w:t>
      </w:r>
    </w:p>
    <w:p w:rsidR="00453C40" w:rsidRPr="00F718C7" w:rsidRDefault="00453C40" w:rsidP="00466A53">
      <w:pPr>
        <w:rPr>
          <w:b/>
          <w:bCs/>
        </w:rPr>
      </w:pPr>
      <w:r w:rsidRPr="00F718C7">
        <w:rPr>
          <w:b/>
          <w:bCs/>
        </w:rPr>
        <w:t xml:space="preserve">Simplification des Règlements concernant </w:t>
      </w:r>
      <w:r w:rsidR="004F00A1" w:rsidRPr="00F718C7">
        <w:rPr>
          <w:b/>
          <w:bCs/>
        </w:rPr>
        <w:br/>
      </w:r>
      <w:r w:rsidRPr="00F718C7">
        <w:rPr>
          <w:b/>
          <w:bCs/>
        </w:rPr>
        <w:t>l’éclairage et la signalisation lumineuse</w:t>
      </w:r>
    </w:p>
    <w:p w:rsidR="00453C40" w:rsidRPr="00F718C7" w:rsidRDefault="00453C40" w:rsidP="00466A53">
      <w:pPr>
        <w:pStyle w:val="HChG"/>
      </w:pPr>
      <w:r w:rsidRPr="00F718C7">
        <w:tab/>
      </w:r>
      <w:r w:rsidRPr="00F718C7">
        <w:tab/>
        <w:t>Amendements collectifs aux Règlements n</w:t>
      </w:r>
      <w:r w:rsidR="004F00A1" w:rsidRPr="00F718C7">
        <w:rPr>
          <w:vertAlign w:val="superscript"/>
        </w:rPr>
        <w:t>os</w:t>
      </w:r>
      <w:r w:rsidR="004F00A1" w:rsidRPr="00F718C7">
        <w:t> </w:t>
      </w:r>
      <w:r w:rsidRPr="00F718C7">
        <w:t>53, 74 et 86</w:t>
      </w:r>
    </w:p>
    <w:p w:rsidR="00453C40" w:rsidRPr="00F718C7" w:rsidRDefault="00466A53" w:rsidP="00466A53">
      <w:pPr>
        <w:pStyle w:val="H1G"/>
        <w:rPr>
          <w:szCs w:val="24"/>
        </w:rPr>
      </w:pPr>
      <w:r w:rsidRPr="00F718C7">
        <w:tab/>
      </w:r>
      <w:r w:rsidRPr="00F718C7">
        <w:tab/>
      </w:r>
      <w:r w:rsidR="00453C40" w:rsidRPr="00F718C7">
        <w:t xml:space="preserve">Communication du groupe de travail informel de la </w:t>
      </w:r>
      <w:r w:rsidR="00453C40" w:rsidRPr="00F718C7">
        <w:rPr>
          <w:iCs/>
        </w:rPr>
        <w:t>simplification</w:t>
      </w:r>
      <w:r w:rsidR="00453C40" w:rsidRPr="00F718C7">
        <w:t xml:space="preserve"> des</w:t>
      </w:r>
      <w:r w:rsidR="004F00A1" w:rsidRPr="00F718C7">
        <w:t> </w:t>
      </w:r>
      <w:r w:rsidR="00453C40" w:rsidRPr="00F718C7">
        <w:t>Règlements relatifs à l’éclairage et à la signalisation lumineuse</w:t>
      </w:r>
      <w:r w:rsidR="00453C40" w:rsidRPr="00F718C7">
        <w:rPr>
          <w:b w:val="0"/>
          <w:sz w:val="20"/>
        </w:rPr>
        <w:footnoteReference w:customMarkFollows="1" w:id="2"/>
        <w:t>*</w:t>
      </w:r>
    </w:p>
    <w:p w:rsidR="00453C40" w:rsidRPr="00F718C7" w:rsidRDefault="00453C40" w:rsidP="00466A53">
      <w:pPr>
        <w:pStyle w:val="SingleTxtG"/>
        <w:ind w:firstLine="567"/>
      </w:pPr>
      <w:r w:rsidRPr="00F718C7">
        <w:t>Le texte ci-après, établi par le groupe de travail informel de la simplification des Règlements relatifs à l’éclairage et à la signalisation lumineuse, vise à i</w:t>
      </w:r>
      <w:r w:rsidR="004F00A1" w:rsidRPr="00F718C7">
        <w:t>ntroduire dans les Règlements n</w:t>
      </w:r>
      <w:r w:rsidR="004F00A1" w:rsidRPr="00F718C7">
        <w:rPr>
          <w:vertAlign w:val="superscript"/>
        </w:rPr>
        <w:t>os</w:t>
      </w:r>
      <w:r w:rsidR="004F00A1" w:rsidRPr="00F718C7">
        <w:t> </w:t>
      </w:r>
      <w:r w:rsidRPr="00F718C7">
        <w:t>53, 74 et 86 les prescriptions générales d’utilisation de l’« indice de modification » proposé par les trois nouveaux Règlements simplifiés portant respectivement sur les dispositifs de signalisation lumineuse (DSL), les dispositifs d’éclairage de la route (DER) et les dispositifs rétroréfléchissants (DRR) .</w:t>
      </w:r>
    </w:p>
    <w:p w:rsidR="00453C40" w:rsidRPr="00F718C7" w:rsidRDefault="00453C40" w:rsidP="00453C40">
      <w:pPr>
        <w:pStyle w:val="HChG"/>
      </w:pPr>
      <w:r w:rsidRPr="00F718C7">
        <w:br w:type="page"/>
      </w:r>
      <w:r w:rsidRPr="00F718C7">
        <w:lastRenderedPageBreak/>
        <w:tab/>
        <w:t>I.</w:t>
      </w:r>
      <w:r w:rsidRPr="00F718C7">
        <w:tab/>
        <w:t>Proposition</w:t>
      </w:r>
    </w:p>
    <w:p w:rsidR="00453C40" w:rsidRPr="00F718C7" w:rsidRDefault="00453C40" w:rsidP="00453C40">
      <w:pPr>
        <w:pStyle w:val="H1G"/>
        <w:rPr>
          <w:sz w:val="28"/>
        </w:rPr>
      </w:pPr>
      <w:r w:rsidRPr="00F718C7">
        <w:tab/>
        <w:t xml:space="preserve">A. </w:t>
      </w:r>
      <w:r w:rsidRPr="00F718C7">
        <w:tab/>
        <w:t>Proposition de complément à la série 02 d’amendements au Règlement n</w:t>
      </w:r>
      <w:r w:rsidR="00B90326" w:rsidRPr="00F718C7">
        <w:rPr>
          <w:vertAlign w:val="superscript"/>
        </w:rPr>
        <w:t>o</w:t>
      </w:r>
      <w:r w:rsidR="00B90326" w:rsidRPr="00F718C7">
        <w:t> </w:t>
      </w:r>
      <w:r w:rsidRPr="00F718C7">
        <w:t>53</w:t>
      </w:r>
    </w:p>
    <w:p w:rsidR="00453C40" w:rsidRPr="00F718C7" w:rsidRDefault="00453C40" w:rsidP="00F718C7">
      <w:pPr>
        <w:keepNext/>
        <w:kinsoku/>
        <w:overflowPunct/>
        <w:autoSpaceDE/>
        <w:autoSpaceDN/>
        <w:adjustRightInd/>
        <w:snapToGrid/>
        <w:spacing w:after="120"/>
        <w:ind w:left="1134" w:right="1134"/>
        <w:jc w:val="both"/>
        <w:rPr>
          <w:rFonts w:eastAsia="Times New Roman"/>
        </w:rPr>
      </w:pPr>
      <w:r w:rsidRPr="00F718C7">
        <w:rPr>
          <w:rFonts w:eastAsia="Times New Roman"/>
          <w:i/>
        </w:rPr>
        <w:t>Ajouter un nouveau paragraphe 5.19</w:t>
      </w:r>
      <w:r w:rsidRPr="00F718C7">
        <w:rPr>
          <w:rFonts w:eastAsia="Times New Roman"/>
        </w:rPr>
        <w:t>, libellé comme suit</w:t>
      </w:r>
      <w:r w:rsidR="00B90326" w:rsidRPr="00F718C7">
        <w:rPr>
          <w:rFonts w:eastAsia="Times New Roman"/>
        </w:rPr>
        <w:t> </w:t>
      </w:r>
      <w:r w:rsidRPr="00F718C7">
        <w:rPr>
          <w:rFonts w:eastAsia="Times New Roman"/>
        </w:rPr>
        <w:t>:</w:t>
      </w:r>
    </w:p>
    <w:p w:rsidR="00453C40" w:rsidRPr="00F718C7" w:rsidRDefault="00453C40" w:rsidP="00453C40">
      <w:pPr>
        <w:kinsoku/>
        <w:overflowPunct/>
        <w:autoSpaceDE/>
        <w:autoSpaceDN/>
        <w:adjustRightInd/>
        <w:snapToGrid/>
        <w:spacing w:after="120"/>
        <w:ind w:left="2268" w:right="1134" w:hanging="1134"/>
        <w:jc w:val="both"/>
        <w:rPr>
          <w:rFonts w:eastAsia="Times New Roman"/>
        </w:rPr>
      </w:pPr>
      <w:r w:rsidRPr="00F718C7">
        <w:rPr>
          <w:rFonts w:eastAsia="MS Mincho"/>
        </w:rPr>
        <w:t>« </w:t>
      </w:r>
      <w:r w:rsidRPr="00F718C7">
        <w:rPr>
          <w:b/>
        </w:rPr>
        <w:t>5.19</w:t>
      </w:r>
      <w:r w:rsidRPr="00F718C7">
        <w:rPr>
          <w:b/>
        </w:rPr>
        <w:tab/>
        <w:t>Un dispositif homologué au titre d’une série précédente d’amendements aux Règlements [DSL, DER et/ou DRR ] est réputé équivalent à un dispositif homologué au titre de la série d’amendements la plus récente au Règlement concerné ([DSL ], [DER ] et [DRR ]), lorsque les indices de modification (définis au paragraphe 2.1.6 du Règlement n</w:t>
      </w:r>
      <w:r w:rsidR="00F718C7" w:rsidRPr="00F718C7">
        <w:rPr>
          <w:b/>
          <w:vertAlign w:val="superscript"/>
        </w:rPr>
        <w:t>o</w:t>
      </w:r>
      <w:r w:rsidR="00F718C7" w:rsidRPr="00F718C7">
        <w:rPr>
          <w:b/>
        </w:rPr>
        <w:t> </w:t>
      </w:r>
      <w:r w:rsidRPr="00F718C7">
        <w:rPr>
          <w:b/>
        </w:rPr>
        <w:t>48) de chacun des feux (fonctions) sont les mêmes.</w:t>
      </w:r>
      <w:r w:rsidR="00F718C7" w:rsidRPr="00F718C7">
        <w:rPr>
          <w:b/>
        </w:rPr>
        <w:t xml:space="preserve"> </w:t>
      </w:r>
      <w:r w:rsidRPr="00F718C7">
        <w:rPr>
          <w:b/>
        </w:rPr>
        <w:t>Dans ce cas il n’est pas nécessaire de mettre à jour les documents d’homolog</w:t>
      </w:r>
      <w:r w:rsidR="00F718C7" w:rsidRPr="00F718C7">
        <w:rPr>
          <w:b/>
        </w:rPr>
        <w:t>ation de type ni le marquage du </w:t>
      </w:r>
      <w:r w:rsidRPr="00F718C7">
        <w:rPr>
          <w:b/>
        </w:rPr>
        <w:t>dispositif.</w:t>
      </w:r>
      <w:r w:rsidR="00F718C7" w:rsidRPr="00F718C7">
        <w:rPr>
          <w:b/>
        </w:rPr>
        <w:t> </w:t>
      </w:r>
      <w:r w:rsidRPr="00F718C7">
        <w:rPr>
          <w:rFonts w:eastAsia="Times New Roman"/>
        </w:rPr>
        <w:t>».</w:t>
      </w:r>
    </w:p>
    <w:p w:rsidR="00453C40" w:rsidRPr="00F718C7" w:rsidRDefault="00453C40" w:rsidP="00453C40">
      <w:pPr>
        <w:pStyle w:val="H1G"/>
        <w:rPr>
          <w:sz w:val="28"/>
        </w:rPr>
      </w:pPr>
      <w:r w:rsidRPr="00F718C7">
        <w:tab/>
        <w:t>B.</w:t>
      </w:r>
      <w:r w:rsidRPr="00F718C7">
        <w:tab/>
        <w:t>Proposition de complément à la série 01 d’amendements au Règlement n</w:t>
      </w:r>
      <w:r w:rsidR="00F718C7" w:rsidRPr="00F718C7">
        <w:rPr>
          <w:vertAlign w:val="superscript"/>
        </w:rPr>
        <w:t>o</w:t>
      </w:r>
      <w:r w:rsidR="00F718C7" w:rsidRPr="00F718C7">
        <w:t> </w:t>
      </w:r>
      <w:r w:rsidRPr="00F718C7">
        <w:t>74</w:t>
      </w:r>
    </w:p>
    <w:p w:rsidR="00453C40" w:rsidRPr="00F718C7" w:rsidRDefault="00453C40" w:rsidP="00F718C7">
      <w:pPr>
        <w:pStyle w:val="SingleTxtG"/>
        <w:keepNext/>
      </w:pPr>
      <w:r w:rsidRPr="00F718C7">
        <w:rPr>
          <w:i/>
        </w:rPr>
        <w:t>Ajouter un nouveau paragraphe 5.19</w:t>
      </w:r>
      <w:r w:rsidRPr="00F718C7">
        <w:t>, libellé comme suit</w:t>
      </w:r>
      <w:r w:rsidR="00F718C7" w:rsidRPr="00F718C7">
        <w:t> </w:t>
      </w:r>
      <w:r w:rsidRPr="00F718C7">
        <w:t>:</w:t>
      </w:r>
    </w:p>
    <w:p w:rsidR="00453C40" w:rsidRPr="00F718C7" w:rsidRDefault="00453C40" w:rsidP="00B90326">
      <w:pPr>
        <w:pStyle w:val="SingleTxtG"/>
        <w:ind w:left="2268" w:hanging="1134"/>
        <w:rPr>
          <w:rFonts w:eastAsia="Times New Roman"/>
        </w:rPr>
      </w:pPr>
      <w:r w:rsidRPr="00F718C7">
        <w:rPr>
          <w:rFonts w:eastAsia="MS Mincho"/>
        </w:rPr>
        <w:t>« </w:t>
      </w:r>
      <w:r w:rsidRPr="00F718C7">
        <w:rPr>
          <w:b/>
        </w:rPr>
        <w:t>5.19</w:t>
      </w:r>
      <w:r w:rsidRPr="00F718C7">
        <w:rPr>
          <w:b/>
        </w:rPr>
        <w:tab/>
        <w:t xml:space="preserve">Un dispositif homologué au titre d’une série précédente d’amendements aux Règlements [DSL, DER  et/ou DRR ] est réputé équivalent à un dispositif homologué au titre de la série d’amendements la plus récente au Règlement concerné ([DSL ], [DER ] et [DRR ]), lorsque les indices de modification (définis au paragraphe 2.1.6 du </w:t>
      </w:r>
      <w:r w:rsidR="00F718C7" w:rsidRPr="00F718C7">
        <w:rPr>
          <w:b/>
        </w:rPr>
        <w:t>Règlement n</w:t>
      </w:r>
      <w:r w:rsidR="00F718C7" w:rsidRPr="00F718C7">
        <w:rPr>
          <w:b/>
          <w:vertAlign w:val="superscript"/>
        </w:rPr>
        <w:t>o</w:t>
      </w:r>
      <w:r w:rsidR="00F718C7" w:rsidRPr="00F718C7">
        <w:rPr>
          <w:b/>
        </w:rPr>
        <w:t> </w:t>
      </w:r>
      <w:r w:rsidRPr="00F718C7">
        <w:rPr>
          <w:b/>
        </w:rPr>
        <w:t>48) de chacun des feux (fonctions) sont les mêmes.</w:t>
      </w:r>
      <w:r w:rsidR="00F718C7" w:rsidRPr="00F718C7">
        <w:rPr>
          <w:b/>
        </w:rPr>
        <w:t xml:space="preserve"> </w:t>
      </w:r>
      <w:r w:rsidRPr="00F718C7">
        <w:rPr>
          <w:b/>
        </w:rPr>
        <w:t>Dans ce cas il n’est pas nécessaire de mettre à jour les documents d’homolog</w:t>
      </w:r>
      <w:r w:rsidR="00F718C7" w:rsidRPr="00F718C7">
        <w:rPr>
          <w:b/>
        </w:rPr>
        <w:t>ation de type ni le marquage du </w:t>
      </w:r>
      <w:r w:rsidRPr="00F718C7">
        <w:rPr>
          <w:b/>
        </w:rPr>
        <w:t>dispositif.</w:t>
      </w:r>
      <w:r w:rsidRPr="00F718C7">
        <w:rPr>
          <w:rFonts w:eastAsia="Times New Roman"/>
        </w:rPr>
        <w:t> ».</w:t>
      </w:r>
    </w:p>
    <w:p w:rsidR="00453C40" w:rsidRPr="00F718C7" w:rsidRDefault="00453C40" w:rsidP="00453C40">
      <w:pPr>
        <w:pStyle w:val="H1G"/>
        <w:rPr>
          <w:sz w:val="28"/>
        </w:rPr>
      </w:pPr>
      <w:r w:rsidRPr="00F718C7">
        <w:tab/>
        <w:t>C.</w:t>
      </w:r>
      <w:r w:rsidRPr="00F718C7">
        <w:tab/>
        <w:t>Proposition de complément à la série 01 d’amendements au Règlement n</w:t>
      </w:r>
      <w:r w:rsidR="00F718C7" w:rsidRPr="00F718C7">
        <w:rPr>
          <w:vertAlign w:val="superscript"/>
        </w:rPr>
        <w:t>o</w:t>
      </w:r>
      <w:r w:rsidR="00F718C7" w:rsidRPr="00F718C7">
        <w:t> </w:t>
      </w:r>
      <w:r w:rsidRPr="00F718C7">
        <w:t>86</w:t>
      </w:r>
    </w:p>
    <w:p w:rsidR="00453C40" w:rsidRPr="00F718C7" w:rsidRDefault="00453C40" w:rsidP="00F718C7">
      <w:pPr>
        <w:pStyle w:val="SingleTxtG"/>
        <w:keepNext/>
      </w:pPr>
      <w:r w:rsidRPr="00F718C7">
        <w:rPr>
          <w:i/>
        </w:rPr>
        <w:t>Ajouter un nouveau paragraphe 5.20</w:t>
      </w:r>
      <w:r w:rsidRPr="00F718C7">
        <w:t>, libellé comme suit</w:t>
      </w:r>
      <w:r w:rsidR="006137DF">
        <w:t> </w:t>
      </w:r>
      <w:r w:rsidRPr="00F718C7">
        <w:t>:</w:t>
      </w:r>
    </w:p>
    <w:p w:rsidR="00453C40" w:rsidRPr="00F718C7" w:rsidRDefault="00453C40" w:rsidP="00453C40">
      <w:pPr>
        <w:pStyle w:val="SingleTxtG"/>
        <w:ind w:left="2268" w:hanging="1134"/>
      </w:pPr>
      <w:r w:rsidRPr="00F718C7">
        <w:rPr>
          <w:rFonts w:eastAsia="MS Mincho"/>
        </w:rPr>
        <w:t>« </w:t>
      </w:r>
      <w:r w:rsidRPr="00F718C7">
        <w:rPr>
          <w:rFonts w:eastAsia="MS Mincho"/>
          <w:b/>
        </w:rPr>
        <w:t>5</w:t>
      </w:r>
      <w:r w:rsidRPr="00F718C7">
        <w:rPr>
          <w:b/>
        </w:rPr>
        <w:t>.20</w:t>
      </w:r>
      <w:r w:rsidRPr="00F718C7">
        <w:rPr>
          <w:b/>
        </w:rPr>
        <w:tab/>
        <w:t xml:space="preserve">Un dispositif homologué au titre d’une série précédente d’amendements aux Règlements [DSL , DER et/ou DRR ] est réputé équivalent à un dispositif homologué au titre de la série d’amendements la plus récente au Règlement concerné ([DSL ], [DER ] et [DRR ]), lorsque les indices de modification (définis au paragraphe 2.1.6 du </w:t>
      </w:r>
      <w:r w:rsidR="00F718C7" w:rsidRPr="00F718C7">
        <w:rPr>
          <w:b/>
        </w:rPr>
        <w:t>Règlement n</w:t>
      </w:r>
      <w:r w:rsidR="00F718C7" w:rsidRPr="00F718C7">
        <w:rPr>
          <w:b/>
          <w:vertAlign w:val="superscript"/>
        </w:rPr>
        <w:t>o</w:t>
      </w:r>
      <w:r w:rsidR="00F718C7" w:rsidRPr="00F718C7">
        <w:rPr>
          <w:b/>
        </w:rPr>
        <w:t> </w:t>
      </w:r>
      <w:r w:rsidRPr="00F718C7">
        <w:rPr>
          <w:b/>
        </w:rPr>
        <w:t>48) de chacun des feux (fonctions) sont les mêmes.</w:t>
      </w:r>
      <w:r w:rsidR="00F718C7" w:rsidRPr="00F718C7">
        <w:rPr>
          <w:b/>
        </w:rPr>
        <w:t xml:space="preserve"> </w:t>
      </w:r>
      <w:r w:rsidRPr="00F718C7">
        <w:rPr>
          <w:b/>
        </w:rPr>
        <w:t>Dans ce cas il n’est pas nécessaire de mettre à jour les documents d’homolog</w:t>
      </w:r>
      <w:r w:rsidR="00F718C7" w:rsidRPr="00F718C7">
        <w:rPr>
          <w:b/>
        </w:rPr>
        <w:t>ation de type ni le marquage du </w:t>
      </w:r>
      <w:r w:rsidRPr="00F718C7">
        <w:rPr>
          <w:b/>
        </w:rPr>
        <w:t>dispositif.</w:t>
      </w:r>
      <w:r w:rsidRPr="00F718C7">
        <w:t> ».</w:t>
      </w:r>
    </w:p>
    <w:p w:rsidR="00453C40" w:rsidRPr="00F718C7" w:rsidRDefault="00453C40" w:rsidP="00453C40">
      <w:pPr>
        <w:pStyle w:val="HChG"/>
      </w:pPr>
      <w:r w:rsidRPr="00F718C7">
        <w:tab/>
        <w:t>II.</w:t>
      </w:r>
      <w:r w:rsidRPr="00F718C7">
        <w:tab/>
        <w:t>Justification</w:t>
      </w:r>
    </w:p>
    <w:p w:rsidR="00453C40" w:rsidRPr="00F718C7" w:rsidRDefault="00453C40" w:rsidP="00F718C7">
      <w:pPr>
        <w:pStyle w:val="SingleTxtG"/>
        <w:ind w:firstLine="567"/>
      </w:pPr>
      <w:r w:rsidRPr="00F718C7">
        <w:t xml:space="preserve">Les trois nouveaux Règlements simplifiés portant respectivement sur les dispositifs de signalisation lumineuse (DSL), les dispositifs d’éclairage de la route (DER) et les dispositifs rétroréfléchissants (DRR)  nécessitent une extension des prescriptions générales concernant la mise en œuvre de l’indice de modification. </w:t>
      </w:r>
    </w:p>
    <w:p w:rsidR="00F9573C" w:rsidRPr="00F718C7" w:rsidRDefault="00453C40" w:rsidP="00453C40">
      <w:pPr>
        <w:pStyle w:val="SingleTxtG"/>
        <w:spacing w:before="240" w:after="0"/>
        <w:jc w:val="center"/>
        <w:rPr>
          <w:u w:val="single"/>
        </w:rPr>
      </w:pPr>
      <w:r w:rsidRPr="00F718C7">
        <w:rPr>
          <w:u w:val="single"/>
        </w:rPr>
        <w:tab/>
      </w:r>
      <w:r w:rsidRPr="00F718C7">
        <w:rPr>
          <w:u w:val="single"/>
        </w:rPr>
        <w:tab/>
      </w:r>
      <w:r w:rsidRPr="00F718C7">
        <w:rPr>
          <w:u w:val="single"/>
        </w:rPr>
        <w:tab/>
      </w:r>
    </w:p>
    <w:sectPr w:rsidR="00F9573C" w:rsidRPr="00F718C7" w:rsidSect="0096001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1E" w:rsidRDefault="00630C1E" w:rsidP="00F95C08">
      <w:pPr>
        <w:spacing w:line="240" w:lineRule="auto"/>
      </w:pPr>
    </w:p>
  </w:endnote>
  <w:endnote w:type="continuationSeparator" w:id="0">
    <w:p w:rsidR="00630C1E" w:rsidRPr="00AC3823" w:rsidRDefault="00630C1E" w:rsidP="00AC3823">
      <w:pPr>
        <w:pStyle w:val="Footer"/>
      </w:pPr>
    </w:p>
  </w:endnote>
  <w:endnote w:type="continuationNotice" w:id="1">
    <w:p w:rsidR="00630C1E" w:rsidRDefault="00630C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11" w:rsidRPr="00960011" w:rsidRDefault="00960011" w:rsidP="00960011">
    <w:pPr>
      <w:pStyle w:val="Footer"/>
      <w:tabs>
        <w:tab w:val="right" w:pos="9638"/>
      </w:tabs>
    </w:pPr>
    <w:r w:rsidRPr="00960011">
      <w:rPr>
        <w:b/>
        <w:sz w:val="18"/>
      </w:rPr>
      <w:fldChar w:fldCharType="begin"/>
    </w:r>
    <w:r w:rsidRPr="00960011">
      <w:rPr>
        <w:b/>
        <w:sz w:val="18"/>
      </w:rPr>
      <w:instrText xml:space="preserve"> PAGE  \* MERGEFORMAT </w:instrText>
    </w:r>
    <w:r w:rsidRPr="00960011">
      <w:rPr>
        <w:b/>
        <w:sz w:val="18"/>
      </w:rPr>
      <w:fldChar w:fldCharType="separate"/>
    </w:r>
    <w:r w:rsidR="00EB4E75">
      <w:rPr>
        <w:b/>
        <w:noProof/>
        <w:sz w:val="18"/>
      </w:rPr>
      <w:t>2</w:t>
    </w:r>
    <w:r w:rsidRPr="00960011">
      <w:rPr>
        <w:b/>
        <w:sz w:val="18"/>
      </w:rPr>
      <w:fldChar w:fldCharType="end"/>
    </w:r>
    <w:r>
      <w:rPr>
        <w:b/>
        <w:sz w:val="18"/>
      </w:rPr>
      <w:tab/>
    </w:r>
    <w:r>
      <w:t>GE.18-01884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11" w:rsidRPr="00960011" w:rsidRDefault="00960011" w:rsidP="00960011">
    <w:pPr>
      <w:pStyle w:val="Footer"/>
      <w:tabs>
        <w:tab w:val="right" w:pos="9638"/>
      </w:tabs>
      <w:rPr>
        <w:b/>
        <w:sz w:val="18"/>
      </w:rPr>
    </w:pPr>
    <w:r>
      <w:t>GE.18-01884</w:t>
    </w:r>
    <w:r>
      <w:tab/>
    </w:r>
    <w:r w:rsidRPr="00960011">
      <w:rPr>
        <w:b/>
        <w:sz w:val="18"/>
      </w:rPr>
      <w:fldChar w:fldCharType="begin"/>
    </w:r>
    <w:r w:rsidRPr="00960011">
      <w:rPr>
        <w:b/>
        <w:sz w:val="18"/>
      </w:rPr>
      <w:instrText xml:space="preserve"> PAGE  \* MERGEFORMAT </w:instrText>
    </w:r>
    <w:r w:rsidRPr="00960011">
      <w:rPr>
        <w:b/>
        <w:sz w:val="18"/>
      </w:rPr>
      <w:fldChar w:fldCharType="separate"/>
    </w:r>
    <w:r w:rsidR="00474134">
      <w:rPr>
        <w:b/>
        <w:noProof/>
        <w:sz w:val="18"/>
      </w:rPr>
      <w:t>2</w:t>
    </w:r>
    <w:r w:rsidRPr="009600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60011" w:rsidRDefault="00960011" w:rsidP="0096001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18-01884  (F)</w:t>
    </w:r>
    <w:r w:rsidR="00F718C7">
      <w:rPr>
        <w:sz w:val="20"/>
      </w:rPr>
      <w:t xml:space="preserve">    260218    270218</w:t>
    </w:r>
    <w:r>
      <w:rPr>
        <w:sz w:val="20"/>
      </w:rPr>
      <w:br/>
    </w:r>
    <w:r w:rsidRPr="00960011">
      <w:rPr>
        <w:rFonts w:ascii="C39T30Lfz" w:hAnsi="C39T30Lfz"/>
        <w:sz w:val="56"/>
      </w:rPr>
      <w:t></w:t>
    </w:r>
    <w:r w:rsidRPr="00960011">
      <w:rPr>
        <w:rFonts w:ascii="C39T30Lfz" w:hAnsi="C39T30Lfz"/>
        <w:sz w:val="56"/>
      </w:rPr>
      <w:t></w:t>
    </w:r>
    <w:r w:rsidRPr="00960011">
      <w:rPr>
        <w:rFonts w:ascii="C39T30Lfz" w:hAnsi="C39T30Lfz"/>
        <w:sz w:val="56"/>
      </w:rPr>
      <w:t></w:t>
    </w:r>
    <w:r w:rsidRPr="00960011">
      <w:rPr>
        <w:rFonts w:ascii="C39T30Lfz" w:hAnsi="C39T30Lfz"/>
        <w:sz w:val="56"/>
      </w:rPr>
      <w:t></w:t>
    </w:r>
    <w:r w:rsidRPr="00960011">
      <w:rPr>
        <w:rFonts w:ascii="C39T30Lfz" w:hAnsi="C39T30Lfz"/>
        <w:sz w:val="56"/>
      </w:rPr>
      <w:t></w:t>
    </w:r>
    <w:r w:rsidRPr="00960011">
      <w:rPr>
        <w:rFonts w:ascii="C39T30Lfz" w:hAnsi="C39T30Lfz"/>
        <w:sz w:val="56"/>
      </w:rPr>
      <w:t></w:t>
    </w:r>
    <w:r w:rsidRPr="00960011">
      <w:rPr>
        <w:rFonts w:ascii="C39T30Lfz" w:hAnsi="C39T30Lfz"/>
        <w:sz w:val="56"/>
      </w:rPr>
      <w:t></w:t>
    </w:r>
    <w:r w:rsidRPr="00960011">
      <w:rPr>
        <w:rFonts w:ascii="C39T30Lfz" w:hAnsi="C39T30Lfz"/>
        <w:sz w:val="56"/>
      </w:rPr>
      <w:t></w:t>
    </w:r>
    <w:r w:rsidRPr="0096001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1E" w:rsidRPr="00AC3823" w:rsidRDefault="00630C1E" w:rsidP="00AC3823">
      <w:pPr>
        <w:pStyle w:val="Footer"/>
        <w:tabs>
          <w:tab w:val="right" w:pos="2155"/>
        </w:tabs>
        <w:spacing w:after="80" w:line="240" w:lineRule="atLeast"/>
        <w:ind w:left="680"/>
        <w:rPr>
          <w:u w:val="single"/>
        </w:rPr>
      </w:pPr>
      <w:r>
        <w:rPr>
          <w:u w:val="single"/>
        </w:rPr>
        <w:tab/>
      </w:r>
    </w:p>
  </w:footnote>
  <w:footnote w:type="continuationSeparator" w:id="0">
    <w:p w:rsidR="00630C1E" w:rsidRPr="00AC3823" w:rsidRDefault="00630C1E" w:rsidP="00AC3823">
      <w:pPr>
        <w:pStyle w:val="Footer"/>
        <w:tabs>
          <w:tab w:val="right" w:pos="2155"/>
        </w:tabs>
        <w:spacing w:after="80" w:line="240" w:lineRule="atLeast"/>
        <w:ind w:left="680"/>
        <w:rPr>
          <w:u w:val="single"/>
        </w:rPr>
      </w:pPr>
      <w:r>
        <w:rPr>
          <w:u w:val="single"/>
        </w:rPr>
        <w:tab/>
      </w:r>
    </w:p>
  </w:footnote>
  <w:footnote w:type="continuationNotice" w:id="1">
    <w:p w:rsidR="00630C1E" w:rsidRPr="00AC3823" w:rsidRDefault="00630C1E">
      <w:pPr>
        <w:spacing w:line="240" w:lineRule="auto"/>
        <w:rPr>
          <w:sz w:val="2"/>
          <w:szCs w:val="2"/>
        </w:rPr>
      </w:pPr>
    </w:p>
  </w:footnote>
  <w:footnote w:id="2">
    <w:p w:rsidR="00453C40" w:rsidRPr="00706101" w:rsidRDefault="00453C40" w:rsidP="00453C40">
      <w:pPr>
        <w:pStyle w:val="FootnoteText"/>
      </w:pPr>
      <w:r w:rsidRPr="00A90EA8">
        <w:tab/>
      </w:r>
      <w:r w:rsidRPr="00BC395C">
        <w:rPr>
          <w:sz w:val="20"/>
        </w:rPr>
        <w:t>*</w:t>
      </w:r>
      <w:r w:rsidRPr="00BC395C">
        <w:rPr>
          <w:sz w:val="20"/>
        </w:rPr>
        <w:tab/>
      </w:r>
      <w:r w:rsidRPr="00466A53">
        <w:rPr>
          <w:spacing w:val="-1"/>
        </w:rP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11" w:rsidRPr="00960011" w:rsidRDefault="00EB4E75">
    <w:pPr>
      <w:pStyle w:val="Header"/>
    </w:pPr>
    <w:r>
      <w:fldChar w:fldCharType="begin"/>
    </w:r>
    <w:r>
      <w:instrText xml:space="preserve"> TITLE  \* MERGEFORMAT </w:instrText>
    </w:r>
    <w:r>
      <w:fldChar w:fldCharType="separate"/>
    </w:r>
    <w:r w:rsidR="00474134">
      <w:t>ECE/TRANS/WP.29/GRE/2018/18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11" w:rsidRPr="00960011" w:rsidRDefault="00EB4E75" w:rsidP="00960011">
    <w:pPr>
      <w:pStyle w:val="Header"/>
      <w:jc w:val="right"/>
    </w:pPr>
    <w:r>
      <w:fldChar w:fldCharType="begin"/>
    </w:r>
    <w:r>
      <w:instrText xml:space="preserve"> TITLE  \* MERGEFORMAT </w:instrText>
    </w:r>
    <w:r>
      <w:fldChar w:fldCharType="separate"/>
    </w:r>
    <w:r w:rsidR="00474134">
      <w:t>ECE/TRANS/WP.29/GRE/2018/18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1E"/>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53C40"/>
    <w:rsid w:val="00466A53"/>
    <w:rsid w:val="00474134"/>
    <w:rsid w:val="004837D8"/>
    <w:rsid w:val="004E468C"/>
    <w:rsid w:val="004F00A1"/>
    <w:rsid w:val="005505B7"/>
    <w:rsid w:val="00573BE5"/>
    <w:rsid w:val="00586ED3"/>
    <w:rsid w:val="00596AA9"/>
    <w:rsid w:val="006137DF"/>
    <w:rsid w:val="00630C1E"/>
    <w:rsid w:val="0071601D"/>
    <w:rsid w:val="007175CF"/>
    <w:rsid w:val="007A62E6"/>
    <w:rsid w:val="007F20FA"/>
    <w:rsid w:val="0080684C"/>
    <w:rsid w:val="00871C75"/>
    <w:rsid w:val="008776DC"/>
    <w:rsid w:val="009446C0"/>
    <w:rsid w:val="00960011"/>
    <w:rsid w:val="009705C8"/>
    <w:rsid w:val="009C1CF4"/>
    <w:rsid w:val="009F6B74"/>
    <w:rsid w:val="00A30353"/>
    <w:rsid w:val="00AC3823"/>
    <w:rsid w:val="00AE323C"/>
    <w:rsid w:val="00AF0CB5"/>
    <w:rsid w:val="00B00181"/>
    <w:rsid w:val="00B00B0D"/>
    <w:rsid w:val="00B765F7"/>
    <w:rsid w:val="00B90326"/>
    <w:rsid w:val="00BA0CA9"/>
    <w:rsid w:val="00C02897"/>
    <w:rsid w:val="00C97039"/>
    <w:rsid w:val="00D3439C"/>
    <w:rsid w:val="00DB1831"/>
    <w:rsid w:val="00DD3BFD"/>
    <w:rsid w:val="00DF6678"/>
    <w:rsid w:val="00E0299A"/>
    <w:rsid w:val="00E85C74"/>
    <w:rsid w:val="00EA6547"/>
    <w:rsid w:val="00EB4E75"/>
    <w:rsid w:val="00EF2E22"/>
    <w:rsid w:val="00F35BAF"/>
    <w:rsid w:val="00F660DF"/>
    <w:rsid w:val="00F718C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2C0C5D-26C2-48CD-959F-84534DAA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ECE/TRANS/WP.29/GRE/2018/18</vt:lpstr>
      <vt:lpstr>ECE/TRANS/WP.29/GRE/2018/18</vt:lpstr>
    </vt:vector>
  </TitlesOfParts>
  <Company>DCM</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ECE/TRANS/WP.29/GRE/2018/18</dc:title>
  <dc:subject/>
  <dc:creator>Nicolas MORIN</dc:creator>
  <cp:keywords/>
  <cp:lastModifiedBy>Benedicte Boudol</cp:lastModifiedBy>
  <cp:revision>2</cp:revision>
  <cp:lastPrinted>2018-02-27T07:16:00Z</cp:lastPrinted>
  <dcterms:created xsi:type="dcterms:W3CDTF">2018-02-27T10:40:00Z</dcterms:created>
  <dcterms:modified xsi:type="dcterms:W3CDTF">2018-02-27T10:40:00Z</dcterms:modified>
</cp:coreProperties>
</file>