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E1A5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1A55" w:rsidP="001E1A55">
            <w:pPr>
              <w:jc w:val="right"/>
            </w:pPr>
            <w:r w:rsidRPr="001E1A55">
              <w:rPr>
                <w:sz w:val="40"/>
              </w:rPr>
              <w:t>ECE</w:t>
            </w:r>
            <w:r>
              <w:t>/TRANS/WP.29/GRE/2018/30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1A55" w:rsidP="00C97039">
            <w:pPr>
              <w:spacing w:before="240"/>
            </w:pPr>
            <w:r>
              <w:t>Distr. générale</w:t>
            </w:r>
          </w:p>
          <w:p w:rsidR="001E1A55" w:rsidRDefault="001E1A55" w:rsidP="001E1A55">
            <w:pPr>
              <w:spacing w:line="240" w:lineRule="exact"/>
            </w:pPr>
            <w:r>
              <w:t>6 février 2018</w:t>
            </w:r>
          </w:p>
          <w:p w:rsidR="001E1A55" w:rsidRDefault="001E1A55" w:rsidP="001E1A55">
            <w:pPr>
              <w:spacing w:line="240" w:lineRule="exact"/>
            </w:pPr>
            <w:r>
              <w:t>Français</w:t>
            </w:r>
          </w:p>
          <w:p w:rsidR="001E1A55" w:rsidRPr="00DB58B5" w:rsidRDefault="001E1A55" w:rsidP="001E1A5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A32DC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E1A55" w:rsidRPr="001E1A55" w:rsidRDefault="001E1A55" w:rsidP="001E1A55">
      <w:pPr>
        <w:spacing w:before="120" w:after="120"/>
        <w:rPr>
          <w:b/>
          <w:sz w:val="28"/>
          <w:szCs w:val="28"/>
        </w:rPr>
      </w:pPr>
      <w:r w:rsidRPr="001E1A55">
        <w:rPr>
          <w:b/>
          <w:sz w:val="28"/>
          <w:szCs w:val="28"/>
        </w:rPr>
        <w:t>Forum mondial de l</w:t>
      </w:r>
      <w:r w:rsidR="00A32DC0">
        <w:rPr>
          <w:b/>
          <w:sz w:val="28"/>
          <w:szCs w:val="28"/>
        </w:rPr>
        <w:t>’</w:t>
      </w:r>
      <w:r w:rsidRPr="001E1A55">
        <w:rPr>
          <w:b/>
          <w:sz w:val="28"/>
          <w:szCs w:val="28"/>
        </w:rPr>
        <w:t xml:space="preserve">harmonisation des Règlements </w:t>
      </w:r>
      <w:r>
        <w:rPr>
          <w:b/>
          <w:sz w:val="28"/>
          <w:szCs w:val="28"/>
        </w:rPr>
        <w:br/>
      </w:r>
      <w:r w:rsidRPr="001E1A55">
        <w:rPr>
          <w:b/>
          <w:sz w:val="28"/>
          <w:szCs w:val="28"/>
        </w:rPr>
        <w:t xml:space="preserve">concernant les véhicules </w:t>
      </w:r>
    </w:p>
    <w:p w:rsidR="001E1A55" w:rsidRPr="004C53F0" w:rsidRDefault="001E1A55" w:rsidP="001E1A55">
      <w:pPr>
        <w:kinsoku/>
        <w:overflowPunct/>
        <w:autoSpaceDE/>
        <w:autoSpaceDN/>
        <w:adjustRightInd/>
        <w:snapToGrid/>
        <w:spacing w:before="120" w:after="120"/>
        <w:rPr>
          <w:rFonts w:eastAsia="Times New Roman"/>
          <w:b/>
          <w:bCs/>
          <w:lang w:val="fr-FR"/>
        </w:rPr>
      </w:pPr>
      <w:r>
        <w:rPr>
          <w:rFonts w:eastAsia="Times New Roman"/>
          <w:b/>
          <w:bCs/>
          <w:lang w:val="fr-FR"/>
        </w:rPr>
        <w:t>Groupe de travail de l</w:t>
      </w:r>
      <w:r w:rsidR="00A32DC0">
        <w:rPr>
          <w:rFonts w:eastAsia="Times New Roman"/>
          <w:b/>
          <w:bCs/>
          <w:lang w:val="fr-FR"/>
        </w:rPr>
        <w:t>’</w:t>
      </w:r>
      <w:r>
        <w:rPr>
          <w:rFonts w:eastAsia="Times New Roman"/>
          <w:b/>
          <w:bCs/>
          <w:lang w:val="fr-FR"/>
        </w:rPr>
        <w:t>éclairage et de la signalisation lumineuse</w:t>
      </w:r>
    </w:p>
    <w:p w:rsidR="001E1A55" w:rsidRPr="004C53F0" w:rsidRDefault="001E1A55" w:rsidP="001E1A55">
      <w:pPr>
        <w:kinsoku/>
        <w:overflowPunct/>
        <w:autoSpaceDE/>
        <w:autoSpaceDN/>
        <w:adjustRightInd/>
        <w:snapToGrid/>
        <w:rPr>
          <w:rFonts w:eastAsia="Times New Roman"/>
          <w:b/>
          <w:lang w:val="fr-FR"/>
        </w:rPr>
      </w:pPr>
      <w:r>
        <w:rPr>
          <w:rFonts w:eastAsia="Times New Roman"/>
          <w:b/>
          <w:lang w:val="fr-FR"/>
        </w:rPr>
        <w:t>Soixante-dix-neuvième session</w:t>
      </w:r>
    </w:p>
    <w:p w:rsidR="001E1A55" w:rsidRPr="004C53F0" w:rsidRDefault="001E1A55" w:rsidP="001E1A55">
      <w:pPr>
        <w:kinsoku/>
        <w:overflowPunct/>
        <w:autoSpaceDE/>
        <w:autoSpaceDN/>
        <w:adjustRightInd/>
        <w:snapToGrid/>
        <w:rPr>
          <w:rFonts w:eastAsia="Times New Roman"/>
          <w:bCs/>
          <w:lang w:val="fr-FR"/>
        </w:rPr>
      </w:pPr>
      <w:r>
        <w:rPr>
          <w:rFonts w:eastAsia="Times New Roman"/>
          <w:lang w:val="fr-FR"/>
        </w:rPr>
        <w:t>Genève</w:t>
      </w:r>
      <w:r w:rsidRPr="004C53F0">
        <w:rPr>
          <w:rFonts w:eastAsia="Times New Roman"/>
          <w:bCs/>
          <w:lang w:val="fr-FR"/>
        </w:rPr>
        <w:t xml:space="preserve">, 24-27 </w:t>
      </w:r>
      <w:r>
        <w:rPr>
          <w:rFonts w:eastAsia="Times New Roman"/>
          <w:bCs/>
          <w:lang w:val="fr-FR"/>
        </w:rPr>
        <w:t>av</w:t>
      </w:r>
      <w:r w:rsidRPr="004C53F0">
        <w:rPr>
          <w:rFonts w:eastAsia="Times New Roman"/>
          <w:bCs/>
          <w:lang w:val="fr-FR"/>
        </w:rPr>
        <w:t>ril 2018</w:t>
      </w:r>
    </w:p>
    <w:p w:rsidR="001E1A55" w:rsidRDefault="001E1A55" w:rsidP="001E1A55">
      <w:pPr>
        <w:kinsoku/>
        <w:overflowPunct/>
        <w:autoSpaceDE/>
        <w:autoSpaceDN/>
        <w:adjustRightInd/>
        <w:snapToGrid/>
        <w:ind w:right="1134"/>
        <w:rPr>
          <w:rFonts w:eastAsia="Times New Roman"/>
          <w:bCs/>
          <w:lang w:val="fr-FR"/>
        </w:rPr>
      </w:pPr>
      <w:r>
        <w:rPr>
          <w:rFonts w:eastAsia="Times New Roman"/>
          <w:bCs/>
          <w:lang w:val="fr-FR"/>
        </w:rPr>
        <w:t>Point</w:t>
      </w:r>
      <w:r w:rsidRPr="004C53F0">
        <w:rPr>
          <w:rFonts w:eastAsia="Times New Roman"/>
          <w:bCs/>
          <w:lang w:val="fr-FR"/>
        </w:rPr>
        <w:t xml:space="preserve"> 4 </w:t>
      </w:r>
      <w:r>
        <w:rPr>
          <w:rFonts w:eastAsia="Times New Roman"/>
          <w:bCs/>
          <w:lang w:val="fr-FR"/>
        </w:rPr>
        <w:t>de l</w:t>
      </w:r>
      <w:r w:rsidR="00A32DC0">
        <w:rPr>
          <w:rFonts w:eastAsia="Times New Roman"/>
          <w:bCs/>
          <w:lang w:val="fr-FR"/>
        </w:rPr>
        <w:t>’</w:t>
      </w:r>
      <w:r>
        <w:rPr>
          <w:rFonts w:eastAsia="Times New Roman"/>
          <w:bCs/>
          <w:lang w:val="fr-FR"/>
        </w:rPr>
        <w:t xml:space="preserve">ordre du jour provisoire </w:t>
      </w:r>
    </w:p>
    <w:p w:rsidR="00F9573C" w:rsidRDefault="001E1A55" w:rsidP="001E1A55">
      <w:pPr>
        <w:rPr>
          <w:rFonts w:eastAsia="Times New Roman"/>
          <w:b/>
          <w:bCs/>
        </w:rPr>
      </w:pPr>
      <w:r w:rsidRPr="001A103E">
        <w:rPr>
          <w:rFonts w:eastAsia="Times New Roman"/>
          <w:b/>
          <w:bCs/>
        </w:rPr>
        <w:t>Simplification des Règlements concernant l</w:t>
      </w:r>
      <w:r w:rsidR="00A32DC0">
        <w:rPr>
          <w:rFonts w:eastAsia="Times New Roman"/>
          <w:b/>
          <w:bCs/>
        </w:rPr>
        <w:t>’</w:t>
      </w:r>
      <w:r w:rsidRPr="001A103E">
        <w:rPr>
          <w:rFonts w:eastAsia="Times New Roman"/>
          <w:b/>
          <w:bCs/>
        </w:rPr>
        <w:t xml:space="preserve">éclairage </w:t>
      </w:r>
      <w:r>
        <w:rPr>
          <w:rFonts w:eastAsia="Times New Roman"/>
          <w:b/>
          <w:bCs/>
        </w:rPr>
        <w:br/>
      </w:r>
      <w:r w:rsidRPr="001A103E">
        <w:rPr>
          <w:rFonts w:eastAsia="Times New Roman"/>
          <w:b/>
          <w:bCs/>
        </w:rPr>
        <w:t>et la signalisation lumineuse</w:t>
      </w:r>
    </w:p>
    <w:p w:rsidR="001E1A55" w:rsidRPr="001E1A55" w:rsidRDefault="001E1A55" w:rsidP="001E1A55">
      <w:pPr>
        <w:pStyle w:val="HChG"/>
        <w:rPr>
          <w:bCs/>
          <w:lang w:val="fr-FR"/>
        </w:rPr>
      </w:pPr>
      <w:r>
        <w:rPr>
          <w:lang w:val="fr-FR"/>
        </w:rPr>
        <w:tab/>
      </w:r>
      <w:r>
        <w:rPr>
          <w:lang w:val="fr-FR"/>
        </w:rPr>
        <w:tab/>
      </w:r>
      <w:r w:rsidRPr="001E1A55">
        <w:rPr>
          <w:lang w:val="fr-FR"/>
        </w:rPr>
        <w:t>Proposition de complément [6] à la série</w:t>
      </w:r>
      <w:r>
        <w:rPr>
          <w:lang w:val="fr-FR"/>
        </w:rPr>
        <w:t> </w:t>
      </w:r>
      <w:r w:rsidRPr="001E1A55">
        <w:rPr>
          <w:lang w:val="fr-FR"/>
        </w:rPr>
        <w:t>03 d</w:t>
      </w:r>
      <w:r w:rsidR="00A32DC0">
        <w:rPr>
          <w:lang w:val="fr-FR"/>
        </w:rPr>
        <w:t>’</w:t>
      </w:r>
      <w:r w:rsidRPr="001E1A55">
        <w:rPr>
          <w:lang w:val="fr-FR"/>
        </w:rPr>
        <w:t xml:space="preserve">amendements au Règlement </w:t>
      </w:r>
      <w:r w:rsidRPr="001E1A55">
        <w:rPr>
          <w:rFonts w:eastAsia="MS Mincho"/>
          <w:szCs w:val="22"/>
          <w:lang w:val="fr-FR"/>
        </w:rPr>
        <w:t>n</w:t>
      </w:r>
      <w:r w:rsidRPr="001E1A55">
        <w:rPr>
          <w:rFonts w:eastAsia="MS Mincho"/>
          <w:szCs w:val="22"/>
          <w:vertAlign w:val="superscript"/>
          <w:lang w:val="fr-FR"/>
        </w:rPr>
        <w:t>o</w:t>
      </w:r>
      <w:r>
        <w:rPr>
          <w:lang w:val="fr-FR"/>
        </w:rPr>
        <w:t> </w:t>
      </w:r>
      <w:r w:rsidRPr="001E1A55">
        <w:rPr>
          <w:lang w:val="fr-FR"/>
        </w:rPr>
        <w:t xml:space="preserve">48 </w:t>
      </w:r>
    </w:p>
    <w:p w:rsidR="001E1A55" w:rsidRPr="001E1A55" w:rsidRDefault="001E1A55" w:rsidP="001E1A55">
      <w:pPr>
        <w:pStyle w:val="H1G"/>
        <w:rPr>
          <w:lang w:val="fr-FR"/>
        </w:rPr>
      </w:pPr>
      <w:r>
        <w:rPr>
          <w:lang w:val="fr-FR"/>
        </w:rPr>
        <w:tab/>
      </w:r>
      <w:r>
        <w:rPr>
          <w:lang w:val="fr-FR"/>
        </w:rPr>
        <w:tab/>
      </w:r>
      <w:r w:rsidRPr="001E1A55">
        <w:rPr>
          <w:lang w:val="fr-FR"/>
        </w:rPr>
        <w:t xml:space="preserve">Communication du </w:t>
      </w:r>
      <w:r w:rsidRPr="001E1A55">
        <w:t xml:space="preserve">groupe de travail informel de la </w:t>
      </w:r>
      <w:r w:rsidRPr="001E1A55">
        <w:rPr>
          <w:iCs/>
        </w:rPr>
        <w:t>simplification</w:t>
      </w:r>
      <w:r w:rsidRPr="001E1A55">
        <w:t xml:space="preserve"> </w:t>
      </w:r>
      <w:r>
        <w:br/>
      </w:r>
      <w:r w:rsidRPr="001E1A55">
        <w:t>des Règlements relatifs à l</w:t>
      </w:r>
      <w:r w:rsidR="00A32DC0">
        <w:t>’</w:t>
      </w:r>
      <w:r w:rsidRPr="001E1A55">
        <w:t>éclairage et à la signalisation lumineuse</w:t>
      </w:r>
      <w:r w:rsidRPr="001E1A55">
        <w:rPr>
          <w:b w:val="0"/>
          <w:sz w:val="20"/>
          <w:lang w:val="fr-FR"/>
        </w:rPr>
        <w:footnoteReference w:customMarkFollows="1" w:id="2"/>
        <w:t>*</w:t>
      </w:r>
      <w:r w:rsidRPr="001E1A55">
        <w:rPr>
          <w:lang w:val="fr-FR"/>
        </w:rPr>
        <w:t xml:space="preserve"> </w:t>
      </w:r>
    </w:p>
    <w:p w:rsidR="001E1A55" w:rsidRPr="001E1A55" w:rsidRDefault="001E1A55" w:rsidP="001E1A55">
      <w:pPr>
        <w:pStyle w:val="SingleTxtG"/>
        <w:ind w:firstLine="567"/>
        <w:rPr>
          <w:lang w:val="fr-FR"/>
        </w:rPr>
      </w:pPr>
      <w:r w:rsidRPr="001E1A55">
        <w:rPr>
          <w:lang w:val="fr-FR"/>
        </w:rPr>
        <w:t>Le texte reproduit ci-après a été établi par le groupe de travail informel de la simplification des Règlements relatifs à l</w:t>
      </w:r>
      <w:r w:rsidR="00A32DC0">
        <w:rPr>
          <w:lang w:val="fr-FR"/>
        </w:rPr>
        <w:t>’</w:t>
      </w:r>
      <w:r w:rsidRPr="001E1A55">
        <w:rPr>
          <w:lang w:val="fr-FR"/>
        </w:rPr>
        <w:t>éclairage et à la signalisation lumineuse aux fin</w:t>
      </w:r>
      <w:r>
        <w:rPr>
          <w:lang w:val="fr-FR"/>
        </w:rPr>
        <w:t>s de l</w:t>
      </w:r>
      <w:r w:rsidR="00A32DC0">
        <w:rPr>
          <w:lang w:val="fr-FR"/>
        </w:rPr>
        <w:t>’</w:t>
      </w:r>
      <w:r>
        <w:rPr>
          <w:lang w:val="fr-FR"/>
        </w:rPr>
        <w:t>insertion, dans la série </w:t>
      </w:r>
      <w:r w:rsidRPr="001E1A55">
        <w:rPr>
          <w:lang w:val="fr-FR"/>
        </w:rPr>
        <w:t>03 d</w:t>
      </w:r>
      <w:r w:rsidR="00A32DC0">
        <w:rPr>
          <w:lang w:val="fr-FR"/>
        </w:rPr>
        <w:t>’</w:t>
      </w:r>
      <w:r w:rsidRPr="001E1A55">
        <w:rPr>
          <w:lang w:val="fr-FR"/>
        </w:rPr>
        <w:t xml:space="preserve">amendements au Règlement </w:t>
      </w:r>
      <w:r w:rsidRPr="001E1A55">
        <w:rPr>
          <w:rFonts w:eastAsia="MS Mincho"/>
          <w:szCs w:val="22"/>
          <w:lang w:val="fr-FR"/>
        </w:rPr>
        <w:t>n</w:t>
      </w:r>
      <w:r w:rsidRPr="001E1A55">
        <w:rPr>
          <w:rFonts w:eastAsia="MS Mincho"/>
          <w:szCs w:val="22"/>
          <w:vertAlign w:val="superscript"/>
          <w:lang w:val="fr-FR"/>
        </w:rPr>
        <w:t>o</w:t>
      </w:r>
      <w:r>
        <w:rPr>
          <w:lang w:val="fr-FR"/>
        </w:rPr>
        <w:t> </w:t>
      </w:r>
      <w:r w:rsidRPr="001E1A55">
        <w:rPr>
          <w:lang w:val="fr-FR"/>
        </w:rPr>
        <w:t xml:space="preserve">48, de références aux trois nouveaux Règlements simplifiés </w:t>
      </w:r>
      <w:r w:rsidRPr="001E1A55">
        <w:t xml:space="preserve">portant respectivement sur les dispositifs de signalisation lumineuse (Light-Signalling Devices </w:t>
      </w:r>
      <w:r>
        <w:t>− </w:t>
      </w:r>
      <w:r w:rsidRPr="001E1A55">
        <w:t>LSD), les dispositifs d</w:t>
      </w:r>
      <w:r w:rsidR="00A32DC0">
        <w:t>’</w:t>
      </w:r>
      <w:r w:rsidRPr="001E1A55">
        <w:t xml:space="preserve">éclairage de la route (Road Illumination Devices </w:t>
      </w:r>
      <w:r>
        <w:t>− </w:t>
      </w:r>
      <w:r w:rsidRPr="001E1A55">
        <w:t xml:space="preserve">RID) et les dispositifs catadioptriques (Retro-Reflective Devices </w:t>
      </w:r>
      <w:r>
        <w:t>− </w:t>
      </w:r>
      <w:r w:rsidRPr="001E1A55">
        <w:t>RRD)</w:t>
      </w:r>
      <w:r w:rsidRPr="001E1A55">
        <w:rPr>
          <w:lang w:val="fr-FR"/>
        </w:rPr>
        <w:t xml:space="preserve">. </w:t>
      </w:r>
      <w:r w:rsidRPr="001E1A55">
        <w:t>Les modifications qu</w:t>
      </w:r>
      <w:r w:rsidR="00A32DC0">
        <w:t>’</w:t>
      </w:r>
      <w:r w:rsidRPr="001E1A55">
        <w:t>il est proposé d</w:t>
      </w:r>
      <w:r w:rsidR="00A32DC0">
        <w:t>’</w:t>
      </w:r>
      <w:r w:rsidRPr="001E1A55">
        <w:t xml:space="preserve">apporter au texte actuel du Règlement </w:t>
      </w:r>
      <w:r w:rsidRPr="002D76F4">
        <w:rPr>
          <w:rFonts w:eastAsia="MS Mincho"/>
          <w:szCs w:val="22"/>
        </w:rPr>
        <w:t>n</w:t>
      </w:r>
      <w:r w:rsidRPr="002D76F4">
        <w:rPr>
          <w:rFonts w:eastAsia="MS Mincho"/>
          <w:szCs w:val="22"/>
          <w:vertAlign w:val="superscript"/>
        </w:rPr>
        <w:t>o</w:t>
      </w:r>
      <w:r>
        <w:t> </w:t>
      </w:r>
      <w:r w:rsidRPr="001E1A55">
        <w:t>48 figurent en caractères gras pour les ajouts et biffés pour les suppressions</w:t>
      </w:r>
      <w:r w:rsidRPr="001E1A55">
        <w:rPr>
          <w:lang w:val="fr-FR"/>
        </w:rPr>
        <w:t xml:space="preserve">. </w:t>
      </w:r>
      <w:r w:rsidRPr="001E1A55">
        <w:t>Les passages du texte entre crochets nécessitent un débat et la prise d</w:t>
      </w:r>
      <w:r w:rsidR="00A32DC0">
        <w:t>’</w:t>
      </w:r>
      <w:r w:rsidRPr="001E1A55">
        <w:t>une décision</w:t>
      </w:r>
      <w:r w:rsidRPr="001E1A55">
        <w:rPr>
          <w:lang w:val="fr-FR"/>
        </w:rPr>
        <w:t xml:space="preserve">. </w:t>
      </w:r>
    </w:p>
    <w:p w:rsidR="001E1A55" w:rsidRPr="001E1A55" w:rsidRDefault="001E1A55" w:rsidP="001E1A55">
      <w:pPr>
        <w:pStyle w:val="HChG"/>
        <w:rPr>
          <w:lang w:val="fr-FR"/>
        </w:rPr>
      </w:pPr>
      <w:r w:rsidRPr="001E1A55">
        <w:rPr>
          <w:lang w:val="fr-FR"/>
        </w:rPr>
        <w:br w:type="page"/>
      </w:r>
      <w:r w:rsidRPr="001E1A55">
        <w:rPr>
          <w:lang w:val="fr-FR"/>
        </w:rPr>
        <w:lastRenderedPageBreak/>
        <w:tab/>
        <w:t>I.</w:t>
      </w:r>
      <w:r w:rsidRPr="001E1A55">
        <w:rPr>
          <w:lang w:val="fr-FR"/>
        </w:rPr>
        <w:tab/>
        <w:t>Proposition</w:t>
      </w:r>
    </w:p>
    <w:p w:rsidR="001E1A55" w:rsidRPr="001E1A55" w:rsidRDefault="001E1A55" w:rsidP="001E1A55">
      <w:pPr>
        <w:pStyle w:val="SingleTxtG"/>
        <w:keepNext/>
        <w:keepLines/>
        <w:rPr>
          <w:lang w:val="fr-FR"/>
        </w:rPr>
      </w:pPr>
      <w:r w:rsidRPr="001E1A55">
        <w:rPr>
          <w:i/>
          <w:lang w:val="fr-FR"/>
        </w:rPr>
        <w:t>Paragraphe 2.7.16.4</w:t>
      </w:r>
      <w:r w:rsidRPr="001E1A55">
        <w:rPr>
          <w:lang w:val="fr-FR"/>
        </w:rPr>
        <w:t>,</w:t>
      </w:r>
      <w:r w:rsidRPr="001E1A55">
        <w:rPr>
          <w:i/>
          <w:lang w:val="fr-FR"/>
        </w:rPr>
        <w:t xml:space="preserve"> </w:t>
      </w:r>
      <w:r w:rsidRPr="001E1A55">
        <w:rPr>
          <w:lang w:val="fr-FR"/>
        </w:rPr>
        <w:t>modifier comme suit</w:t>
      </w:r>
      <w:r>
        <w:rPr>
          <w:lang w:val="fr-FR"/>
        </w:rPr>
        <w:t> :</w:t>
      </w:r>
    </w:p>
    <w:p w:rsidR="001E1A55" w:rsidRPr="001E1A55" w:rsidRDefault="001E1A55" w:rsidP="001E1A55">
      <w:pPr>
        <w:pStyle w:val="SingleTxtG"/>
        <w:ind w:left="2268" w:hanging="1134"/>
        <w:rPr>
          <w:lang w:val="fr-FR"/>
        </w:rPr>
      </w:pPr>
      <w:r w:rsidRPr="001E1A55">
        <w:rPr>
          <w:lang w:val="fr-FR"/>
        </w:rPr>
        <w:t>« 2.7.16.4</w:t>
      </w:r>
      <w:r w:rsidRPr="001E1A55">
        <w:rPr>
          <w:lang w:val="fr-FR"/>
        </w:rPr>
        <w:tab/>
        <w:t>Les matériaux rétroréflé</w:t>
      </w:r>
      <w:r>
        <w:rPr>
          <w:lang w:val="fr-FR"/>
        </w:rPr>
        <w:t>chissants homologués en classes D ou </w:t>
      </w:r>
      <w:r w:rsidRPr="001E1A55">
        <w:rPr>
          <w:lang w:val="fr-FR"/>
        </w:rPr>
        <w:t xml:space="preserve">E selon le Règlement </w:t>
      </w:r>
      <w:r w:rsidR="00290212" w:rsidRPr="00290212">
        <w:rPr>
          <w:rFonts w:eastAsia="MS Mincho"/>
          <w:szCs w:val="22"/>
          <w:lang w:val="fr-FR"/>
        </w:rPr>
        <w:t>n</w:t>
      </w:r>
      <w:r w:rsidR="00290212" w:rsidRPr="00290212">
        <w:rPr>
          <w:rFonts w:eastAsia="MS Mincho"/>
          <w:szCs w:val="22"/>
          <w:vertAlign w:val="superscript"/>
          <w:lang w:val="fr-FR"/>
        </w:rPr>
        <w:t>o</w:t>
      </w:r>
      <w:r w:rsidR="00290212">
        <w:rPr>
          <w:lang w:val="fr-FR"/>
        </w:rPr>
        <w:t> </w:t>
      </w:r>
      <w:r w:rsidRPr="001E1A55">
        <w:rPr>
          <w:lang w:val="fr-FR"/>
        </w:rPr>
        <w:t xml:space="preserve">104 </w:t>
      </w:r>
      <w:r w:rsidRPr="001E1A55">
        <w:rPr>
          <w:b/>
          <w:lang w:val="fr-FR"/>
        </w:rPr>
        <w:t>ou [RRD]</w:t>
      </w:r>
      <w:r w:rsidRPr="001E1A55">
        <w:rPr>
          <w:lang w:val="fr-FR"/>
        </w:rPr>
        <w:t xml:space="preserve"> et utilisés à d</w:t>
      </w:r>
      <w:r w:rsidR="00A32DC0">
        <w:rPr>
          <w:lang w:val="fr-FR"/>
        </w:rPr>
        <w:t>’</w:t>
      </w:r>
      <w:r w:rsidRPr="001E1A55">
        <w:rPr>
          <w:lang w:val="fr-FR"/>
        </w:rPr>
        <w:t>autres fins conformément aux prescriptions nationales, par exemple pour la publicité.</w:t>
      </w:r>
      <w:r>
        <w:rPr>
          <w:lang w:val="fr-FR"/>
        </w:rPr>
        <w:t> </w:t>
      </w:r>
      <w:r w:rsidRPr="001E1A55">
        <w:rPr>
          <w:lang w:val="fr-FR"/>
        </w:rPr>
        <w:t>»</w:t>
      </w:r>
    </w:p>
    <w:p w:rsidR="001E1A55" w:rsidRPr="001E1A55" w:rsidRDefault="001E1A55" w:rsidP="001E1A55">
      <w:pPr>
        <w:pStyle w:val="SingleTxtG"/>
        <w:keepNext/>
        <w:keepLines/>
        <w:rPr>
          <w:lang w:val="fr-FR"/>
        </w:rPr>
      </w:pPr>
      <w:r w:rsidRPr="001E1A55">
        <w:rPr>
          <w:i/>
          <w:lang w:val="fr-FR"/>
        </w:rPr>
        <w:t>Paragraphe 2.7.28</w:t>
      </w:r>
      <w:r w:rsidRPr="001E1A55">
        <w:rPr>
          <w:lang w:val="fr-FR"/>
        </w:rPr>
        <w:t>,</w:t>
      </w:r>
      <w:r w:rsidRPr="001E1A55">
        <w:rPr>
          <w:i/>
          <w:lang w:val="fr-FR"/>
        </w:rPr>
        <w:t xml:space="preserve"> </w:t>
      </w:r>
      <w:r w:rsidRPr="001E1A55">
        <w:rPr>
          <w:lang w:val="fr-FR"/>
        </w:rPr>
        <w:t>modifier comme suit</w:t>
      </w:r>
      <w:r>
        <w:rPr>
          <w:lang w:val="fr-FR"/>
        </w:rPr>
        <w:t> :</w:t>
      </w:r>
    </w:p>
    <w:p w:rsidR="001E1A55" w:rsidRPr="001E1A55" w:rsidRDefault="001E1A55" w:rsidP="001E1A55">
      <w:pPr>
        <w:pStyle w:val="SingleTxtG"/>
        <w:ind w:left="2268" w:hanging="1134"/>
        <w:rPr>
          <w:lang w:val="fr-FR"/>
        </w:rPr>
      </w:pPr>
      <w:r w:rsidRPr="001E1A55">
        <w:rPr>
          <w:lang w:val="fr-FR"/>
        </w:rPr>
        <w:t xml:space="preserve">« 2.7.28 </w:t>
      </w:r>
      <w:r w:rsidRPr="001E1A55">
        <w:rPr>
          <w:lang w:val="fr-FR"/>
        </w:rPr>
        <w:tab/>
      </w:r>
      <w:r w:rsidRPr="001E1A55">
        <w:t>“</w:t>
      </w:r>
      <w:r w:rsidRPr="001E1A55">
        <w:rPr>
          <w:lang w:val="fr-FR"/>
        </w:rPr>
        <w:t>Système d</w:t>
      </w:r>
      <w:r w:rsidR="00A32DC0">
        <w:rPr>
          <w:lang w:val="fr-FR"/>
        </w:rPr>
        <w:t>’</w:t>
      </w:r>
      <w:r w:rsidRPr="001E1A55">
        <w:rPr>
          <w:lang w:val="fr-FR"/>
        </w:rPr>
        <w:t>éclairage avant adaptatif (AFS)</w:t>
      </w:r>
      <w:r w:rsidRPr="001E1A55">
        <w:t>”</w:t>
      </w:r>
      <w:r w:rsidRPr="001E1A55">
        <w:rPr>
          <w:lang w:val="fr-FR"/>
        </w:rPr>
        <w:t>, un dispositif d</w:t>
      </w:r>
      <w:r w:rsidR="00A32DC0">
        <w:rPr>
          <w:lang w:val="fr-FR"/>
        </w:rPr>
        <w:t>’</w:t>
      </w:r>
      <w:r w:rsidRPr="001E1A55">
        <w:rPr>
          <w:lang w:val="fr-FR"/>
        </w:rPr>
        <w:t xml:space="preserve">éclairage homologué conformément au Règlement </w:t>
      </w:r>
      <w:r w:rsidR="00290212" w:rsidRPr="00290212">
        <w:rPr>
          <w:rFonts w:eastAsia="MS Mincho"/>
          <w:szCs w:val="22"/>
          <w:lang w:val="fr-FR"/>
        </w:rPr>
        <w:t>n</w:t>
      </w:r>
      <w:r w:rsidR="00290212" w:rsidRPr="00290212">
        <w:rPr>
          <w:rFonts w:eastAsia="MS Mincho"/>
          <w:szCs w:val="22"/>
          <w:vertAlign w:val="superscript"/>
          <w:lang w:val="fr-FR"/>
        </w:rPr>
        <w:t>o</w:t>
      </w:r>
      <w:r w:rsidR="00290212">
        <w:rPr>
          <w:rFonts w:eastAsia="MS Mincho"/>
          <w:szCs w:val="22"/>
          <w:lang w:val="fr-FR"/>
        </w:rPr>
        <w:t> </w:t>
      </w:r>
      <w:r w:rsidRPr="001E1A55">
        <w:rPr>
          <w:lang w:val="fr-FR"/>
        </w:rPr>
        <w:t xml:space="preserve">123 </w:t>
      </w:r>
      <w:r w:rsidRPr="001E1A55">
        <w:rPr>
          <w:b/>
          <w:lang w:val="fr-FR"/>
        </w:rPr>
        <w:t>ou [RRD]</w:t>
      </w:r>
      <w:r w:rsidRPr="001E1A55">
        <w:rPr>
          <w:lang w:val="fr-FR"/>
        </w:rPr>
        <w:t>,</w:t>
      </w:r>
      <w:r w:rsidRPr="001E1A55">
        <w:rPr>
          <w:b/>
          <w:lang w:val="fr-FR"/>
        </w:rPr>
        <w:t xml:space="preserve"> </w:t>
      </w:r>
      <w:r w:rsidRPr="001E1A55">
        <w:rPr>
          <w:lang w:val="fr-FR"/>
        </w:rPr>
        <w:t>qui émet des faisceaux possédant des caractéristiques différenciées pour une adaptation automatique à des conditions variables d</w:t>
      </w:r>
      <w:r w:rsidR="00A32DC0">
        <w:rPr>
          <w:lang w:val="fr-FR"/>
        </w:rPr>
        <w:t>’</w:t>
      </w:r>
      <w:r w:rsidRPr="001E1A55">
        <w:rPr>
          <w:lang w:val="fr-FR"/>
        </w:rPr>
        <w:t>utilisation du faisceau de croisement et, le cas échéant, du faisceau de route</w:t>
      </w:r>
      <w:r w:rsidR="00EC1E5F">
        <w:rPr>
          <w:lang w:val="fr-FR"/>
        </w:rPr>
        <w:t> </w:t>
      </w:r>
      <w:r w:rsidRPr="001E1A55">
        <w:rPr>
          <w:lang w:val="fr-FR"/>
        </w:rPr>
        <w:t>; »</w:t>
      </w:r>
    </w:p>
    <w:p w:rsidR="001E1A55" w:rsidRPr="001E1A55" w:rsidRDefault="001E1A55" w:rsidP="001E1A55">
      <w:pPr>
        <w:pStyle w:val="SingleTxtG"/>
        <w:keepNext/>
        <w:keepLines/>
        <w:rPr>
          <w:lang w:val="fr-FR"/>
        </w:rPr>
      </w:pPr>
      <w:r w:rsidRPr="001E1A55">
        <w:rPr>
          <w:i/>
          <w:lang w:val="fr-FR"/>
        </w:rPr>
        <w:t>Paragraphe 3.2.6.2</w:t>
      </w:r>
      <w:r w:rsidRPr="001E1A55">
        <w:rPr>
          <w:lang w:val="fr-FR"/>
        </w:rPr>
        <w:t>,</w:t>
      </w:r>
      <w:r w:rsidRPr="001E1A55">
        <w:rPr>
          <w:i/>
          <w:lang w:val="fr-FR"/>
        </w:rPr>
        <w:t xml:space="preserve"> </w:t>
      </w:r>
      <w:r w:rsidRPr="001E1A55">
        <w:rPr>
          <w:lang w:val="fr-FR"/>
        </w:rPr>
        <w:t>modifier comme suit</w:t>
      </w:r>
      <w:r w:rsidR="00A32DC0">
        <w:rPr>
          <w:lang w:val="fr-FR"/>
        </w:rPr>
        <w:t> :</w:t>
      </w:r>
    </w:p>
    <w:p w:rsidR="001E1A55" w:rsidRPr="00A32DC0" w:rsidRDefault="001E1A55" w:rsidP="001E1A55">
      <w:pPr>
        <w:pStyle w:val="SingleTxtG"/>
        <w:ind w:left="2268" w:hanging="1134"/>
        <w:rPr>
          <w:lang w:val="fr-FR"/>
        </w:rPr>
      </w:pPr>
      <w:r w:rsidRPr="001E1A55">
        <w:rPr>
          <w:lang w:val="fr-FR"/>
        </w:rPr>
        <w:t xml:space="preserve">« 3.2.6.2 </w:t>
      </w:r>
      <w:r w:rsidRPr="001E1A55">
        <w:rPr>
          <w:lang w:val="fr-FR"/>
        </w:rPr>
        <w:tab/>
        <w:t>Les signaux de commande AFS correspondants et leurs caractéristiques techniques définies conformément à l</w:t>
      </w:r>
      <w:r w:rsidR="00A32DC0">
        <w:rPr>
          <w:lang w:val="fr-FR"/>
        </w:rPr>
        <w:t>’</w:t>
      </w:r>
      <w:r w:rsidRPr="001E1A55">
        <w:rPr>
          <w:lang w:val="fr-FR"/>
        </w:rPr>
        <w:t xml:space="preserve">annexe 10 du Règlement </w:t>
      </w:r>
      <w:r w:rsidR="00290212" w:rsidRPr="00290212">
        <w:rPr>
          <w:rFonts w:eastAsia="MS Mincho"/>
          <w:szCs w:val="22"/>
          <w:lang w:val="fr-FR"/>
        </w:rPr>
        <w:t>n</w:t>
      </w:r>
      <w:r w:rsidR="00290212" w:rsidRPr="00290212">
        <w:rPr>
          <w:rFonts w:eastAsia="MS Mincho"/>
          <w:szCs w:val="22"/>
          <w:vertAlign w:val="superscript"/>
          <w:lang w:val="fr-FR"/>
        </w:rPr>
        <w:t>o</w:t>
      </w:r>
      <w:r w:rsidR="00290212">
        <w:rPr>
          <w:rFonts w:eastAsia="MS Mincho"/>
          <w:szCs w:val="22"/>
          <w:lang w:val="fr-FR"/>
        </w:rPr>
        <w:t> </w:t>
      </w:r>
      <w:r w:rsidRPr="001E1A55">
        <w:rPr>
          <w:lang w:val="fr-FR"/>
        </w:rPr>
        <w:t xml:space="preserve">123 </w:t>
      </w:r>
      <w:r w:rsidR="00A32DC0">
        <w:rPr>
          <w:b/>
          <w:lang w:val="fr-FR"/>
        </w:rPr>
        <w:t>ou à l’annexe </w:t>
      </w:r>
      <w:r w:rsidRPr="001E1A55">
        <w:rPr>
          <w:b/>
          <w:lang w:val="fr-FR"/>
        </w:rPr>
        <w:t xml:space="preserve">14 du Règlement </w:t>
      </w:r>
      <w:r w:rsidR="0015465D" w:rsidRPr="0015465D">
        <w:rPr>
          <w:rFonts w:eastAsia="MS Mincho"/>
          <w:b/>
          <w:szCs w:val="22"/>
          <w:lang w:val="fr-FR"/>
        </w:rPr>
        <w:t>N</w:t>
      </w:r>
      <w:r w:rsidR="0015465D" w:rsidRPr="0015465D">
        <w:rPr>
          <w:rFonts w:eastAsia="MS Mincho"/>
          <w:b/>
          <w:szCs w:val="22"/>
          <w:vertAlign w:val="superscript"/>
          <w:lang w:val="fr-FR"/>
        </w:rPr>
        <w:t>o</w:t>
      </w:r>
      <w:r w:rsidR="0015465D">
        <w:rPr>
          <w:b/>
          <w:lang w:val="fr-FR"/>
        </w:rPr>
        <w:t> </w:t>
      </w:r>
      <w:r w:rsidRPr="001E1A55">
        <w:rPr>
          <w:b/>
          <w:lang w:val="fr-FR"/>
        </w:rPr>
        <w:t>[RID]</w:t>
      </w:r>
      <w:r w:rsidR="00323D86">
        <w:rPr>
          <w:b/>
          <w:lang w:val="fr-FR"/>
        </w:rPr>
        <w:t> </w:t>
      </w:r>
      <w:r w:rsidRPr="001E1A55">
        <w:rPr>
          <w:b/>
          <w:lang w:val="fr-FR"/>
        </w:rPr>
        <w:t>; </w:t>
      </w:r>
      <w:r w:rsidRPr="00323D86">
        <w:t>»</w:t>
      </w:r>
    </w:p>
    <w:p w:rsidR="001E1A55" w:rsidRPr="001E1A55" w:rsidRDefault="001E1A55" w:rsidP="001E1A55">
      <w:pPr>
        <w:pStyle w:val="SingleTxtG"/>
        <w:keepNext/>
        <w:keepLines/>
        <w:rPr>
          <w:lang w:val="fr-FR"/>
        </w:rPr>
      </w:pPr>
      <w:r w:rsidRPr="001E1A55">
        <w:rPr>
          <w:i/>
          <w:lang w:val="fr-FR"/>
        </w:rPr>
        <w:t>Paragraphe 6.1</w:t>
      </w:r>
      <w:r w:rsidRPr="001E1A55">
        <w:rPr>
          <w:lang w:val="fr-FR"/>
        </w:rPr>
        <w:t>,</w:t>
      </w:r>
      <w:r w:rsidRPr="001E1A55">
        <w:rPr>
          <w:i/>
          <w:lang w:val="fr-FR"/>
        </w:rPr>
        <w:t xml:space="preserve"> </w:t>
      </w:r>
      <w:r w:rsidRPr="001E1A55">
        <w:rPr>
          <w:lang w:val="fr-FR"/>
        </w:rPr>
        <w:t>modifier comme suit</w:t>
      </w:r>
      <w:r w:rsidR="00A32DC0">
        <w:rPr>
          <w:lang w:val="fr-FR"/>
        </w:rPr>
        <w:t> :</w:t>
      </w:r>
    </w:p>
    <w:p w:rsidR="001E1A55" w:rsidRPr="001E1A55" w:rsidRDefault="001E1A55" w:rsidP="001E1A55">
      <w:pPr>
        <w:pStyle w:val="SingleTxtG"/>
        <w:rPr>
          <w:lang w:val="fr-FR"/>
        </w:rPr>
      </w:pPr>
      <w:r w:rsidRPr="001E1A55">
        <w:rPr>
          <w:lang w:val="fr-FR"/>
        </w:rPr>
        <w:t>« 6.1</w:t>
      </w:r>
      <w:r w:rsidRPr="001E1A55">
        <w:rPr>
          <w:lang w:val="fr-FR"/>
        </w:rPr>
        <w:tab/>
      </w:r>
      <w:r>
        <w:rPr>
          <w:lang w:val="fr-FR"/>
        </w:rPr>
        <w:tab/>
      </w:r>
      <w:r w:rsidRPr="001E1A55">
        <w:rPr>
          <w:lang w:val="fr-FR"/>
        </w:rPr>
        <w:t xml:space="preserve">FEU DE ROUTE (Règlements </w:t>
      </w:r>
      <w:r w:rsidR="00290212">
        <w:rPr>
          <w:rFonts w:eastAsia="MS Mincho"/>
          <w:szCs w:val="22"/>
          <w:lang w:val="fr-FR"/>
        </w:rPr>
        <w:t>n</w:t>
      </w:r>
      <w:r w:rsidR="00167623" w:rsidRPr="00167623">
        <w:rPr>
          <w:rFonts w:eastAsia="MS Mincho"/>
          <w:szCs w:val="22"/>
          <w:vertAlign w:val="superscript"/>
          <w:lang w:val="fr-FR"/>
        </w:rPr>
        <w:t>o</w:t>
      </w:r>
      <w:r w:rsidR="00167623">
        <w:rPr>
          <w:rFonts w:eastAsia="MS Mincho"/>
          <w:szCs w:val="22"/>
          <w:vertAlign w:val="superscript"/>
          <w:lang w:val="fr-FR"/>
        </w:rPr>
        <w:t>s </w:t>
      </w:r>
      <w:r w:rsidRPr="001E1A55">
        <w:rPr>
          <w:lang w:val="fr-FR"/>
        </w:rPr>
        <w:t xml:space="preserve">98 </w:t>
      </w:r>
      <w:r w:rsidRPr="00D80EFF">
        <w:rPr>
          <w:strike/>
          <w:lang w:val="fr-FR"/>
        </w:rPr>
        <w:t>et</w:t>
      </w:r>
      <w:r w:rsidRPr="001E1A55">
        <w:rPr>
          <w:b/>
          <w:lang w:val="fr-FR"/>
        </w:rPr>
        <w:t>,</w:t>
      </w:r>
      <w:r w:rsidRPr="001E1A55">
        <w:rPr>
          <w:lang w:val="fr-FR"/>
        </w:rPr>
        <w:t xml:space="preserve"> 112 </w:t>
      </w:r>
      <w:r w:rsidRPr="001E1A55">
        <w:rPr>
          <w:b/>
          <w:lang w:val="fr-FR"/>
        </w:rPr>
        <w:t>et [RID]</w:t>
      </w:r>
      <w:r w:rsidRPr="001E1A55">
        <w:rPr>
          <w:lang w:val="fr-FR"/>
        </w:rPr>
        <w:t>)</w:t>
      </w:r>
      <w:r w:rsidR="00323D86">
        <w:rPr>
          <w:lang w:val="fr-FR"/>
        </w:rPr>
        <w:t> </w:t>
      </w:r>
      <w:r w:rsidRPr="001E1A55">
        <w:rPr>
          <w:lang w:val="fr-FR"/>
        </w:rPr>
        <w:t>; »</w:t>
      </w:r>
    </w:p>
    <w:p w:rsidR="001E1A55" w:rsidRPr="001E1A55" w:rsidRDefault="001E1A55" w:rsidP="001E1A55">
      <w:pPr>
        <w:pStyle w:val="SingleTxtG"/>
        <w:keepNext/>
        <w:keepLines/>
        <w:rPr>
          <w:lang w:val="fr-FR"/>
        </w:rPr>
      </w:pPr>
      <w:r w:rsidRPr="001E1A55">
        <w:rPr>
          <w:i/>
          <w:lang w:val="fr-FR"/>
        </w:rPr>
        <w:t>Paragraphe 6.2</w:t>
      </w:r>
      <w:r w:rsidRPr="001E1A55">
        <w:rPr>
          <w:lang w:val="fr-FR"/>
        </w:rPr>
        <w:t>,</w:t>
      </w:r>
      <w:r w:rsidRPr="001E1A55">
        <w:rPr>
          <w:i/>
          <w:lang w:val="fr-FR"/>
        </w:rPr>
        <w:t xml:space="preserve"> </w:t>
      </w:r>
      <w:r>
        <w:rPr>
          <w:lang w:val="fr-FR"/>
        </w:rPr>
        <w:t>modifier comme suit :</w:t>
      </w:r>
    </w:p>
    <w:p w:rsidR="001E1A55" w:rsidRPr="001E1A55" w:rsidRDefault="001E1A55" w:rsidP="001E1A55">
      <w:pPr>
        <w:pStyle w:val="SingleTxtG"/>
        <w:rPr>
          <w:lang w:val="fr-FR"/>
        </w:rPr>
      </w:pPr>
      <w:r w:rsidRPr="001E1A55">
        <w:rPr>
          <w:lang w:val="fr-FR"/>
        </w:rPr>
        <w:t>« 6.2</w:t>
      </w:r>
      <w:r w:rsidRPr="001E1A55">
        <w:rPr>
          <w:lang w:val="fr-FR"/>
        </w:rPr>
        <w:tab/>
      </w:r>
      <w:r>
        <w:rPr>
          <w:lang w:val="fr-FR"/>
        </w:rPr>
        <w:tab/>
      </w:r>
      <w:r w:rsidRPr="001E1A55">
        <w:rPr>
          <w:lang w:val="fr-FR"/>
        </w:rPr>
        <w:t xml:space="preserve">FEU DE CROISEMENT (Règlements </w:t>
      </w:r>
      <w:r w:rsidR="00290212">
        <w:rPr>
          <w:rFonts w:eastAsia="MS Mincho"/>
          <w:szCs w:val="22"/>
          <w:lang w:val="fr-FR"/>
        </w:rPr>
        <w:t>n</w:t>
      </w:r>
      <w:r w:rsidR="00290212" w:rsidRPr="00167623">
        <w:rPr>
          <w:rFonts w:eastAsia="MS Mincho"/>
          <w:szCs w:val="22"/>
          <w:vertAlign w:val="superscript"/>
          <w:lang w:val="fr-FR"/>
        </w:rPr>
        <w:t>o</w:t>
      </w:r>
      <w:r w:rsidR="00290212">
        <w:rPr>
          <w:rFonts w:eastAsia="MS Mincho"/>
          <w:szCs w:val="22"/>
          <w:vertAlign w:val="superscript"/>
          <w:lang w:val="fr-FR"/>
        </w:rPr>
        <w:t>s </w:t>
      </w:r>
      <w:r w:rsidRPr="001E1A55">
        <w:rPr>
          <w:lang w:val="fr-FR"/>
        </w:rPr>
        <w:t xml:space="preserve">98 </w:t>
      </w:r>
      <w:r w:rsidRPr="00D80EFF">
        <w:rPr>
          <w:strike/>
          <w:lang w:val="fr-FR"/>
        </w:rPr>
        <w:t>et</w:t>
      </w:r>
      <w:r w:rsidRPr="001E1A55">
        <w:rPr>
          <w:b/>
          <w:lang w:val="fr-FR"/>
        </w:rPr>
        <w:t>,</w:t>
      </w:r>
      <w:r w:rsidRPr="001E1A55">
        <w:rPr>
          <w:lang w:val="fr-FR"/>
        </w:rPr>
        <w:t xml:space="preserve"> 112 </w:t>
      </w:r>
      <w:r w:rsidRPr="001E1A55">
        <w:rPr>
          <w:b/>
          <w:lang w:val="fr-FR"/>
        </w:rPr>
        <w:t>et [RID]</w:t>
      </w:r>
      <w:r w:rsidRPr="001E1A55">
        <w:rPr>
          <w:lang w:val="fr-FR"/>
        </w:rPr>
        <w:t>)</w:t>
      </w:r>
      <w:r w:rsidR="00323D86">
        <w:rPr>
          <w:lang w:val="fr-FR"/>
        </w:rPr>
        <w:t> </w:t>
      </w:r>
      <w:r w:rsidRPr="001E1A55">
        <w:rPr>
          <w:lang w:val="fr-FR"/>
        </w:rPr>
        <w:t>; »</w:t>
      </w:r>
    </w:p>
    <w:p w:rsidR="001E1A55" w:rsidRPr="001E1A55" w:rsidRDefault="001E1A55" w:rsidP="001E1A55">
      <w:pPr>
        <w:pStyle w:val="SingleTxtG"/>
        <w:keepNext/>
        <w:keepLines/>
        <w:rPr>
          <w:lang w:val="fr-FR"/>
        </w:rPr>
      </w:pPr>
      <w:r w:rsidRPr="001E1A55">
        <w:rPr>
          <w:i/>
          <w:lang w:val="fr-FR"/>
        </w:rPr>
        <w:t>Paragraphe 6.2.7</w:t>
      </w:r>
      <w:r w:rsidRPr="001E1A55">
        <w:rPr>
          <w:lang w:val="fr-FR"/>
        </w:rPr>
        <w:t>,</w:t>
      </w:r>
      <w:r w:rsidRPr="001E1A55">
        <w:rPr>
          <w:i/>
          <w:lang w:val="fr-FR"/>
        </w:rPr>
        <w:t xml:space="preserve"> </w:t>
      </w:r>
      <w:r w:rsidRPr="001E1A55">
        <w:rPr>
          <w:lang w:val="fr-FR"/>
        </w:rPr>
        <w:t>modifier comme suit</w:t>
      </w:r>
      <w:r>
        <w:rPr>
          <w:lang w:val="fr-FR"/>
        </w:rPr>
        <w:t> :</w:t>
      </w:r>
    </w:p>
    <w:p w:rsidR="001E1A55" w:rsidRPr="001E1A55" w:rsidRDefault="001E1A55" w:rsidP="00A32DC0">
      <w:pPr>
        <w:pStyle w:val="SingleTxtG"/>
        <w:keepNext/>
        <w:keepLines/>
        <w:rPr>
          <w:lang w:val="fr-FR"/>
        </w:rPr>
      </w:pPr>
      <w:r w:rsidRPr="001E1A55">
        <w:rPr>
          <w:lang w:val="fr-FR"/>
        </w:rPr>
        <w:t>« 6.2.7</w:t>
      </w:r>
      <w:r w:rsidRPr="001E1A55">
        <w:rPr>
          <w:lang w:val="fr-FR"/>
        </w:rPr>
        <w:tab/>
      </w:r>
      <w:r>
        <w:rPr>
          <w:lang w:val="fr-FR"/>
        </w:rPr>
        <w:tab/>
      </w:r>
      <w:r w:rsidRPr="001E1A55">
        <w:rPr>
          <w:lang w:val="fr-FR"/>
        </w:rPr>
        <w:t>Branchements électriques</w:t>
      </w:r>
    </w:p>
    <w:p w:rsidR="001E1A55" w:rsidRPr="001E1A55" w:rsidRDefault="001E1A55" w:rsidP="001E1A55">
      <w:pPr>
        <w:pStyle w:val="SingleTxtG"/>
        <w:ind w:left="2268"/>
        <w:rPr>
          <w:lang w:val="fr-FR"/>
        </w:rPr>
      </w:pPr>
      <w:r w:rsidRPr="001E1A55">
        <w:rPr>
          <w:lang w:val="fr-FR"/>
        </w:rPr>
        <w:t>La commande de passage en faisceau-croisement doit provoquer l</w:t>
      </w:r>
      <w:r w:rsidR="00A32DC0">
        <w:rPr>
          <w:lang w:val="fr-FR"/>
        </w:rPr>
        <w:t>’</w:t>
      </w:r>
      <w:r w:rsidRPr="001E1A55">
        <w:rPr>
          <w:lang w:val="fr-FR"/>
        </w:rPr>
        <w:t>extinction simultanée de tous les feux de route.</w:t>
      </w:r>
    </w:p>
    <w:p w:rsidR="001E1A55" w:rsidRPr="001E1A55" w:rsidRDefault="001E1A55" w:rsidP="001E1A55">
      <w:pPr>
        <w:pStyle w:val="SingleTxtG"/>
        <w:ind w:left="2268"/>
        <w:rPr>
          <w:lang w:val="fr-FR"/>
        </w:rPr>
      </w:pPr>
      <w:r w:rsidRPr="001E1A55">
        <w:rPr>
          <w:lang w:val="fr-FR"/>
        </w:rPr>
        <w:t>Les feux de croisement peuvent rester allumés en même temps que les feux de route.</w:t>
      </w:r>
    </w:p>
    <w:p w:rsidR="001E1A55" w:rsidRPr="001E1A55" w:rsidRDefault="001E1A55" w:rsidP="001E1A55">
      <w:pPr>
        <w:pStyle w:val="SingleTxtG"/>
        <w:ind w:left="2268"/>
        <w:rPr>
          <w:lang w:val="fr-FR"/>
        </w:rPr>
      </w:pPr>
      <w:r w:rsidRPr="001E1A55">
        <w:rPr>
          <w:lang w:val="fr-FR"/>
        </w:rPr>
        <w:t xml:space="preserve">Dans le cas de feux de croisement conformes au Règlement </w:t>
      </w:r>
      <w:r w:rsidR="00290212">
        <w:rPr>
          <w:lang w:val="fr-FR"/>
        </w:rPr>
        <w:t>n</w:t>
      </w:r>
      <w:r w:rsidRPr="001E1A55">
        <w:rPr>
          <w:vertAlign w:val="superscript"/>
          <w:lang w:val="fr-FR"/>
        </w:rPr>
        <w:t>o</w:t>
      </w:r>
      <w:r w:rsidRPr="001E1A55">
        <w:rPr>
          <w:lang w:val="fr-FR"/>
        </w:rPr>
        <w:t xml:space="preserve"> 98 </w:t>
      </w:r>
      <w:r w:rsidRPr="001E1A55">
        <w:rPr>
          <w:b/>
          <w:lang w:val="fr-FR"/>
        </w:rPr>
        <w:t>ou [RID]</w:t>
      </w:r>
      <w:r w:rsidRPr="001E1A55">
        <w:rPr>
          <w:lang w:val="fr-FR"/>
        </w:rPr>
        <w:t>, les sources lumineuses à décharge doivent rester allumées en même temps que les feux de route.</w:t>
      </w:r>
    </w:p>
    <w:p w:rsidR="001E1A55" w:rsidRPr="001E1A55" w:rsidRDefault="001E1A55" w:rsidP="001E1A55">
      <w:pPr>
        <w:pStyle w:val="SingleTxtG"/>
        <w:ind w:left="2268"/>
        <w:rPr>
          <w:lang w:val="fr-FR"/>
        </w:rPr>
      </w:pPr>
      <w:r w:rsidRPr="001E1A55">
        <w:rPr>
          <w:lang w:val="fr-FR"/>
        </w:rPr>
        <w:t>L</w:t>
      </w:r>
      <w:r w:rsidR="00A32DC0">
        <w:rPr>
          <w:lang w:val="fr-FR"/>
        </w:rPr>
        <w:t>’</w:t>
      </w:r>
      <w:r w:rsidRPr="001E1A55">
        <w:rPr>
          <w:lang w:val="fr-FR"/>
        </w:rPr>
        <w:t>éclairage de virage peut être produit au moyen d</w:t>
      </w:r>
      <w:r w:rsidR="00A32DC0">
        <w:rPr>
          <w:lang w:val="fr-FR"/>
        </w:rPr>
        <w:t>’</w:t>
      </w:r>
      <w:r w:rsidRPr="001E1A55">
        <w:rPr>
          <w:lang w:val="fr-FR"/>
        </w:rPr>
        <w:t>une source lumineuse supplémentaire ou d</w:t>
      </w:r>
      <w:r w:rsidR="00A32DC0">
        <w:rPr>
          <w:lang w:val="fr-FR"/>
        </w:rPr>
        <w:t>’</w:t>
      </w:r>
      <w:r w:rsidRPr="001E1A55">
        <w:rPr>
          <w:lang w:val="fr-FR"/>
        </w:rPr>
        <w:t xml:space="preserve">un ou </w:t>
      </w:r>
      <w:r w:rsidR="00D80EFF">
        <w:rPr>
          <w:lang w:val="fr-FR"/>
        </w:rPr>
        <w:t xml:space="preserve">de </w:t>
      </w:r>
      <w:r w:rsidRPr="001E1A55">
        <w:rPr>
          <w:lang w:val="fr-FR"/>
        </w:rPr>
        <w:t>plusieurs modules DEL, situés à l</w:t>
      </w:r>
      <w:r w:rsidR="00A32DC0">
        <w:rPr>
          <w:lang w:val="fr-FR"/>
        </w:rPr>
        <w:t>’</w:t>
      </w:r>
      <w:r w:rsidRPr="001E1A55">
        <w:rPr>
          <w:lang w:val="fr-FR"/>
        </w:rPr>
        <w:t>intérieur des feux de croisement ou dans un feu (à l</w:t>
      </w:r>
      <w:r w:rsidR="00A32DC0">
        <w:rPr>
          <w:lang w:val="fr-FR"/>
        </w:rPr>
        <w:t>’</w:t>
      </w:r>
      <w:r w:rsidRPr="001E1A55">
        <w:rPr>
          <w:lang w:val="fr-FR"/>
        </w:rPr>
        <w:t>exception du feu de route) groupé ou mutuellement incorporé avec lesdits feux de croisement, à condition que le rayon de courbure horizontal de la trajectoire du centre de gravité du véhicule ne dépasse pas 500 m. Le constructeur doit pouvoir démontrer, par calcul ou par tout autre moyen agréé par l</w:t>
      </w:r>
      <w:r w:rsidR="00A32DC0">
        <w:rPr>
          <w:lang w:val="fr-FR"/>
        </w:rPr>
        <w:t>’</w:t>
      </w:r>
      <w:r w:rsidRPr="001E1A55">
        <w:rPr>
          <w:lang w:val="fr-FR"/>
        </w:rPr>
        <w:t>autorité chargée d</w:t>
      </w:r>
      <w:r w:rsidR="00A32DC0">
        <w:rPr>
          <w:lang w:val="fr-FR"/>
        </w:rPr>
        <w:t>’</w:t>
      </w:r>
      <w:r w:rsidRPr="001E1A55">
        <w:rPr>
          <w:lang w:val="fr-FR"/>
        </w:rPr>
        <w:t>accorder l</w:t>
      </w:r>
      <w:r w:rsidR="00A32DC0">
        <w:rPr>
          <w:lang w:val="fr-FR"/>
        </w:rPr>
        <w:t>’</w:t>
      </w:r>
      <w:r w:rsidRPr="001E1A55">
        <w:rPr>
          <w:lang w:val="fr-FR"/>
        </w:rPr>
        <w:t>homologation de type, que cette condition est remplie.</w:t>
      </w:r>
    </w:p>
    <w:p w:rsidR="001E1A55" w:rsidRPr="001E1A55" w:rsidRDefault="001E1A55" w:rsidP="001E1A55">
      <w:pPr>
        <w:pStyle w:val="SingleTxtG"/>
        <w:ind w:left="2268"/>
        <w:rPr>
          <w:lang w:val="fr-FR"/>
        </w:rPr>
      </w:pPr>
      <w:r w:rsidRPr="001E1A55">
        <w:rPr>
          <w:lang w:val="fr-FR"/>
        </w:rPr>
        <w:t>Les feux de croisement peuvent s</w:t>
      </w:r>
      <w:r w:rsidR="00A32DC0">
        <w:rPr>
          <w:lang w:val="fr-FR"/>
        </w:rPr>
        <w:t>’</w:t>
      </w:r>
      <w:r w:rsidRPr="001E1A55">
        <w:rPr>
          <w:lang w:val="fr-FR"/>
        </w:rPr>
        <w:t>allumer et s</w:t>
      </w:r>
      <w:r w:rsidR="00A32DC0">
        <w:rPr>
          <w:lang w:val="fr-FR"/>
        </w:rPr>
        <w:t>’</w:t>
      </w:r>
      <w:r w:rsidRPr="001E1A55">
        <w:rPr>
          <w:lang w:val="fr-FR"/>
        </w:rPr>
        <w:t>éteindre automatiquement. Toutefois, l</w:t>
      </w:r>
      <w:r w:rsidR="00A32DC0">
        <w:rPr>
          <w:lang w:val="fr-FR"/>
        </w:rPr>
        <w:t>’</w:t>
      </w:r>
      <w:r w:rsidRPr="001E1A55">
        <w:rPr>
          <w:lang w:val="fr-FR"/>
        </w:rPr>
        <w:t>allumage et l</w:t>
      </w:r>
      <w:r w:rsidR="00A32DC0">
        <w:rPr>
          <w:lang w:val="fr-FR"/>
        </w:rPr>
        <w:t>’</w:t>
      </w:r>
      <w:r w:rsidRPr="001E1A55">
        <w:rPr>
          <w:lang w:val="fr-FR"/>
        </w:rPr>
        <w:t>extinction manuels de ces feux doivent toujours être possibles. »</w:t>
      </w:r>
    </w:p>
    <w:p w:rsidR="001E1A55" w:rsidRPr="001E1A55" w:rsidRDefault="001E1A55" w:rsidP="001E1A55">
      <w:pPr>
        <w:pStyle w:val="SingleTxtG"/>
        <w:keepNext/>
        <w:keepLines/>
        <w:rPr>
          <w:lang w:val="fr-FR"/>
        </w:rPr>
      </w:pPr>
      <w:r w:rsidRPr="001E1A55">
        <w:rPr>
          <w:i/>
          <w:lang w:val="fr-FR"/>
        </w:rPr>
        <w:t>Paragraphe 6.2.9</w:t>
      </w:r>
      <w:r w:rsidRPr="001E1A55">
        <w:rPr>
          <w:lang w:val="fr-FR"/>
        </w:rPr>
        <w:t>,</w:t>
      </w:r>
      <w:r w:rsidRPr="001E1A55">
        <w:rPr>
          <w:i/>
          <w:lang w:val="fr-FR"/>
        </w:rPr>
        <w:t xml:space="preserve"> </w:t>
      </w:r>
      <w:r w:rsidRPr="001E1A55">
        <w:rPr>
          <w:lang w:val="fr-FR"/>
        </w:rPr>
        <w:t>modifier comme suit</w:t>
      </w:r>
      <w:r>
        <w:rPr>
          <w:lang w:val="fr-FR"/>
        </w:rPr>
        <w:t> :</w:t>
      </w:r>
    </w:p>
    <w:p w:rsidR="001E1A55" w:rsidRPr="001E1A55" w:rsidRDefault="001E1A55" w:rsidP="00A32DC0">
      <w:pPr>
        <w:pStyle w:val="SingleTxtG"/>
        <w:keepNext/>
        <w:keepLines/>
        <w:rPr>
          <w:lang w:val="fr-FR"/>
        </w:rPr>
      </w:pPr>
      <w:r w:rsidRPr="001E1A55">
        <w:rPr>
          <w:lang w:val="fr-FR"/>
        </w:rPr>
        <w:t>« 6.2.9</w:t>
      </w:r>
      <w:r w:rsidRPr="001E1A55">
        <w:rPr>
          <w:lang w:val="fr-FR"/>
        </w:rPr>
        <w:tab/>
      </w:r>
      <w:r>
        <w:rPr>
          <w:lang w:val="fr-FR"/>
        </w:rPr>
        <w:tab/>
      </w:r>
      <w:r w:rsidRPr="001E1A55">
        <w:rPr>
          <w:lang w:val="fr-FR"/>
        </w:rPr>
        <w:t>Autres prescriptions</w:t>
      </w:r>
    </w:p>
    <w:p w:rsidR="001E1A55" w:rsidRPr="001E1A55" w:rsidRDefault="001E1A55" w:rsidP="001E1A55">
      <w:pPr>
        <w:pStyle w:val="SingleTxtG"/>
        <w:ind w:left="2268"/>
        <w:rPr>
          <w:lang w:val="fr-FR"/>
        </w:rPr>
      </w:pPr>
      <w:r>
        <w:rPr>
          <w:lang w:val="fr-FR"/>
        </w:rPr>
        <w:t>Les prescriptions du paragraphe </w:t>
      </w:r>
      <w:r w:rsidRPr="001E1A55">
        <w:rPr>
          <w:lang w:val="fr-FR"/>
        </w:rPr>
        <w:t>5.5.2 ne sont pas applicables aux feux de croisement.</w:t>
      </w:r>
    </w:p>
    <w:p w:rsidR="001E1A55" w:rsidRPr="001E1A55" w:rsidRDefault="001E1A55" w:rsidP="001E1A55">
      <w:pPr>
        <w:pStyle w:val="SingleTxtG"/>
        <w:ind w:left="2268"/>
        <w:rPr>
          <w:lang w:val="fr-FR"/>
        </w:rPr>
      </w:pPr>
      <w:r w:rsidRPr="001E1A55">
        <w:rPr>
          <w:lang w:val="fr-FR"/>
        </w:rPr>
        <w:t>Les feux de croisement munis d</w:t>
      </w:r>
      <w:r w:rsidR="00A32DC0">
        <w:rPr>
          <w:lang w:val="fr-FR"/>
        </w:rPr>
        <w:t>’</w:t>
      </w:r>
      <w:r w:rsidRPr="001E1A55">
        <w:rPr>
          <w:lang w:val="fr-FR"/>
        </w:rPr>
        <w:t>une source lumineuse ou d</w:t>
      </w:r>
      <w:r w:rsidR="00A32DC0">
        <w:rPr>
          <w:lang w:val="fr-FR"/>
        </w:rPr>
        <w:t>’</w:t>
      </w:r>
      <w:r w:rsidRPr="001E1A55">
        <w:rPr>
          <w:lang w:val="fr-FR"/>
        </w:rPr>
        <w:t>un ou de plusieurs modules DEL produisant le faisceau de croisement principal et ayant un flux lumine</w:t>
      </w:r>
      <w:r w:rsidR="00A32DC0">
        <w:rPr>
          <w:lang w:val="fr-FR"/>
        </w:rPr>
        <w:t>ux objectif total supérieur à 2 </w:t>
      </w:r>
      <w:r w:rsidRPr="001E1A55">
        <w:rPr>
          <w:lang w:val="fr-FR"/>
        </w:rPr>
        <w:t>000</w:t>
      </w:r>
      <w:r w:rsidR="00A32DC0">
        <w:rPr>
          <w:lang w:val="fr-FR"/>
        </w:rPr>
        <w:t> </w:t>
      </w:r>
      <w:r w:rsidRPr="001E1A55">
        <w:rPr>
          <w:lang w:val="fr-FR"/>
        </w:rPr>
        <w:t xml:space="preserve">lumens ne peuvent </w:t>
      </w:r>
      <w:r w:rsidRPr="001E1A55">
        <w:rPr>
          <w:lang w:val="fr-FR"/>
        </w:rPr>
        <w:lastRenderedPageBreak/>
        <w:t>être installés que si un ou plusieurs nettoie</w:t>
      </w:r>
      <w:r w:rsidRPr="001E1A55">
        <w:rPr>
          <w:lang w:val="fr-FR"/>
        </w:rPr>
        <w:noBreakHyphen/>
        <w:t xml:space="preserve">projecteurs conformes au Règlement </w:t>
      </w:r>
      <w:r w:rsidRPr="001E1A55">
        <w:rPr>
          <w:rFonts w:eastAsia="MS Mincho"/>
          <w:szCs w:val="22"/>
          <w:lang w:val="fr-FR"/>
        </w:rPr>
        <w:t>N</w:t>
      </w:r>
      <w:r w:rsidRPr="001E1A55">
        <w:rPr>
          <w:rFonts w:eastAsia="MS Mincho"/>
          <w:szCs w:val="22"/>
          <w:vertAlign w:val="superscript"/>
          <w:lang w:val="fr-FR"/>
        </w:rPr>
        <w:t>o</w:t>
      </w:r>
      <w:r>
        <w:rPr>
          <w:lang w:val="fr-FR"/>
        </w:rPr>
        <w:t> </w:t>
      </w:r>
      <w:r w:rsidRPr="001E1A55">
        <w:rPr>
          <w:lang w:val="fr-FR"/>
        </w:rPr>
        <w:t>45</w:t>
      </w:r>
      <w:r>
        <w:rPr>
          <w:lang w:val="fr-FR"/>
        </w:rPr>
        <w:t> </w:t>
      </w:r>
      <w:r w:rsidRPr="001E1A55">
        <w:rPr>
          <w:lang w:val="fr-FR"/>
        </w:rPr>
        <w:t>9/ sont aussi installés.</w:t>
      </w:r>
    </w:p>
    <w:p w:rsidR="001E1A55" w:rsidRPr="001E1A55" w:rsidRDefault="001E1A55" w:rsidP="00167623">
      <w:pPr>
        <w:pStyle w:val="SingleTxtG"/>
        <w:keepNext/>
        <w:keepLines/>
        <w:ind w:left="2268"/>
        <w:rPr>
          <w:lang w:val="fr-FR"/>
        </w:rPr>
      </w:pPr>
      <w:r w:rsidRPr="001E1A55">
        <w:rPr>
          <w:lang w:val="fr-FR"/>
        </w:rPr>
        <w:t>En ce qui concerne l</w:t>
      </w:r>
      <w:r w:rsidR="00A32DC0">
        <w:rPr>
          <w:lang w:val="fr-FR"/>
        </w:rPr>
        <w:t>’</w:t>
      </w:r>
      <w:r w:rsidRPr="001E1A55">
        <w:rPr>
          <w:lang w:val="fr-FR"/>
        </w:rPr>
        <w:t>inclinaison verticale, les prescriptions du paragraphe 6.2.6.2.2 ne s</w:t>
      </w:r>
      <w:r w:rsidR="00A32DC0">
        <w:rPr>
          <w:lang w:val="fr-FR"/>
        </w:rPr>
        <w:t>’</w:t>
      </w:r>
      <w:r w:rsidRPr="001E1A55">
        <w:rPr>
          <w:lang w:val="fr-FR"/>
        </w:rPr>
        <w:t>appliquent pas aux feux de croisement :</w:t>
      </w:r>
    </w:p>
    <w:p w:rsidR="001E1A55" w:rsidRPr="001E1A55" w:rsidRDefault="001E1A55" w:rsidP="001E1A55">
      <w:pPr>
        <w:pStyle w:val="SingleTxtG"/>
        <w:ind w:left="2835" w:hanging="567"/>
        <w:rPr>
          <w:lang w:val="fr-FR"/>
        </w:rPr>
      </w:pPr>
      <w:r w:rsidRPr="001E1A55">
        <w:rPr>
          <w:lang w:val="fr-FR"/>
        </w:rPr>
        <w:t>a)</w:t>
      </w:r>
      <w:r w:rsidRPr="001E1A55">
        <w:rPr>
          <w:lang w:val="fr-FR"/>
        </w:rPr>
        <w:tab/>
        <w:t>Munis d</w:t>
      </w:r>
      <w:r w:rsidR="00A32DC0">
        <w:rPr>
          <w:lang w:val="fr-FR"/>
        </w:rPr>
        <w:t>’</w:t>
      </w:r>
      <w:r w:rsidRPr="001E1A55">
        <w:rPr>
          <w:lang w:val="fr-FR"/>
        </w:rPr>
        <w:t>un ou de plusieurs modules DEL produisant le f</w:t>
      </w:r>
      <w:r>
        <w:rPr>
          <w:lang w:val="fr-FR"/>
        </w:rPr>
        <w:t>aisceau de croisement principal ;</w:t>
      </w:r>
      <w:r w:rsidRPr="001E1A55">
        <w:rPr>
          <w:lang w:val="fr-FR"/>
        </w:rPr>
        <w:t xml:space="preserve"> ou</w:t>
      </w:r>
    </w:p>
    <w:p w:rsidR="001E1A55" w:rsidRPr="001E1A55" w:rsidRDefault="001E1A55" w:rsidP="001E1A55">
      <w:pPr>
        <w:pStyle w:val="SingleTxtG"/>
        <w:ind w:left="2835" w:hanging="567"/>
        <w:rPr>
          <w:lang w:val="fr-FR"/>
        </w:rPr>
      </w:pPr>
      <w:r w:rsidRPr="001E1A55">
        <w:rPr>
          <w:lang w:val="fr-FR"/>
        </w:rPr>
        <w:t>b)</w:t>
      </w:r>
      <w:r w:rsidRPr="001E1A55">
        <w:rPr>
          <w:lang w:val="fr-FR"/>
        </w:rPr>
        <w:tab/>
        <w:t>Munis d</w:t>
      </w:r>
      <w:r w:rsidR="00A32DC0">
        <w:rPr>
          <w:lang w:val="fr-FR"/>
        </w:rPr>
        <w:t>’</w:t>
      </w:r>
      <w:r w:rsidRPr="001E1A55">
        <w:rPr>
          <w:lang w:val="fr-FR"/>
        </w:rPr>
        <w:t xml:space="preserve">une source lumineuse produisant le faisceau de croisement principal et ayant un flux </w:t>
      </w:r>
      <w:r>
        <w:rPr>
          <w:lang w:val="fr-FR"/>
        </w:rPr>
        <w:t>lumineux objectif supérieur à 2 000 </w:t>
      </w:r>
      <w:r w:rsidRPr="001E1A55">
        <w:rPr>
          <w:lang w:val="fr-FR"/>
        </w:rPr>
        <w:t>lumens.</w:t>
      </w:r>
    </w:p>
    <w:p w:rsidR="001E1A55" w:rsidRPr="001E1A55" w:rsidRDefault="001E1A55" w:rsidP="001E1A55">
      <w:pPr>
        <w:pStyle w:val="SingleTxtG"/>
        <w:ind w:left="2268"/>
        <w:rPr>
          <w:lang w:val="fr-FR"/>
        </w:rPr>
      </w:pPr>
      <w:r w:rsidRPr="001E1A55">
        <w:rPr>
          <w:lang w:val="fr-FR"/>
        </w:rPr>
        <w:t>L</w:t>
      </w:r>
      <w:r w:rsidR="00A32DC0">
        <w:rPr>
          <w:lang w:val="fr-FR"/>
        </w:rPr>
        <w:t>’</w:t>
      </w:r>
      <w:r w:rsidRPr="001E1A55">
        <w:rPr>
          <w:lang w:val="fr-FR"/>
        </w:rPr>
        <w:t>éclairage virage ne peut être obtenu qu</w:t>
      </w:r>
      <w:r w:rsidR="00A32DC0">
        <w:rPr>
          <w:lang w:val="fr-FR"/>
        </w:rPr>
        <w:t>’</w:t>
      </w:r>
      <w:r w:rsidRPr="001E1A55">
        <w:rPr>
          <w:lang w:val="fr-FR"/>
        </w:rPr>
        <w:t xml:space="preserve">au moyen de feux de croisement conformes au Règlement </w:t>
      </w:r>
      <w:r w:rsidR="00290212">
        <w:rPr>
          <w:rFonts w:eastAsia="MS Mincho"/>
          <w:szCs w:val="22"/>
          <w:lang w:val="fr-FR"/>
        </w:rPr>
        <w:t>n</w:t>
      </w:r>
      <w:r w:rsidRPr="001E1A55">
        <w:rPr>
          <w:rFonts w:eastAsia="MS Mincho"/>
          <w:szCs w:val="22"/>
          <w:vertAlign w:val="superscript"/>
          <w:lang w:val="fr-FR"/>
        </w:rPr>
        <w:t>o</w:t>
      </w:r>
      <w:r>
        <w:rPr>
          <w:lang w:val="fr-FR"/>
        </w:rPr>
        <w:t> </w:t>
      </w:r>
      <w:r w:rsidRPr="001E1A55">
        <w:rPr>
          <w:lang w:val="fr-FR"/>
        </w:rPr>
        <w:t xml:space="preserve">98 </w:t>
      </w:r>
      <w:r w:rsidRPr="00D80EFF">
        <w:rPr>
          <w:strike/>
          <w:lang w:val="fr-FR"/>
        </w:rPr>
        <w:t>ou</w:t>
      </w:r>
      <w:r w:rsidRPr="001E1A55">
        <w:rPr>
          <w:b/>
          <w:lang w:val="fr-FR"/>
        </w:rPr>
        <w:t>,</w:t>
      </w:r>
      <w:r w:rsidRPr="001E1A55">
        <w:rPr>
          <w:lang w:val="fr-FR"/>
        </w:rPr>
        <w:t xml:space="preserve"> </w:t>
      </w:r>
      <w:r w:rsidR="00290212">
        <w:rPr>
          <w:rFonts w:eastAsia="MS Mincho"/>
          <w:szCs w:val="22"/>
          <w:lang w:val="fr-FR"/>
        </w:rPr>
        <w:t>n</w:t>
      </w:r>
      <w:r w:rsidRPr="001E1A55">
        <w:rPr>
          <w:rFonts w:eastAsia="MS Mincho"/>
          <w:szCs w:val="22"/>
          <w:vertAlign w:val="superscript"/>
          <w:lang w:val="fr-FR"/>
        </w:rPr>
        <w:t>o</w:t>
      </w:r>
      <w:r>
        <w:rPr>
          <w:lang w:val="fr-FR"/>
        </w:rPr>
        <w:t> </w:t>
      </w:r>
      <w:r w:rsidRPr="001E1A55">
        <w:rPr>
          <w:lang w:val="fr-FR"/>
        </w:rPr>
        <w:t xml:space="preserve">112 </w:t>
      </w:r>
      <w:r w:rsidRPr="001E1A55">
        <w:rPr>
          <w:b/>
          <w:lang w:val="fr-FR"/>
        </w:rPr>
        <w:t>ou [RID]</w:t>
      </w:r>
      <w:r w:rsidRPr="001E1A55">
        <w:rPr>
          <w:lang w:val="fr-FR"/>
        </w:rPr>
        <w:t>.</w:t>
      </w:r>
      <w:r w:rsidRPr="001E1A55">
        <w:rPr>
          <w:b/>
          <w:lang w:val="fr-FR"/>
        </w:rPr>
        <w:t> »</w:t>
      </w:r>
    </w:p>
    <w:p w:rsidR="001E1A55" w:rsidRPr="001E1A55" w:rsidRDefault="001E1A55" w:rsidP="001E1A55">
      <w:pPr>
        <w:pStyle w:val="SingleTxtG"/>
        <w:keepNext/>
        <w:keepLines/>
        <w:rPr>
          <w:lang w:val="fr-FR"/>
        </w:rPr>
      </w:pPr>
      <w:r w:rsidRPr="001E1A55">
        <w:rPr>
          <w:i/>
          <w:lang w:val="fr-FR"/>
        </w:rPr>
        <w:t>Paragraphe</w:t>
      </w:r>
      <w:r w:rsidR="00F3513A">
        <w:rPr>
          <w:i/>
          <w:lang w:val="fr-FR"/>
        </w:rPr>
        <w:t> </w:t>
      </w:r>
      <w:r w:rsidRPr="001E1A55">
        <w:rPr>
          <w:i/>
          <w:lang w:val="fr-FR"/>
        </w:rPr>
        <w:t>6.3</w:t>
      </w:r>
      <w:r w:rsidRPr="00012FD8">
        <w:t>,</w:t>
      </w:r>
      <w:r w:rsidRPr="001E1A55">
        <w:rPr>
          <w:i/>
          <w:lang w:val="fr-FR"/>
        </w:rPr>
        <w:t xml:space="preserve"> </w:t>
      </w:r>
      <w:r w:rsidR="00012FD8">
        <w:rPr>
          <w:lang w:val="fr-FR"/>
        </w:rPr>
        <w:t>modifier comme suit :</w:t>
      </w:r>
    </w:p>
    <w:p w:rsidR="001E1A55" w:rsidRPr="001E1A55" w:rsidRDefault="001E1A55" w:rsidP="001E1A55">
      <w:pPr>
        <w:pStyle w:val="SingleTxtG"/>
        <w:rPr>
          <w:lang w:val="fr-FR"/>
        </w:rPr>
      </w:pPr>
      <w:r w:rsidRPr="001E1A55">
        <w:rPr>
          <w:lang w:val="fr-FR"/>
        </w:rPr>
        <w:t>« 6.3</w:t>
      </w:r>
      <w:r w:rsidRPr="001E1A55">
        <w:rPr>
          <w:lang w:val="fr-FR"/>
        </w:rPr>
        <w:tab/>
      </w:r>
      <w:r w:rsidR="00A32DC0">
        <w:rPr>
          <w:lang w:val="fr-FR"/>
        </w:rPr>
        <w:tab/>
      </w:r>
      <w:r w:rsidRPr="001E1A55">
        <w:rPr>
          <w:lang w:val="fr-FR"/>
        </w:rPr>
        <w:t xml:space="preserve">FEU DE BROUILLARD AVANT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19 </w:t>
      </w:r>
      <w:r w:rsidRPr="001E1A55">
        <w:rPr>
          <w:b/>
          <w:lang w:val="fr-FR"/>
        </w:rPr>
        <w:t>ou [RID]</w:t>
      </w:r>
      <w:r w:rsidR="00012FD8">
        <w:rPr>
          <w:lang w:val="fr-FR"/>
        </w:rPr>
        <w:t>). »</w:t>
      </w:r>
    </w:p>
    <w:p w:rsidR="001E1A55" w:rsidRPr="001E1A55" w:rsidRDefault="001E1A55" w:rsidP="001E1A55">
      <w:pPr>
        <w:pStyle w:val="SingleTxtG"/>
        <w:keepNext/>
        <w:keepLines/>
        <w:rPr>
          <w:lang w:val="fr-FR"/>
        </w:rPr>
      </w:pPr>
      <w:r w:rsidRPr="001E1A55">
        <w:rPr>
          <w:i/>
          <w:lang w:val="fr-FR"/>
        </w:rPr>
        <w:t>Paragraphe</w:t>
      </w:r>
      <w:r w:rsidR="00A32DC0">
        <w:rPr>
          <w:i/>
          <w:iCs/>
          <w:lang w:val="fr-FR"/>
        </w:rPr>
        <w:t> </w:t>
      </w:r>
      <w:r w:rsidRPr="001E1A55">
        <w:rPr>
          <w:i/>
          <w:iCs/>
          <w:lang w:val="fr-FR"/>
        </w:rPr>
        <w:t>6.3.2</w:t>
      </w:r>
      <w:r w:rsidRPr="00A32DC0">
        <w:rPr>
          <w:lang w:val="fr-FR"/>
        </w:rPr>
        <w:t>,</w:t>
      </w:r>
      <w:r w:rsidRPr="001E1A55">
        <w:rPr>
          <w:i/>
          <w:iCs/>
          <w:lang w:val="fr-FR"/>
        </w:rPr>
        <w:t xml:space="preserve"> </w:t>
      </w:r>
      <w:r w:rsidR="00A32DC0">
        <w:rPr>
          <w:lang w:val="fr-FR"/>
        </w:rPr>
        <w:t>modifier comme suit :</w:t>
      </w:r>
    </w:p>
    <w:p w:rsidR="001E1A55" w:rsidRPr="001E1A55" w:rsidRDefault="001E1A55" w:rsidP="001E1A55">
      <w:pPr>
        <w:pStyle w:val="SingleTxtG"/>
        <w:rPr>
          <w:lang w:val="fr-FR"/>
        </w:rPr>
      </w:pPr>
      <w:r w:rsidRPr="001E1A55">
        <w:rPr>
          <w:lang w:val="fr-FR"/>
        </w:rPr>
        <w:t>« 6.3.2</w:t>
      </w:r>
      <w:r w:rsidRPr="001E1A55">
        <w:rPr>
          <w:lang w:val="fr-FR"/>
        </w:rPr>
        <w:tab/>
      </w:r>
      <w:r w:rsidR="00A32DC0">
        <w:rPr>
          <w:lang w:val="fr-FR"/>
        </w:rPr>
        <w:tab/>
      </w:r>
      <w:r w:rsidRPr="001E1A55">
        <w:rPr>
          <w:lang w:val="fr-FR"/>
        </w:rPr>
        <w:t>Nombre</w:t>
      </w:r>
    </w:p>
    <w:p w:rsidR="001E1A55" w:rsidRPr="001E1A55" w:rsidRDefault="00A32DC0" w:rsidP="00A32DC0">
      <w:pPr>
        <w:pStyle w:val="SingleTxtG"/>
        <w:ind w:left="2268" w:hanging="1134"/>
        <w:rPr>
          <w:lang w:val="fr-FR"/>
        </w:rPr>
      </w:pPr>
      <w:r>
        <w:rPr>
          <w:lang w:val="fr-FR"/>
        </w:rPr>
        <w:tab/>
      </w:r>
      <w:r w:rsidR="001E1A55" w:rsidRPr="001E1A55">
        <w:rPr>
          <w:lang w:val="fr-FR"/>
        </w:rPr>
        <w:t xml:space="preserve">Deux, conformes </w:t>
      </w:r>
      <w:r w:rsidR="001E1A55" w:rsidRPr="001E1A55">
        <w:rPr>
          <w:b/>
          <w:lang w:val="fr-FR"/>
        </w:rPr>
        <w:t>soit</w:t>
      </w:r>
      <w:r w:rsidR="001E1A55" w:rsidRPr="001E1A55">
        <w:rPr>
          <w:lang w:val="fr-FR"/>
        </w:rPr>
        <w:t xml:space="preserve"> aux prescriptions de la série 03 et des séries ultérieures d</w:t>
      </w:r>
      <w:r>
        <w:rPr>
          <w:lang w:val="fr-FR"/>
        </w:rPr>
        <w:t>’</w:t>
      </w:r>
      <w:r w:rsidR="001E1A55" w:rsidRPr="001E1A55">
        <w:rPr>
          <w:lang w:val="fr-FR"/>
        </w:rPr>
        <w:t xml:space="preserve">amendements au Règlement </w:t>
      </w:r>
      <w:r w:rsidR="00290212">
        <w:rPr>
          <w:rFonts w:eastAsia="MS Mincho"/>
          <w:szCs w:val="22"/>
          <w:lang w:val="fr-FR"/>
        </w:rPr>
        <w:t>n</w:t>
      </w:r>
      <w:r w:rsidRPr="00A32DC0">
        <w:rPr>
          <w:rFonts w:eastAsia="MS Mincho"/>
          <w:szCs w:val="22"/>
          <w:vertAlign w:val="superscript"/>
          <w:lang w:val="fr-FR"/>
        </w:rPr>
        <w:t>o</w:t>
      </w:r>
      <w:r>
        <w:rPr>
          <w:lang w:val="fr-FR"/>
        </w:rPr>
        <w:t> </w:t>
      </w:r>
      <w:r w:rsidR="001E1A55" w:rsidRPr="001E1A55">
        <w:rPr>
          <w:lang w:val="fr-FR"/>
        </w:rPr>
        <w:t>19</w:t>
      </w:r>
      <w:r w:rsidR="001E1A55" w:rsidRPr="001E1A55">
        <w:rPr>
          <w:b/>
          <w:lang w:val="fr-FR"/>
        </w:rPr>
        <w:t>,</w:t>
      </w:r>
      <w:r w:rsidR="001E1A55" w:rsidRPr="001E1A55">
        <w:rPr>
          <w:lang w:val="fr-FR"/>
        </w:rPr>
        <w:t xml:space="preserve"> </w:t>
      </w:r>
      <w:r w:rsidR="001E1A55" w:rsidRPr="001E1A55">
        <w:rPr>
          <w:b/>
          <w:lang w:val="fr-FR"/>
        </w:rPr>
        <w:t>soit à celles du Règlement</w:t>
      </w:r>
      <w:r w:rsidR="001E1A55" w:rsidRPr="001E1A55">
        <w:rPr>
          <w:lang w:val="fr-FR"/>
        </w:rPr>
        <w:t xml:space="preserve"> </w:t>
      </w:r>
      <w:r w:rsidR="00290212">
        <w:rPr>
          <w:rFonts w:eastAsia="MS Mincho"/>
          <w:b/>
          <w:szCs w:val="22"/>
          <w:lang w:val="fr-FR"/>
        </w:rPr>
        <w:t>n</w:t>
      </w:r>
      <w:r w:rsidRPr="00A32DC0">
        <w:rPr>
          <w:rFonts w:eastAsia="MS Mincho"/>
          <w:b/>
          <w:szCs w:val="22"/>
          <w:vertAlign w:val="superscript"/>
          <w:lang w:val="fr-FR"/>
        </w:rPr>
        <w:t>o</w:t>
      </w:r>
      <w:r>
        <w:rPr>
          <w:b/>
          <w:lang w:val="fr-FR"/>
        </w:rPr>
        <w:t> </w:t>
      </w:r>
      <w:r w:rsidR="001E1A55" w:rsidRPr="001E1A55">
        <w:rPr>
          <w:b/>
          <w:lang w:val="fr-FR"/>
        </w:rPr>
        <w:t>[RID]</w:t>
      </w:r>
      <w:r w:rsidR="001E1A55" w:rsidRPr="001E1A55">
        <w:rPr>
          <w:lang w:val="fr-FR"/>
        </w:rPr>
        <w:t>.</w:t>
      </w:r>
      <w:r w:rsidR="001E1A55" w:rsidRPr="001E1A55">
        <w:rPr>
          <w:b/>
          <w:bCs/>
          <w:lang w:val="fr-FR"/>
        </w:rPr>
        <w:t> </w:t>
      </w:r>
      <w:r w:rsidR="001E1A55" w:rsidRPr="001E1A55">
        <w:rPr>
          <w:bCs/>
          <w:lang w:val="fr-FR"/>
        </w:rPr>
        <w:t>»</w:t>
      </w:r>
    </w:p>
    <w:p w:rsidR="001E1A55" w:rsidRPr="001E1A55" w:rsidRDefault="001E1A55" w:rsidP="001E1A55">
      <w:pPr>
        <w:pStyle w:val="SingleTxtG"/>
        <w:keepNext/>
        <w:keepLines/>
        <w:rPr>
          <w:lang w:val="fr-FR"/>
        </w:rPr>
      </w:pPr>
      <w:r w:rsidRPr="001E1A55">
        <w:rPr>
          <w:i/>
          <w:lang w:val="fr-FR"/>
        </w:rPr>
        <w:t>Paragraphe 6.3.9</w:t>
      </w:r>
      <w:r w:rsidRPr="00012FD8">
        <w:t xml:space="preserve">, </w:t>
      </w:r>
      <w:r w:rsidR="00A32DC0">
        <w:rPr>
          <w:lang w:val="fr-FR"/>
        </w:rPr>
        <w:t>modifier comme suit :</w:t>
      </w:r>
    </w:p>
    <w:p w:rsidR="001E1A55" w:rsidRPr="001E1A55" w:rsidRDefault="001E1A55" w:rsidP="00A32DC0">
      <w:pPr>
        <w:pStyle w:val="SingleTxtG"/>
        <w:keepNext/>
        <w:keepLines/>
        <w:rPr>
          <w:lang w:val="fr-FR"/>
        </w:rPr>
      </w:pPr>
      <w:r w:rsidRPr="001E1A55">
        <w:rPr>
          <w:lang w:val="fr-FR"/>
        </w:rPr>
        <w:t>« 6.3.9</w:t>
      </w:r>
      <w:r w:rsidRPr="001E1A55">
        <w:rPr>
          <w:lang w:val="fr-FR"/>
        </w:rPr>
        <w:tab/>
      </w:r>
      <w:r w:rsidR="00012FD8">
        <w:rPr>
          <w:lang w:val="fr-FR"/>
        </w:rPr>
        <w:tab/>
      </w:r>
      <w:r w:rsidRPr="001E1A55">
        <w:rPr>
          <w:lang w:val="fr-FR"/>
        </w:rPr>
        <w:t>Autres prescriptions</w:t>
      </w:r>
    </w:p>
    <w:p w:rsidR="001E1A55" w:rsidRPr="001E1A55" w:rsidRDefault="001E1A55" w:rsidP="00F3513A">
      <w:pPr>
        <w:pStyle w:val="SingleTxtG"/>
        <w:ind w:left="2268"/>
        <w:rPr>
          <w:lang w:val="fr-FR"/>
        </w:rPr>
      </w:pPr>
      <w:r w:rsidRPr="001E1A55">
        <w:rPr>
          <w:lang w:val="fr-FR"/>
        </w:rPr>
        <w:t>En cas de réponse affirmati</w:t>
      </w:r>
      <w:r w:rsidR="00F3513A">
        <w:rPr>
          <w:lang w:val="fr-FR"/>
        </w:rPr>
        <w:t>ve à la question posée au point </w:t>
      </w:r>
      <w:r w:rsidRPr="001E1A55">
        <w:rPr>
          <w:lang w:val="fr-FR"/>
        </w:rPr>
        <w:t>10.9 de la fiche d</w:t>
      </w:r>
      <w:r w:rsidR="00A32DC0">
        <w:rPr>
          <w:lang w:val="fr-FR"/>
        </w:rPr>
        <w:t>’</w:t>
      </w:r>
      <w:r w:rsidRPr="001E1A55">
        <w:rPr>
          <w:lang w:val="fr-FR"/>
        </w:rPr>
        <w:t>information figurant à l</w:t>
      </w:r>
      <w:r w:rsidR="00A32DC0">
        <w:rPr>
          <w:lang w:val="fr-FR"/>
        </w:rPr>
        <w:t>’</w:t>
      </w:r>
      <w:r w:rsidR="00F3513A">
        <w:rPr>
          <w:lang w:val="fr-FR"/>
        </w:rPr>
        <w:t>annexe </w:t>
      </w:r>
      <w:r w:rsidRPr="001E1A55">
        <w:rPr>
          <w:lang w:val="fr-FR"/>
        </w:rPr>
        <w:t xml:space="preserve">1 du Règlement </w:t>
      </w:r>
      <w:r w:rsidR="00D80EFF" w:rsidRPr="00D80EFF">
        <w:rPr>
          <w:rFonts w:eastAsia="MS Mincho"/>
          <w:szCs w:val="22"/>
          <w:lang w:val="fr-FR"/>
        </w:rPr>
        <w:t>n</w:t>
      </w:r>
      <w:r w:rsidR="00D80EFF" w:rsidRPr="00D80EFF">
        <w:rPr>
          <w:rFonts w:eastAsia="MS Mincho"/>
          <w:szCs w:val="22"/>
          <w:vertAlign w:val="superscript"/>
          <w:lang w:val="fr-FR"/>
        </w:rPr>
        <w:t>o</w:t>
      </w:r>
      <w:r w:rsidR="00D80EFF">
        <w:rPr>
          <w:rFonts w:eastAsia="MS Mincho"/>
          <w:szCs w:val="22"/>
          <w:lang w:val="fr-FR"/>
        </w:rPr>
        <w:t> </w:t>
      </w:r>
      <w:r w:rsidRPr="001E1A55">
        <w:rPr>
          <w:lang w:val="fr-FR"/>
        </w:rPr>
        <w:t xml:space="preserve">19 </w:t>
      </w:r>
      <w:r w:rsidRPr="001E1A55">
        <w:rPr>
          <w:b/>
          <w:lang w:val="fr-FR"/>
        </w:rPr>
        <w:t>ou au point 9.5.8 de la fiche d</w:t>
      </w:r>
      <w:r w:rsidR="00A32DC0">
        <w:rPr>
          <w:b/>
          <w:lang w:val="fr-FR"/>
        </w:rPr>
        <w:t>’</w:t>
      </w:r>
      <w:r w:rsidRPr="001E1A55">
        <w:rPr>
          <w:b/>
          <w:lang w:val="fr-FR"/>
        </w:rPr>
        <w:t>information figurant à l</w:t>
      </w:r>
      <w:r w:rsidR="00A32DC0">
        <w:rPr>
          <w:b/>
          <w:lang w:val="fr-FR"/>
        </w:rPr>
        <w:t>’</w:t>
      </w:r>
      <w:r w:rsidR="00F3513A">
        <w:rPr>
          <w:b/>
          <w:lang w:val="fr-FR"/>
        </w:rPr>
        <w:t>annexe </w:t>
      </w:r>
      <w:r w:rsidRPr="001E1A55">
        <w:rPr>
          <w:b/>
          <w:lang w:val="fr-FR"/>
        </w:rPr>
        <w:t xml:space="preserve">1 du Règlement </w:t>
      </w:r>
      <w:r w:rsidR="00290212">
        <w:rPr>
          <w:rFonts w:eastAsia="MS Mincho"/>
          <w:b/>
          <w:szCs w:val="22"/>
          <w:lang w:val="fr-FR"/>
        </w:rPr>
        <w:t>n</w:t>
      </w:r>
      <w:r w:rsidR="00A32DC0" w:rsidRPr="00A32DC0">
        <w:rPr>
          <w:rFonts w:eastAsia="MS Mincho"/>
          <w:b/>
          <w:szCs w:val="22"/>
          <w:vertAlign w:val="superscript"/>
          <w:lang w:val="fr-FR"/>
        </w:rPr>
        <w:t>o</w:t>
      </w:r>
      <w:r w:rsidR="00A32DC0">
        <w:rPr>
          <w:b/>
          <w:lang w:val="fr-FR"/>
        </w:rPr>
        <w:t> </w:t>
      </w:r>
      <w:r w:rsidRPr="001E1A55">
        <w:rPr>
          <w:b/>
          <w:lang w:val="fr-FR"/>
        </w:rPr>
        <w:t>[RID]</w:t>
      </w:r>
      <w:r w:rsidRPr="001E1A55">
        <w:rPr>
          <w:lang w:val="fr-FR"/>
        </w:rPr>
        <w:t>, l</w:t>
      </w:r>
      <w:r w:rsidR="00A32DC0">
        <w:rPr>
          <w:lang w:val="fr-FR"/>
        </w:rPr>
        <w:t>’</w:t>
      </w:r>
      <w:r w:rsidRPr="001E1A55">
        <w:rPr>
          <w:lang w:val="fr-FR"/>
        </w:rPr>
        <w:t xml:space="preserve">alignement et les intensités lumineuses du faisceau de brouillard de la classe </w:t>
      </w:r>
      <w:r w:rsidR="00A32DC0" w:rsidRPr="00A32DC0">
        <w:t>“</w:t>
      </w:r>
      <w:r w:rsidRPr="001E1A55">
        <w:rPr>
          <w:lang w:val="fr-FR"/>
        </w:rPr>
        <w:t>F3</w:t>
      </w:r>
      <w:r w:rsidR="00A32DC0" w:rsidRPr="00A32DC0">
        <w:t>”</w:t>
      </w:r>
      <w:r w:rsidRPr="001E1A55">
        <w:rPr>
          <w:lang w:val="fr-FR"/>
        </w:rPr>
        <w:t xml:space="preserve"> peuvent être ajustés automatiquement en fonction des conditions ambiantes. Toute modification des intensités lumineuses ou de l</w:t>
      </w:r>
      <w:r w:rsidR="00A32DC0">
        <w:rPr>
          <w:lang w:val="fr-FR"/>
        </w:rPr>
        <w:t>’</w:t>
      </w:r>
      <w:r w:rsidRPr="001E1A55">
        <w:rPr>
          <w:lang w:val="fr-FR"/>
        </w:rPr>
        <w:t>alignement doit s</w:t>
      </w:r>
      <w:r w:rsidR="00A32DC0">
        <w:rPr>
          <w:lang w:val="fr-FR"/>
        </w:rPr>
        <w:t>’</w:t>
      </w:r>
      <w:r w:rsidRPr="001E1A55">
        <w:rPr>
          <w:lang w:val="fr-FR"/>
        </w:rPr>
        <w:t>effectuer automatiquement et sans aucune gêne, ni pour le conducteur ni pour les autres usagers de la route. »</w:t>
      </w:r>
    </w:p>
    <w:p w:rsidR="001E1A55" w:rsidRPr="001E1A55" w:rsidRDefault="001E1A55" w:rsidP="001E1A55">
      <w:pPr>
        <w:pStyle w:val="SingleTxtG"/>
        <w:keepNext/>
        <w:keepLines/>
        <w:rPr>
          <w:lang w:val="fr-FR"/>
        </w:rPr>
      </w:pPr>
      <w:r w:rsidRPr="001E1A55">
        <w:rPr>
          <w:i/>
          <w:lang w:val="fr-FR"/>
        </w:rPr>
        <w:t>Paragraphe 6.4</w:t>
      </w:r>
      <w:r w:rsidRPr="00A32DC0">
        <w:rPr>
          <w:lang w:val="fr-FR"/>
        </w:rPr>
        <w:t xml:space="preserve">,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6.4</w:t>
      </w:r>
      <w:r w:rsidRPr="001E1A55">
        <w:rPr>
          <w:lang w:val="fr-FR"/>
        </w:rPr>
        <w:tab/>
      </w:r>
      <w:r w:rsidR="00A32DC0">
        <w:rPr>
          <w:lang w:val="fr-FR"/>
        </w:rPr>
        <w:tab/>
      </w:r>
      <w:r w:rsidRPr="001E1A55">
        <w:rPr>
          <w:lang w:val="fr-FR"/>
        </w:rPr>
        <w:t xml:space="preserve">FEU DE MARCHE ARRIÈRE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23 </w:t>
      </w:r>
      <w:r w:rsidRPr="001E1A55">
        <w:rPr>
          <w:b/>
          <w:lang w:val="fr-FR"/>
        </w:rPr>
        <w:t>ou [LSD]</w:t>
      </w:r>
      <w:r w:rsidR="00012FD8">
        <w:rPr>
          <w:lang w:val="fr-FR"/>
        </w:rPr>
        <w:t>). »</w:t>
      </w:r>
    </w:p>
    <w:p w:rsidR="001E1A55" w:rsidRPr="001E1A55" w:rsidRDefault="001E1A55" w:rsidP="001E1A55">
      <w:pPr>
        <w:pStyle w:val="SingleTxtG"/>
        <w:keepNext/>
        <w:keepLines/>
        <w:rPr>
          <w:lang w:val="fr-FR"/>
        </w:rPr>
      </w:pPr>
      <w:r w:rsidRPr="001E1A55">
        <w:rPr>
          <w:i/>
          <w:lang w:val="fr-FR"/>
        </w:rPr>
        <w:t>Paragraphe 6.5</w:t>
      </w:r>
      <w:r w:rsidRPr="00012FD8">
        <w:t>,</w:t>
      </w:r>
      <w:r w:rsidRPr="001E1A55">
        <w:rPr>
          <w:i/>
          <w:lang w:val="fr-FR"/>
        </w:rPr>
        <w:t xml:space="preserve"> </w:t>
      </w:r>
      <w:r w:rsidR="00F3513A">
        <w:rPr>
          <w:lang w:val="fr-FR"/>
        </w:rPr>
        <w:t>modifier comme suit :</w:t>
      </w:r>
    </w:p>
    <w:p w:rsidR="001E1A55" w:rsidRPr="001E1A55" w:rsidRDefault="001E1A55" w:rsidP="00A32DC0">
      <w:pPr>
        <w:pStyle w:val="SingleTxtG"/>
        <w:ind w:left="2268" w:hanging="1134"/>
        <w:rPr>
          <w:lang w:val="fr-FR"/>
        </w:rPr>
      </w:pPr>
      <w:r w:rsidRPr="001E1A55">
        <w:rPr>
          <w:lang w:val="fr-FR"/>
        </w:rPr>
        <w:t>« 6.5</w:t>
      </w:r>
      <w:r w:rsidRPr="001E1A55">
        <w:rPr>
          <w:lang w:val="fr-FR"/>
        </w:rPr>
        <w:tab/>
      </w:r>
      <w:r w:rsidR="00A32DC0">
        <w:rPr>
          <w:lang w:val="fr-FR"/>
        </w:rPr>
        <w:tab/>
      </w:r>
      <w:r w:rsidRPr="001E1A55">
        <w:rPr>
          <w:lang w:val="fr-FR"/>
        </w:rPr>
        <w:t xml:space="preserve">FEU INDICATEUR DE DIRECTION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6 </w:t>
      </w:r>
      <w:r w:rsidRPr="001E1A55">
        <w:rPr>
          <w:b/>
          <w:lang w:val="fr-FR"/>
        </w:rPr>
        <w:t>ou [LSD]</w:t>
      </w:r>
      <w:r w:rsidRPr="001E1A55">
        <w:rPr>
          <w:lang w:val="fr-FR"/>
        </w:rPr>
        <w:t>)</w:t>
      </w:r>
      <w:r w:rsidR="00012FD8">
        <w:rPr>
          <w:lang w:val="fr-FR"/>
        </w:rPr>
        <w:t>. »</w:t>
      </w:r>
    </w:p>
    <w:p w:rsidR="001E1A55" w:rsidRPr="001E1A55" w:rsidRDefault="001E1A55" w:rsidP="001E1A55">
      <w:pPr>
        <w:pStyle w:val="SingleTxtG"/>
        <w:keepNext/>
        <w:keepLines/>
        <w:rPr>
          <w:lang w:val="fr-FR"/>
        </w:rPr>
      </w:pPr>
      <w:r w:rsidRPr="001E1A55">
        <w:rPr>
          <w:i/>
          <w:lang w:val="fr-FR"/>
        </w:rPr>
        <w:t>Paragraphe 6.5.8</w:t>
      </w:r>
      <w:r w:rsidRPr="00012FD8">
        <w:t>,</w:t>
      </w:r>
      <w:r w:rsidRPr="001E1A55">
        <w:rPr>
          <w:i/>
          <w:lang w:val="fr-FR"/>
        </w:rPr>
        <w:t xml:space="preserve"> </w:t>
      </w:r>
      <w:r w:rsidR="00A32DC0">
        <w:rPr>
          <w:lang w:val="fr-FR"/>
        </w:rPr>
        <w:t>modifier comme suit :</w:t>
      </w:r>
    </w:p>
    <w:p w:rsidR="001E1A55" w:rsidRPr="001E1A55" w:rsidRDefault="001E1A55" w:rsidP="00F3513A">
      <w:pPr>
        <w:pStyle w:val="SingleTxtG"/>
        <w:keepNext/>
        <w:keepLines/>
        <w:ind w:left="2268" w:hanging="1134"/>
        <w:rPr>
          <w:lang w:val="fr-FR"/>
        </w:rPr>
      </w:pPr>
      <w:r w:rsidRPr="001E1A55">
        <w:rPr>
          <w:lang w:val="fr-FR"/>
        </w:rPr>
        <w:t>« 6.5.8</w:t>
      </w:r>
      <w:r w:rsidRPr="001E1A55">
        <w:rPr>
          <w:lang w:val="fr-FR"/>
        </w:rPr>
        <w:tab/>
        <w:t>Témoin</w:t>
      </w:r>
    </w:p>
    <w:p w:rsidR="001E1A55" w:rsidRPr="001E1A55" w:rsidRDefault="001E1A55" w:rsidP="00A32DC0">
      <w:pPr>
        <w:pStyle w:val="SingleTxtG"/>
        <w:ind w:left="2268"/>
        <w:rPr>
          <w:bCs/>
          <w:lang w:val="fr-FR"/>
        </w:rPr>
      </w:pPr>
      <w:r w:rsidRPr="001E1A55">
        <w:rPr>
          <w:bCs/>
          <w:lang w:val="fr-FR"/>
        </w:rPr>
        <w:t>Témoin de fonctionnement obligatoire pour les feux indicate</w:t>
      </w:r>
      <w:r w:rsidR="00A32DC0">
        <w:rPr>
          <w:bCs/>
          <w:lang w:val="fr-FR"/>
        </w:rPr>
        <w:t>urs de direction des catégories </w:t>
      </w:r>
      <w:r w:rsidR="00167623">
        <w:rPr>
          <w:bCs/>
          <w:lang w:val="fr-FR"/>
        </w:rPr>
        <w:t>1, 1a, 1b, 2a et </w:t>
      </w:r>
      <w:r w:rsidRPr="001E1A55">
        <w:rPr>
          <w:bCs/>
          <w:lang w:val="fr-FR"/>
        </w:rPr>
        <w:t>2b. Il peut être optique ou acoustique, ou l</w:t>
      </w:r>
      <w:r w:rsidR="00A32DC0">
        <w:rPr>
          <w:bCs/>
          <w:lang w:val="fr-FR"/>
        </w:rPr>
        <w:t>’</w:t>
      </w:r>
      <w:r w:rsidRPr="001E1A55">
        <w:rPr>
          <w:bCs/>
          <w:lang w:val="fr-FR"/>
        </w:rPr>
        <w:t>un et l</w:t>
      </w:r>
      <w:r w:rsidR="00A32DC0">
        <w:rPr>
          <w:bCs/>
          <w:lang w:val="fr-FR"/>
        </w:rPr>
        <w:t>’</w:t>
      </w:r>
      <w:r w:rsidRPr="001E1A55">
        <w:rPr>
          <w:bCs/>
          <w:lang w:val="fr-FR"/>
        </w:rPr>
        <w:t>autre. S</w:t>
      </w:r>
      <w:r w:rsidR="00A32DC0">
        <w:rPr>
          <w:bCs/>
          <w:lang w:val="fr-FR"/>
        </w:rPr>
        <w:t>’</w:t>
      </w:r>
      <w:r w:rsidRPr="001E1A55">
        <w:rPr>
          <w:bCs/>
          <w:lang w:val="fr-FR"/>
        </w:rPr>
        <w:t>il est optique, il doit être clignotant et s</w:t>
      </w:r>
      <w:r w:rsidR="00A32DC0">
        <w:rPr>
          <w:bCs/>
          <w:lang w:val="fr-FR"/>
        </w:rPr>
        <w:t>’</w:t>
      </w:r>
      <w:r w:rsidRPr="001E1A55">
        <w:rPr>
          <w:bCs/>
          <w:lang w:val="fr-FR"/>
        </w:rPr>
        <w:t>éteindre ou rester allumé sans clignoter ou doit présenter un changement de fréquence marqué au moins en cas de fonctionnement défectueux de l</w:t>
      </w:r>
      <w:r w:rsidR="00A32DC0">
        <w:rPr>
          <w:bCs/>
          <w:lang w:val="fr-FR"/>
        </w:rPr>
        <w:t>’</w:t>
      </w:r>
      <w:r w:rsidRPr="001E1A55">
        <w:rPr>
          <w:bCs/>
          <w:lang w:val="fr-FR"/>
        </w:rPr>
        <w:t>un quelconque de ces feux indicateurs de direction. S</w:t>
      </w:r>
      <w:r w:rsidR="00A32DC0">
        <w:rPr>
          <w:bCs/>
          <w:lang w:val="fr-FR"/>
        </w:rPr>
        <w:t>’</w:t>
      </w:r>
      <w:r w:rsidRPr="001E1A55">
        <w:rPr>
          <w:bCs/>
          <w:lang w:val="fr-FR"/>
        </w:rPr>
        <w:t>il est exclusivement acoustique, il doit être nettement audible et présenter un changement de fréquence marqué au moins en cas de fonctionnement défectueux de l</w:t>
      </w:r>
      <w:r w:rsidR="00A32DC0">
        <w:rPr>
          <w:bCs/>
          <w:lang w:val="fr-FR"/>
        </w:rPr>
        <w:t>’</w:t>
      </w:r>
      <w:r w:rsidRPr="001E1A55">
        <w:rPr>
          <w:bCs/>
          <w:lang w:val="fr-FR"/>
        </w:rPr>
        <w:t>un quelconque de ces feux indicateurs de direction</w:t>
      </w:r>
      <w:r w:rsidR="007E3D85">
        <w:rPr>
          <w:bCs/>
          <w:lang w:val="fr-FR"/>
        </w:rPr>
        <w:t>.</w:t>
      </w:r>
    </w:p>
    <w:p w:rsidR="001E1A55" w:rsidRPr="001E1A55" w:rsidRDefault="001E1A55" w:rsidP="00A32DC0">
      <w:pPr>
        <w:pStyle w:val="SingleTxtG"/>
        <w:ind w:left="2268"/>
        <w:rPr>
          <w:lang w:val="fr-FR"/>
        </w:rPr>
      </w:pPr>
      <w:r w:rsidRPr="001E1A55">
        <w:rPr>
          <w:lang w:val="fr-FR"/>
        </w:rPr>
        <w:t>Il doit être activé par le signal pro</w:t>
      </w:r>
      <w:r w:rsidR="00A32DC0">
        <w:rPr>
          <w:lang w:val="fr-FR"/>
        </w:rPr>
        <w:t>duit conformément au paragraphe </w:t>
      </w:r>
      <w:r w:rsidRPr="001E1A55">
        <w:rPr>
          <w:lang w:val="fr-FR"/>
        </w:rPr>
        <w:t xml:space="preserve">6.4.2 du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6 </w:t>
      </w:r>
      <w:r w:rsidR="00AC0FFB">
        <w:rPr>
          <w:b/>
          <w:lang w:val="fr-FR"/>
        </w:rPr>
        <w:t>ou au paragraphe </w:t>
      </w:r>
      <w:r w:rsidRPr="001E1A55">
        <w:rPr>
          <w:b/>
          <w:lang w:val="fr-FR"/>
        </w:rPr>
        <w:t xml:space="preserve">5.6.3 du Règlement </w:t>
      </w:r>
      <w:r w:rsidR="00290212">
        <w:rPr>
          <w:rFonts w:eastAsia="MS Mincho"/>
          <w:b/>
          <w:szCs w:val="22"/>
          <w:lang w:val="fr-FR"/>
        </w:rPr>
        <w:t>n</w:t>
      </w:r>
      <w:r w:rsidR="00A32DC0" w:rsidRPr="00A32DC0">
        <w:rPr>
          <w:rFonts w:eastAsia="MS Mincho"/>
          <w:b/>
          <w:szCs w:val="22"/>
          <w:vertAlign w:val="superscript"/>
          <w:lang w:val="fr-FR"/>
        </w:rPr>
        <w:t>o</w:t>
      </w:r>
      <w:r w:rsidR="00A32DC0">
        <w:rPr>
          <w:b/>
          <w:lang w:val="fr-FR"/>
        </w:rPr>
        <w:t> </w:t>
      </w:r>
      <w:r w:rsidRPr="001E1A55">
        <w:rPr>
          <w:b/>
          <w:lang w:val="fr-FR"/>
        </w:rPr>
        <w:t>[LSD]</w:t>
      </w:r>
      <w:r w:rsidRPr="001E1A55">
        <w:rPr>
          <w:lang w:val="fr-FR"/>
        </w:rPr>
        <w:t xml:space="preserve"> ou d</w:t>
      </w:r>
      <w:r w:rsidR="00A32DC0">
        <w:rPr>
          <w:lang w:val="fr-FR"/>
        </w:rPr>
        <w:t>’</w:t>
      </w:r>
      <w:r w:rsidR="007E3D85">
        <w:rPr>
          <w:lang w:val="fr-FR"/>
        </w:rPr>
        <w:t>une autre manière qui convient</w:t>
      </w:r>
      <w:r w:rsidRPr="001E1A55">
        <w:rPr>
          <w:lang w:val="fr-FR"/>
        </w:rPr>
        <w:t xml:space="preserve"> 15/</w:t>
      </w:r>
      <w:r w:rsidR="007E3D85">
        <w:rPr>
          <w:lang w:val="fr-FR"/>
        </w:rPr>
        <w:t>.</w:t>
      </w:r>
    </w:p>
    <w:p w:rsidR="001E1A55" w:rsidRPr="001E1A55" w:rsidRDefault="001E1A55" w:rsidP="00A32DC0">
      <w:pPr>
        <w:pStyle w:val="SingleTxtG"/>
        <w:ind w:left="2268"/>
        <w:rPr>
          <w:lang w:val="fr-FR"/>
        </w:rPr>
      </w:pPr>
      <w:r w:rsidRPr="001E1A55">
        <w:rPr>
          <w:lang w:val="fr-FR"/>
        </w:rPr>
        <w:t>Lorsqu</w:t>
      </w:r>
      <w:r w:rsidR="00A32DC0">
        <w:rPr>
          <w:lang w:val="fr-FR"/>
        </w:rPr>
        <w:t>’</w:t>
      </w:r>
      <w:r w:rsidRPr="001E1A55">
        <w:rPr>
          <w:lang w:val="fr-FR"/>
        </w:rPr>
        <w:t>un véhicule à moteur est équipé pour trac</w:t>
      </w:r>
      <w:r w:rsidR="00AC0FFB">
        <w:rPr>
          <w:lang w:val="fr-FR"/>
        </w:rPr>
        <w:t xml:space="preserve">ter une remorque, il doit être </w:t>
      </w:r>
      <w:r w:rsidRPr="001E1A55">
        <w:rPr>
          <w:lang w:val="fr-FR"/>
        </w:rPr>
        <w:t>muni d</w:t>
      </w:r>
      <w:r w:rsidR="00A32DC0">
        <w:rPr>
          <w:lang w:val="fr-FR"/>
        </w:rPr>
        <w:t>’</w:t>
      </w:r>
      <w:r w:rsidRPr="001E1A55">
        <w:rPr>
          <w:lang w:val="fr-FR"/>
        </w:rPr>
        <w:t xml:space="preserve">un témoin lumineux spécial de fonctionnement pour les feux indicateurs de direction de la remorque, sauf si le témoin du véhicule tracteur permet </w:t>
      </w:r>
      <w:r w:rsidR="00A32DC0">
        <w:rPr>
          <w:lang w:val="fr-FR"/>
        </w:rPr>
        <w:t>de détecter la défaillance de l’</w:t>
      </w:r>
      <w:r w:rsidRPr="001E1A55">
        <w:rPr>
          <w:lang w:val="fr-FR"/>
        </w:rPr>
        <w:t>un quelconque des feux indicateurs de direction de l</w:t>
      </w:r>
      <w:r w:rsidR="00A32DC0">
        <w:rPr>
          <w:lang w:val="fr-FR"/>
        </w:rPr>
        <w:t>’</w:t>
      </w:r>
      <w:r w:rsidRPr="001E1A55">
        <w:rPr>
          <w:lang w:val="fr-FR"/>
        </w:rPr>
        <w:t>ensemble du véhicule ainsi formé.</w:t>
      </w:r>
    </w:p>
    <w:p w:rsidR="001E1A55" w:rsidRPr="001E1A55" w:rsidRDefault="001E1A55" w:rsidP="00A32DC0">
      <w:pPr>
        <w:pStyle w:val="SingleTxtG"/>
        <w:ind w:left="2268"/>
        <w:rPr>
          <w:lang w:val="fr-FR"/>
        </w:rPr>
      </w:pPr>
      <w:r w:rsidRPr="001E1A55">
        <w:rPr>
          <w:lang w:val="fr-FR"/>
        </w:rPr>
        <w:t>Pour la paire facultative de feux indicateurs de changement de direction des remorques, un témoin détecteur de défaillance n</w:t>
      </w:r>
      <w:r w:rsidR="00A32DC0">
        <w:rPr>
          <w:lang w:val="fr-FR"/>
        </w:rPr>
        <w:t>’</w:t>
      </w:r>
      <w:r w:rsidRPr="001E1A55">
        <w:rPr>
          <w:lang w:val="fr-FR"/>
        </w:rPr>
        <w:t>est pas nécessaire. »</w:t>
      </w:r>
    </w:p>
    <w:p w:rsidR="001E1A55" w:rsidRPr="001E1A55" w:rsidRDefault="001E1A55" w:rsidP="001E1A55">
      <w:pPr>
        <w:pStyle w:val="SingleTxtG"/>
        <w:keepNext/>
        <w:keepLines/>
        <w:rPr>
          <w:lang w:val="fr-FR"/>
        </w:rPr>
      </w:pPr>
      <w:r w:rsidRPr="001E1A55">
        <w:rPr>
          <w:i/>
          <w:lang w:val="fr-FR"/>
        </w:rPr>
        <w:t>Paragraphe 6.7</w:t>
      </w:r>
      <w:r w:rsidRPr="00012FD8">
        <w:t>,</w:t>
      </w:r>
      <w:r w:rsidRPr="001E1A55">
        <w:rPr>
          <w:i/>
          <w:lang w:val="fr-FR"/>
        </w:rPr>
        <w:t xml:space="preserve">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6.7</w:t>
      </w:r>
      <w:r w:rsidRPr="001E1A55">
        <w:rPr>
          <w:lang w:val="fr-FR"/>
        </w:rPr>
        <w:tab/>
        <w:t xml:space="preserve">FEU-STOP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7 </w:t>
      </w:r>
      <w:r w:rsidRPr="001E1A55">
        <w:rPr>
          <w:b/>
          <w:lang w:val="fr-FR"/>
        </w:rPr>
        <w:t>ou [LSD]</w:t>
      </w:r>
      <w:r w:rsidRPr="001E1A55">
        <w:rPr>
          <w:lang w:val="fr-FR"/>
        </w:rPr>
        <w:t>) ».</w:t>
      </w:r>
    </w:p>
    <w:p w:rsidR="001E1A55" w:rsidRPr="001E1A55" w:rsidRDefault="001E1A55" w:rsidP="001E1A55">
      <w:pPr>
        <w:pStyle w:val="SingleTxtG"/>
        <w:keepNext/>
        <w:keepLines/>
        <w:rPr>
          <w:lang w:val="fr-FR"/>
        </w:rPr>
      </w:pPr>
      <w:r w:rsidRPr="001E1A55">
        <w:rPr>
          <w:i/>
          <w:lang w:val="fr-FR"/>
        </w:rPr>
        <w:t>Paragraphe 6.8</w:t>
      </w:r>
      <w:r w:rsidRPr="00012FD8">
        <w:t>,</w:t>
      </w:r>
      <w:r w:rsidRPr="001E1A55">
        <w:rPr>
          <w:i/>
          <w:lang w:val="fr-FR"/>
        </w:rPr>
        <w:t xml:space="preserve"> </w:t>
      </w:r>
      <w:r w:rsidR="00AC0FFB">
        <w:rPr>
          <w:lang w:val="fr-FR"/>
        </w:rPr>
        <w:t>modifier comme suit :</w:t>
      </w:r>
    </w:p>
    <w:p w:rsidR="001E1A55" w:rsidRPr="001E1A55" w:rsidRDefault="001E1A55" w:rsidP="00A32DC0">
      <w:pPr>
        <w:pStyle w:val="SingleTxtG"/>
        <w:ind w:left="2268" w:hanging="1134"/>
        <w:rPr>
          <w:lang w:val="fr-FR"/>
        </w:rPr>
      </w:pPr>
      <w:r w:rsidRPr="001E1A55">
        <w:rPr>
          <w:lang w:val="fr-FR"/>
        </w:rPr>
        <w:t>« 6.8</w:t>
      </w:r>
      <w:r w:rsidRPr="001E1A55">
        <w:rPr>
          <w:lang w:val="fr-FR"/>
        </w:rPr>
        <w:tab/>
        <w:t>DISPOSITIF D</w:t>
      </w:r>
      <w:r w:rsidR="00A32DC0">
        <w:rPr>
          <w:lang w:val="fr-FR"/>
        </w:rPr>
        <w:t>’</w:t>
      </w:r>
      <w:r w:rsidRPr="001E1A55">
        <w:rPr>
          <w:lang w:val="fr-FR"/>
        </w:rPr>
        <w:t>ÉCLAIRAGE DE LA PLAQUE D</w:t>
      </w:r>
      <w:r w:rsidR="00A32DC0">
        <w:rPr>
          <w:lang w:val="fr-FR"/>
        </w:rPr>
        <w:t>’</w:t>
      </w:r>
      <w:r w:rsidRPr="001E1A55">
        <w:rPr>
          <w:lang w:val="fr-FR"/>
        </w:rPr>
        <w:t xml:space="preserve">IMMATRICULATION ARRIÈRE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4 </w:t>
      </w:r>
      <w:r w:rsidRPr="001E1A55">
        <w:rPr>
          <w:b/>
          <w:lang w:val="fr-FR"/>
        </w:rPr>
        <w:t>ou [LSD]</w:t>
      </w:r>
      <w:r w:rsidRPr="001E1A55">
        <w:rPr>
          <w:lang w:val="fr-FR"/>
        </w:rPr>
        <w:t>) ».</w:t>
      </w:r>
    </w:p>
    <w:p w:rsidR="001E1A55" w:rsidRPr="001E1A55" w:rsidRDefault="001E1A55" w:rsidP="001E1A55">
      <w:pPr>
        <w:pStyle w:val="SingleTxtG"/>
        <w:keepNext/>
        <w:keepLines/>
        <w:rPr>
          <w:lang w:val="fr-FR"/>
        </w:rPr>
      </w:pPr>
      <w:r w:rsidRPr="001E1A55">
        <w:rPr>
          <w:i/>
          <w:lang w:val="fr-FR"/>
        </w:rPr>
        <w:t>Paragraphe 6.9</w:t>
      </w:r>
      <w:r w:rsidRPr="00012FD8">
        <w:t>,</w:t>
      </w:r>
      <w:r w:rsidRPr="001E1A55">
        <w:rPr>
          <w:i/>
          <w:lang w:val="fr-FR"/>
        </w:rPr>
        <w:t xml:space="preserve"> </w:t>
      </w:r>
      <w:r w:rsidR="00AC0FFB">
        <w:rPr>
          <w:lang w:val="fr-FR"/>
        </w:rPr>
        <w:t>modifier comme suit :</w:t>
      </w:r>
    </w:p>
    <w:p w:rsidR="001E1A55" w:rsidRPr="001E1A55" w:rsidRDefault="001E1A55" w:rsidP="00A32DC0">
      <w:pPr>
        <w:pStyle w:val="SingleTxtG"/>
        <w:ind w:left="2268" w:hanging="1134"/>
        <w:rPr>
          <w:lang w:val="fr-FR"/>
        </w:rPr>
      </w:pPr>
      <w:r w:rsidRPr="001E1A55">
        <w:rPr>
          <w:lang w:val="fr-FR"/>
        </w:rPr>
        <w:t>« 6.9</w:t>
      </w:r>
      <w:r w:rsidRPr="001E1A55">
        <w:rPr>
          <w:lang w:val="fr-FR"/>
        </w:rPr>
        <w:tab/>
        <w:t xml:space="preserve">FEU DE POSITION AVANT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7 </w:t>
      </w:r>
      <w:r w:rsidRPr="001E1A55">
        <w:rPr>
          <w:b/>
          <w:lang w:val="fr-FR"/>
        </w:rPr>
        <w:t>ou [LSD</w:t>
      </w:r>
      <w:r w:rsidRPr="001E1A55">
        <w:rPr>
          <w:lang w:val="fr-FR"/>
        </w:rPr>
        <w:t>) ».</w:t>
      </w:r>
    </w:p>
    <w:p w:rsidR="001E1A55" w:rsidRPr="001E1A55" w:rsidRDefault="001E1A55" w:rsidP="001E1A55">
      <w:pPr>
        <w:pStyle w:val="SingleTxtG"/>
        <w:keepNext/>
        <w:keepLines/>
        <w:rPr>
          <w:lang w:val="fr-FR"/>
        </w:rPr>
      </w:pPr>
      <w:r w:rsidRPr="001E1A55">
        <w:rPr>
          <w:i/>
          <w:lang w:val="fr-FR"/>
        </w:rPr>
        <w:t>Paragraphe 6.10</w:t>
      </w:r>
      <w:r w:rsidRPr="00012FD8">
        <w:t>,</w:t>
      </w:r>
      <w:r w:rsidRPr="001E1A55">
        <w:rPr>
          <w:i/>
          <w:lang w:val="fr-FR"/>
        </w:rPr>
        <w:t xml:space="preserve"> </w:t>
      </w:r>
      <w:r w:rsidR="00AC0FFB">
        <w:rPr>
          <w:lang w:val="fr-FR"/>
        </w:rPr>
        <w:t>modifier comme suit :</w:t>
      </w:r>
    </w:p>
    <w:p w:rsidR="001E1A55" w:rsidRPr="001E1A55" w:rsidRDefault="001E1A55" w:rsidP="00A32DC0">
      <w:pPr>
        <w:pStyle w:val="SingleTxtG"/>
        <w:ind w:left="2268" w:hanging="1134"/>
        <w:rPr>
          <w:lang w:val="fr-FR"/>
        </w:rPr>
      </w:pPr>
      <w:r w:rsidRPr="001E1A55">
        <w:rPr>
          <w:lang w:val="fr-FR"/>
        </w:rPr>
        <w:t>« 6.10</w:t>
      </w:r>
      <w:r w:rsidRPr="001E1A55">
        <w:rPr>
          <w:lang w:val="fr-FR"/>
        </w:rPr>
        <w:tab/>
        <w:t xml:space="preserve">FEU DE POSITION ARRIÈRE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7 </w:t>
      </w:r>
      <w:r w:rsidRPr="001E1A55">
        <w:rPr>
          <w:b/>
          <w:lang w:val="fr-FR"/>
        </w:rPr>
        <w:t>ou [LSD]</w:t>
      </w:r>
      <w:r w:rsidRPr="001E1A55">
        <w:rPr>
          <w:lang w:val="fr-FR"/>
        </w:rPr>
        <w:t>) ».</w:t>
      </w:r>
    </w:p>
    <w:p w:rsidR="001E1A55" w:rsidRPr="001E1A55" w:rsidRDefault="001E1A55" w:rsidP="001E1A55">
      <w:pPr>
        <w:pStyle w:val="SingleTxtG"/>
        <w:keepNext/>
        <w:keepLines/>
        <w:rPr>
          <w:lang w:val="fr-FR"/>
        </w:rPr>
      </w:pPr>
      <w:r w:rsidRPr="001E1A55">
        <w:rPr>
          <w:i/>
          <w:lang w:val="fr-FR"/>
        </w:rPr>
        <w:t>Paragraphe 6.11</w:t>
      </w:r>
      <w:r w:rsidRPr="00012FD8">
        <w:t>,</w:t>
      </w:r>
      <w:r w:rsidRPr="001E1A55">
        <w:rPr>
          <w:i/>
          <w:lang w:val="fr-FR"/>
        </w:rPr>
        <w:t xml:space="preserve"> </w:t>
      </w:r>
      <w:r w:rsidR="00AC0FFB">
        <w:rPr>
          <w:lang w:val="fr-FR"/>
        </w:rPr>
        <w:t>modifier comme suit :</w:t>
      </w:r>
    </w:p>
    <w:p w:rsidR="001E1A55" w:rsidRPr="001E1A55" w:rsidRDefault="001E1A55" w:rsidP="00A32DC0">
      <w:pPr>
        <w:pStyle w:val="SingleTxtG"/>
        <w:ind w:left="2268" w:hanging="1134"/>
        <w:rPr>
          <w:lang w:val="fr-FR"/>
        </w:rPr>
      </w:pPr>
      <w:r w:rsidRPr="001E1A55">
        <w:rPr>
          <w:lang w:val="fr-FR"/>
        </w:rPr>
        <w:t>« 6.11</w:t>
      </w:r>
      <w:r w:rsidRPr="001E1A55">
        <w:rPr>
          <w:lang w:val="fr-FR"/>
        </w:rPr>
        <w:tab/>
        <w:t xml:space="preserve">FEU DE BROUILLARD ARRIÈRE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38 </w:t>
      </w:r>
      <w:r w:rsidRPr="001E1A55">
        <w:rPr>
          <w:b/>
          <w:lang w:val="fr-FR"/>
        </w:rPr>
        <w:t>ou [LSD]</w:t>
      </w:r>
      <w:r w:rsidRPr="001E1A55">
        <w:rPr>
          <w:lang w:val="fr-FR"/>
        </w:rPr>
        <w:t>) ».</w:t>
      </w:r>
    </w:p>
    <w:p w:rsidR="001E1A55" w:rsidRPr="001E1A55" w:rsidRDefault="001E1A55" w:rsidP="001E1A55">
      <w:pPr>
        <w:pStyle w:val="SingleTxtG"/>
        <w:keepNext/>
        <w:keepLines/>
        <w:rPr>
          <w:lang w:val="fr-FR"/>
        </w:rPr>
      </w:pPr>
      <w:r w:rsidRPr="001E1A55">
        <w:rPr>
          <w:i/>
          <w:lang w:val="fr-FR"/>
        </w:rPr>
        <w:t>Paragraphe 6.12</w:t>
      </w:r>
      <w:r w:rsidRPr="00012FD8">
        <w:t>,</w:t>
      </w:r>
      <w:r w:rsidRPr="001E1A55">
        <w:rPr>
          <w:i/>
          <w:lang w:val="fr-FR"/>
        </w:rPr>
        <w:t xml:space="preserve">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6.12</w:t>
      </w:r>
      <w:r w:rsidRPr="001E1A55">
        <w:rPr>
          <w:lang w:val="fr-FR"/>
        </w:rPr>
        <w:tab/>
        <w:t xml:space="preserve">FEU DE STATIONNEMENT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77 </w:t>
      </w:r>
      <w:r w:rsidRPr="00F14854">
        <w:rPr>
          <w:strike/>
          <w:lang w:val="fr-FR"/>
        </w:rPr>
        <w:t>ou</w:t>
      </w:r>
      <w:r w:rsidRPr="001E1A55">
        <w:rPr>
          <w:b/>
          <w:lang w:val="fr-FR"/>
        </w:rPr>
        <w:t>,</w:t>
      </w:r>
      <w:r w:rsidRPr="001E1A55">
        <w:rPr>
          <w:lang w:val="fr-FR"/>
        </w:rPr>
        <w:t xml:space="preserve"> 7 </w:t>
      </w:r>
      <w:r w:rsidRPr="001E1A55">
        <w:rPr>
          <w:b/>
          <w:lang w:val="fr-FR"/>
        </w:rPr>
        <w:t>ou [LSD]</w:t>
      </w:r>
      <w:r w:rsidRPr="001E1A55">
        <w:rPr>
          <w:lang w:val="fr-FR"/>
        </w:rPr>
        <w:t>) ».</w:t>
      </w:r>
    </w:p>
    <w:p w:rsidR="001E1A55" w:rsidRPr="001E1A55" w:rsidRDefault="001E1A55" w:rsidP="001E1A55">
      <w:pPr>
        <w:pStyle w:val="SingleTxtG"/>
        <w:keepNext/>
        <w:keepLines/>
        <w:rPr>
          <w:lang w:val="fr-FR"/>
        </w:rPr>
      </w:pPr>
      <w:r w:rsidRPr="001E1A55">
        <w:rPr>
          <w:i/>
          <w:lang w:val="fr-FR"/>
        </w:rPr>
        <w:t>Paragraphe 6.13</w:t>
      </w:r>
      <w:r w:rsidRPr="00012FD8">
        <w:t>,</w:t>
      </w:r>
      <w:r w:rsidRPr="001E1A55">
        <w:rPr>
          <w:i/>
          <w:lang w:val="fr-FR"/>
        </w:rPr>
        <w:t xml:space="preserve">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6.13</w:t>
      </w:r>
      <w:r w:rsidRPr="001E1A55">
        <w:rPr>
          <w:lang w:val="fr-FR"/>
        </w:rPr>
        <w:tab/>
        <w:t>FEU D</w:t>
      </w:r>
      <w:r w:rsidR="00A32DC0">
        <w:rPr>
          <w:lang w:val="fr-FR"/>
        </w:rPr>
        <w:t>’</w:t>
      </w:r>
      <w:r w:rsidRPr="001E1A55">
        <w:rPr>
          <w:lang w:val="fr-FR"/>
        </w:rPr>
        <w:t xml:space="preserve">ENCOMBREMENT (feu de gabarit)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7 </w:t>
      </w:r>
      <w:r w:rsidRPr="001E1A55">
        <w:rPr>
          <w:b/>
          <w:lang w:val="fr-FR"/>
        </w:rPr>
        <w:t>ou [LSD]</w:t>
      </w:r>
      <w:r w:rsidRPr="001E1A55">
        <w:rPr>
          <w:lang w:val="fr-FR"/>
        </w:rPr>
        <w:t>) ».</w:t>
      </w:r>
    </w:p>
    <w:p w:rsidR="001E1A55" w:rsidRPr="001E1A55" w:rsidRDefault="001E1A55" w:rsidP="001E1A55">
      <w:pPr>
        <w:pStyle w:val="SingleTxtG"/>
        <w:keepNext/>
        <w:keepLines/>
        <w:rPr>
          <w:lang w:val="fr-FR"/>
        </w:rPr>
      </w:pPr>
      <w:r w:rsidRPr="001E1A55">
        <w:rPr>
          <w:i/>
          <w:lang w:val="fr-FR"/>
        </w:rPr>
        <w:t>Paragraphe 6.14</w:t>
      </w:r>
      <w:r w:rsidRPr="00012FD8">
        <w:t>,</w:t>
      </w:r>
      <w:r w:rsidRPr="001E1A55">
        <w:rPr>
          <w:i/>
          <w:lang w:val="fr-FR"/>
        </w:rPr>
        <w:t xml:space="preserve">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6.14</w:t>
      </w:r>
      <w:r w:rsidRPr="001E1A55">
        <w:rPr>
          <w:lang w:val="fr-FR"/>
        </w:rPr>
        <w:tab/>
        <w:t xml:space="preserve">CATADIOPTRE ARRIÈRE, NON TRIANGULAIRE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3</w:t>
      </w:r>
      <w:r w:rsidR="00167623">
        <w:rPr>
          <w:b/>
          <w:lang w:val="fr-FR"/>
        </w:rPr>
        <w:t xml:space="preserve"> ou </w:t>
      </w:r>
      <w:r w:rsidRPr="001E1A55">
        <w:rPr>
          <w:b/>
          <w:lang w:val="fr-FR"/>
        </w:rPr>
        <w:t>[RRD]</w:t>
      </w:r>
      <w:r w:rsidRPr="001E1A55">
        <w:rPr>
          <w:lang w:val="fr-FR"/>
        </w:rPr>
        <w:t>) ».</w:t>
      </w:r>
    </w:p>
    <w:p w:rsidR="001E1A55" w:rsidRPr="001E1A55" w:rsidRDefault="001E1A55" w:rsidP="001E1A55">
      <w:pPr>
        <w:pStyle w:val="SingleTxtG"/>
        <w:keepNext/>
        <w:keepLines/>
        <w:rPr>
          <w:lang w:val="fr-FR"/>
        </w:rPr>
      </w:pPr>
      <w:r w:rsidRPr="001E1A55">
        <w:rPr>
          <w:i/>
          <w:lang w:val="fr-FR"/>
        </w:rPr>
        <w:t>Paragraphe 6.14.2</w:t>
      </w:r>
      <w:r w:rsidRPr="00012FD8">
        <w:t>,</w:t>
      </w:r>
      <w:r w:rsidRPr="001E1A55">
        <w:rPr>
          <w:i/>
          <w:lang w:val="fr-FR"/>
        </w:rPr>
        <w:t xml:space="preserve"> </w:t>
      </w:r>
      <w:r w:rsidR="00A32DC0">
        <w:rPr>
          <w:lang w:val="fr-FR"/>
        </w:rPr>
        <w:t>modifier comme suit :</w:t>
      </w:r>
    </w:p>
    <w:p w:rsidR="001E1A55" w:rsidRPr="001E1A55" w:rsidRDefault="001E1A55" w:rsidP="00AC0FFB">
      <w:pPr>
        <w:pStyle w:val="SingleTxtG"/>
        <w:keepNext/>
        <w:keepLines/>
        <w:ind w:left="2268" w:hanging="1134"/>
        <w:rPr>
          <w:lang w:val="fr-FR"/>
        </w:rPr>
      </w:pPr>
      <w:r w:rsidRPr="001E1A55">
        <w:rPr>
          <w:lang w:val="fr-FR"/>
        </w:rPr>
        <w:t>« 6.14.2</w:t>
      </w:r>
      <w:r w:rsidRPr="001E1A55">
        <w:rPr>
          <w:lang w:val="fr-FR"/>
        </w:rPr>
        <w:tab/>
        <w:t>Nombre</w:t>
      </w:r>
    </w:p>
    <w:p w:rsidR="001E1A55" w:rsidRPr="001E1A55" w:rsidRDefault="001E1A55" w:rsidP="00A32DC0">
      <w:pPr>
        <w:pStyle w:val="SingleTxtG"/>
        <w:ind w:left="2268"/>
        <w:rPr>
          <w:lang w:val="fr-FR"/>
        </w:rPr>
      </w:pPr>
      <w:r w:rsidRPr="001E1A55">
        <w:rPr>
          <w:lang w:val="fr-FR"/>
        </w:rPr>
        <w:t xml:space="preserve">Deux, dont les performances doivent être conformes aux prescriptions concernant les </w:t>
      </w:r>
      <w:r w:rsidR="00A32DC0">
        <w:rPr>
          <w:lang w:val="fr-FR"/>
        </w:rPr>
        <w:t>catadioptres de la classe </w:t>
      </w:r>
      <w:r w:rsidRPr="001E1A55">
        <w:rPr>
          <w:lang w:val="fr-FR"/>
        </w:rPr>
        <w:t xml:space="preserve">IA ou IB, énoncées dans le Règlement </w:t>
      </w:r>
      <w:r w:rsidR="00290212">
        <w:rPr>
          <w:rFonts w:eastAsia="MS Mincho"/>
          <w:szCs w:val="22"/>
          <w:lang w:val="fr-FR"/>
        </w:rPr>
        <w:t>n</w:t>
      </w:r>
      <w:r w:rsidR="00167623" w:rsidRPr="00167623">
        <w:rPr>
          <w:rFonts w:eastAsia="MS Mincho"/>
          <w:szCs w:val="22"/>
          <w:vertAlign w:val="superscript"/>
          <w:lang w:val="fr-FR"/>
        </w:rPr>
        <w:t>o</w:t>
      </w:r>
      <w:r w:rsidRPr="001E1A55">
        <w:rPr>
          <w:lang w:val="fr-FR"/>
        </w:rPr>
        <w:t> 3</w:t>
      </w:r>
      <w:r w:rsidRPr="001E1A55">
        <w:t xml:space="preserve"> </w:t>
      </w:r>
      <w:r w:rsidRPr="001E1A55">
        <w:rPr>
          <w:b/>
          <w:lang w:val="fr-FR"/>
        </w:rPr>
        <w:t>ou [RRD]</w:t>
      </w:r>
      <w:r w:rsidR="00A32DC0">
        <w:rPr>
          <w:lang w:val="fr-FR"/>
        </w:rPr>
        <w:t>. Les </w:t>
      </w:r>
      <w:r w:rsidRPr="001E1A55">
        <w:rPr>
          <w:lang w:val="fr-FR"/>
        </w:rPr>
        <w:t>dispositifs et matériaux rétroréfléchissants supplémentaires (y compris deux catadioptres</w:t>
      </w:r>
      <w:r w:rsidR="00167623">
        <w:rPr>
          <w:lang w:val="fr-FR"/>
        </w:rPr>
        <w:t xml:space="preserve"> ne répondant pas au paragraphe </w:t>
      </w:r>
      <w:r w:rsidRPr="001E1A55">
        <w:rPr>
          <w:lang w:val="fr-FR"/>
        </w:rPr>
        <w:t>6.14.4 ci-dessous) sont autorisés à condition qu</w:t>
      </w:r>
      <w:r w:rsidR="00A32DC0">
        <w:rPr>
          <w:lang w:val="fr-FR"/>
        </w:rPr>
        <w:t>’</w:t>
      </w:r>
      <w:r w:rsidRPr="001E1A55">
        <w:rPr>
          <w:lang w:val="fr-FR"/>
        </w:rPr>
        <w:t>ils ne nuisent pas à l</w:t>
      </w:r>
      <w:r w:rsidR="00A32DC0">
        <w:rPr>
          <w:lang w:val="fr-FR"/>
        </w:rPr>
        <w:t>’</w:t>
      </w:r>
      <w:r w:rsidRPr="001E1A55">
        <w:rPr>
          <w:lang w:val="fr-FR"/>
        </w:rPr>
        <w:t>efficacité des dispositifs obligatoires d</w:t>
      </w:r>
      <w:r w:rsidR="00A32DC0">
        <w:rPr>
          <w:lang w:val="fr-FR"/>
        </w:rPr>
        <w:t>’</w:t>
      </w:r>
      <w:r w:rsidRPr="001E1A55">
        <w:rPr>
          <w:lang w:val="fr-FR"/>
        </w:rPr>
        <w:t>éclairage et de signalisation lumineuse. »</w:t>
      </w:r>
    </w:p>
    <w:p w:rsidR="001E1A55" w:rsidRPr="001E1A55" w:rsidRDefault="001E1A55" w:rsidP="001E1A55">
      <w:pPr>
        <w:pStyle w:val="SingleTxtG"/>
        <w:keepNext/>
        <w:keepLines/>
        <w:rPr>
          <w:lang w:val="fr-FR"/>
        </w:rPr>
      </w:pPr>
      <w:r w:rsidRPr="001E1A55">
        <w:rPr>
          <w:i/>
          <w:lang w:val="fr-FR"/>
        </w:rPr>
        <w:t>Paragraphe 6.15</w:t>
      </w:r>
      <w:r w:rsidRPr="00A32DC0">
        <w:rPr>
          <w:lang w:val="fr-FR"/>
        </w:rPr>
        <w:t>,</w:t>
      </w:r>
      <w:r w:rsidRPr="001E1A55">
        <w:rPr>
          <w:i/>
          <w:lang w:val="fr-FR"/>
        </w:rPr>
        <w:t xml:space="preserve"> </w:t>
      </w:r>
      <w:r w:rsidR="00A32DC0">
        <w:rPr>
          <w:lang w:val="fr-FR"/>
        </w:rPr>
        <w:t>modifier comme suit :</w:t>
      </w:r>
    </w:p>
    <w:p w:rsidR="001E1A55" w:rsidRPr="001E1A55" w:rsidRDefault="001E1A55" w:rsidP="00F14854">
      <w:pPr>
        <w:pStyle w:val="SingleTxtG"/>
        <w:ind w:left="2268" w:hanging="1134"/>
        <w:rPr>
          <w:lang w:val="fr-FR"/>
        </w:rPr>
      </w:pPr>
      <w:r w:rsidRPr="001E1A55">
        <w:rPr>
          <w:lang w:val="fr-FR"/>
        </w:rPr>
        <w:t>« 6.15</w:t>
      </w:r>
      <w:r w:rsidRPr="001E1A55">
        <w:rPr>
          <w:lang w:val="fr-FR"/>
        </w:rPr>
        <w:tab/>
      </w:r>
      <w:r w:rsidR="00F14854">
        <w:rPr>
          <w:lang w:val="fr-FR"/>
        </w:rPr>
        <w:tab/>
      </w:r>
      <w:r w:rsidRPr="001E1A55">
        <w:rPr>
          <w:lang w:val="fr-FR"/>
        </w:rPr>
        <w:t xml:space="preserve">CATADIOPTRE ARRIÈRE, TRIANGULAIRE (Règlement </w:t>
      </w:r>
      <w:r w:rsidR="00290212" w:rsidRPr="00290212">
        <w:rPr>
          <w:rFonts w:eastAsia="MS Mincho"/>
          <w:szCs w:val="22"/>
          <w:lang w:val="fr-FR"/>
        </w:rPr>
        <w:t>n</w:t>
      </w:r>
      <w:r w:rsidR="00290212" w:rsidRPr="00290212">
        <w:rPr>
          <w:rFonts w:eastAsia="MS Mincho"/>
          <w:szCs w:val="22"/>
          <w:vertAlign w:val="superscript"/>
          <w:lang w:val="fr-FR"/>
        </w:rPr>
        <w:t>o</w:t>
      </w:r>
      <w:r w:rsidR="00290212">
        <w:rPr>
          <w:lang w:val="fr-FR"/>
        </w:rPr>
        <w:t> </w:t>
      </w:r>
      <w:r w:rsidRPr="001E1A55">
        <w:rPr>
          <w:lang w:val="fr-FR"/>
        </w:rPr>
        <w:t xml:space="preserve">3 </w:t>
      </w:r>
      <w:r w:rsidRPr="001E1A55">
        <w:rPr>
          <w:b/>
          <w:lang w:val="fr-FR"/>
        </w:rPr>
        <w:t>ou [RRD]</w:t>
      </w:r>
      <w:r w:rsidRPr="001E1A55">
        <w:rPr>
          <w:lang w:val="fr-FR"/>
        </w:rPr>
        <w:t>) ».</w:t>
      </w:r>
    </w:p>
    <w:p w:rsidR="001E1A55" w:rsidRPr="001E1A55" w:rsidRDefault="001E1A55" w:rsidP="001E1A55">
      <w:pPr>
        <w:pStyle w:val="SingleTxtG"/>
        <w:keepNext/>
        <w:keepLines/>
        <w:rPr>
          <w:lang w:val="fr-FR"/>
        </w:rPr>
      </w:pPr>
      <w:r w:rsidRPr="001E1A55">
        <w:rPr>
          <w:i/>
          <w:lang w:val="fr-FR"/>
        </w:rPr>
        <w:t>Paragraphe 6.15.2</w:t>
      </w:r>
      <w:r w:rsidRPr="00012FD8">
        <w:t>,</w:t>
      </w:r>
      <w:r w:rsidRPr="001E1A55">
        <w:rPr>
          <w:i/>
          <w:lang w:val="fr-FR"/>
        </w:rPr>
        <w:t xml:space="preserve"> </w:t>
      </w:r>
      <w:r w:rsidR="00A32DC0">
        <w:rPr>
          <w:lang w:val="fr-FR"/>
        </w:rPr>
        <w:t>modifier comme suit :</w:t>
      </w:r>
    </w:p>
    <w:p w:rsidR="001E1A55" w:rsidRPr="001E1A55" w:rsidRDefault="001E1A55" w:rsidP="00AC0FFB">
      <w:pPr>
        <w:pStyle w:val="SingleTxtG"/>
        <w:keepNext/>
        <w:keepLines/>
        <w:ind w:left="2268" w:hanging="1134"/>
        <w:rPr>
          <w:lang w:val="fr-FR"/>
        </w:rPr>
      </w:pPr>
      <w:r w:rsidRPr="001E1A55">
        <w:rPr>
          <w:lang w:val="fr-FR"/>
        </w:rPr>
        <w:t>« 6.15.2</w:t>
      </w:r>
      <w:r w:rsidRPr="001E1A55">
        <w:rPr>
          <w:lang w:val="fr-FR"/>
        </w:rPr>
        <w:tab/>
        <w:t>Nombre</w:t>
      </w:r>
    </w:p>
    <w:p w:rsidR="001E1A55" w:rsidRPr="001E1A55" w:rsidRDefault="001E1A55" w:rsidP="00A32DC0">
      <w:pPr>
        <w:pStyle w:val="SingleTxtG"/>
        <w:ind w:left="2268"/>
        <w:rPr>
          <w:lang w:val="fr-FR"/>
        </w:rPr>
      </w:pPr>
      <w:r w:rsidRPr="001E1A55">
        <w:rPr>
          <w:lang w:val="fr-FR"/>
        </w:rPr>
        <w:t>Deux, dont les performances doivent être conformes aux prescriptions concernan</w:t>
      </w:r>
      <w:r w:rsidR="00AC0FFB">
        <w:rPr>
          <w:lang w:val="fr-FR"/>
        </w:rPr>
        <w:t>t les catadioptres de la classe </w:t>
      </w:r>
      <w:r w:rsidRPr="001E1A55">
        <w:rPr>
          <w:lang w:val="fr-FR"/>
        </w:rPr>
        <w:t xml:space="preserve">IIIA ou IIIB, énoncées dans le Règlement </w:t>
      </w:r>
      <w:r w:rsidR="00290212">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3</w:t>
      </w:r>
      <w:r w:rsidRPr="001E1A55">
        <w:t xml:space="preserve"> </w:t>
      </w:r>
      <w:r w:rsidRPr="001E1A55">
        <w:rPr>
          <w:b/>
          <w:lang w:val="fr-FR"/>
        </w:rPr>
        <w:t>ou [RRD]</w:t>
      </w:r>
      <w:r w:rsidR="00A32DC0">
        <w:rPr>
          <w:lang w:val="fr-FR"/>
        </w:rPr>
        <w:t>.</w:t>
      </w:r>
    </w:p>
    <w:p w:rsidR="001E1A55" w:rsidRPr="001E1A55" w:rsidRDefault="001E1A55" w:rsidP="00A32DC0">
      <w:pPr>
        <w:pStyle w:val="SingleTxtG"/>
        <w:ind w:left="2268"/>
        <w:rPr>
          <w:lang w:val="fr-FR"/>
        </w:rPr>
      </w:pPr>
      <w:r w:rsidRPr="001E1A55">
        <w:rPr>
          <w:lang w:val="fr-FR"/>
        </w:rPr>
        <w:t>Les dispositifs et matériaux rétroréfléchissants supplémentaires (y compris deux catadioptres ne répondant pas au paragraphe 6.15.4 ci-dessous) sont autorisés à condition qu</w:t>
      </w:r>
      <w:r w:rsidR="00A32DC0">
        <w:rPr>
          <w:lang w:val="fr-FR"/>
        </w:rPr>
        <w:t>’</w:t>
      </w:r>
      <w:r w:rsidRPr="001E1A55">
        <w:rPr>
          <w:lang w:val="fr-FR"/>
        </w:rPr>
        <w:t>ils ne nuisent pas à l</w:t>
      </w:r>
      <w:r w:rsidR="00A32DC0">
        <w:rPr>
          <w:lang w:val="fr-FR"/>
        </w:rPr>
        <w:t>’</w:t>
      </w:r>
      <w:r w:rsidRPr="001E1A55">
        <w:rPr>
          <w:lang w:val="fr-FR"/>
        </w:rPr>
        <w:t>efficacité des dispositifs obligatoires d</w:t>
      </w:r>
      <w:r w:rsidR="00A32DC0">
        <w:rPr>
          <w:lang w:val="fr-FR"/>
        </w:rPr>
        <w:t>’</w:t>
      </w:r>
      <w:r w:rsidRPr="001E1A55">
        <w:rPr>
          <w:lang w:val="fr-FR"/>
        </w:rPr>
        <w:t>éclairage et de signalisation lumineuse. »</w:t>
      </w:r>
    </w:p>
    <w:p w:rsidR="001E1A55" w:rsidRPr="001E1A55" w:rsidRDefault="001E1A55" w:rsidP="001E1A55">
      <w:pPr>
        <w:pStyle w:val="SingleTxtG"/>
        <w:keepNext/>
        <w:keepLines/>
        <w:rPr>
          <w:lang w:val="fr-FR"/>
        </w:rPr>
      </w:pPr>
      <w:r w:rsidRPr="001E1A55">
        <w:rPr>
          <w:i/>
          <w:lang w:val="fr-FR"/>
        </w:rPr>
        <w:t>Paragraphe 6.16</w:t>
      </w:r>
      <w:r w:rsidRPr="00A32DC0">
        <w:rPr>
          <w:lang w:val="fr-FR"/>
        </w:rPr>
        <w:t>,</w:t>
      </w:r>
      <w:r w:rsidRPr="001E1A55">
        <w:rPr>
          <w:i/>
          <w:lang w:val="fr-FR"/>
        </w:rPr>
        <w:t xml:space="preserve"> </w:t>
      </w:r>
      <w:r w:rsidR="00A32DC0">
        <w:rPr>
          <w:lang w:val="fr-FR"/>
        </w:rPr>
        <w:t>modifier comme suit :</w:t>
      </w:r>
    </w:p>
    <w:p w:rsidR="001E1A55" w:rsidRPr="001E1A55" w:rsidRDefault="001E1A55" w:rsidP="00167623">
      <w:pPr>
        <w:pStyle w:val="SingleTxtG"/>
        <w:ind w:left="2268" w:hanging="1134"/>
        <w:rPr>
          <w:lang w:val="fr-FR"/>
        </w:rPr>
      </w:pPr>
      <w:r w:rsidRPr="001E1A55">
        <w:rPr>
          <w:lang w:val="fr-FR"/>
        </w:rPr>
        <w:t>« 6.16</w:t>
      </w:r>
      <w:r w:rsidRPr="001E1A55">
        <w:rPr>
          <w:lang w:val="fr-FR"/>
        </w:rPr>
        <w:tab/>
      </w:r>
      <w:r w:rsidR="00167623">
        <w:rPr>
          <w:lang w:val="fr-FR"/>
        </w:rPr>
        <w:tab/>
      </w:r>
      <w:r w:rsidRPr="001E1A55">
        <w:rPr>
          <w:lang w:val="fr-FR"/>
        </w:rPr>
        <w:t xml:space="preserve">CATADIOPTRE AVANT, NON TRIANGULAIRE (Règlement </w:t>
      </w:r>
      <w:r w:rsidR="00290212">
        <w:rPr>
          <w:rFonts w:eastAsia="MS Mincho"/>
          <w:szCs w:val="22"/>
          <w:lang w:val="fr-FR"/>
        </w:rPr>
        <w:t>n</w:t>
      </w:r>
      <w:r w:rsidR="00167623" w:rsidRPr="00167623">
        <w:rPr>
          <w:rFonts w:eastAsia="MS Mincho"/>
          <w:szCs w:val="22"/>
          <w:vertAlign w:val="superscript"/>
          <w:lang w:val="fr-FR"/>
        </w:rPr>
        <w:t>o</w:t>
      </w:r>
      <w:r w:rsidR="00167623">
        <w:rPr>
          <w:lang w:val="fr-FR"/>
        </w:rPr>
        <w:t> </w:t>
      </w:r>
      <w:r w:rsidRPr="001E1A55">
        <w:rPr>
          <w:lang w:val="fr-FR"/>
        </w:rPr>
        <w:t xml:space="preserve">3 </w:t>
      </w:r>
      <w:r w:rsidRPr="001E1A55">
        <w:rPr>
          <w:b/>
          <w:lang w:val="fr-FR"/>
        </w:rPr>
        <w:t>ou [RRD]</w:t>
      </w:r>
      <w:r w:rsidR="00290212">
        <w:rPr>
          <w:lang w:val="fr-FR"/>
        </w:rPr>
        <w:t>). »</w:t>
      </w:r>
    </w:p>
    <w:p w:rsidR="001E1A55" w:rsidRPr="001E1A55" w:rsidRDefault="001E1A55" w:rsidP="001E1A55">
      <w:pPr>
        <w:pStyle w:val="SingleTxtG"/>
        <w:keepNext/>
        <w:keepLines/>
        <w:rPr>
          <w:lang w:val="fr-FR"/>
        </w:rPr>
      </w:pPr>
      <w:r w:rsidRPr="001E1A55">
        <w:rPr>
          <w:i/>
          <w:lang w:val="fr-FR"/>
        </w:rPr>
        <w:t>Paragraphe 6.16.2</w:t>
      </w:r>
      <w:r w:rsidRPr="00A32DC0">
        <w:rPr>
          <w:lang w:val="fr-FR"/>
        </w:rPr>
        <w:t>,</w:t>
      </w:r>
      <w:r w:rsidRPr="001E1A55">
        <w:rPr>
          <w:i/>
          <w:lang w:val="fr-FR"/>
        </w:rPr>
        <w:t xml:space="preserve"> </w:t>
      </w:r>
      <w:r w:rsidR="00A32DC0">
        <w:rPr>
          <w:lang w:val="fr-FR"/>
        </w:rPr>
        <w:t>modifier comme suit :</w:t>
      </w:r>
    </w:p>
    <w:p w:rsidR="001E1A55" w:rsidRPr="001E1A55" w:rsidRDefault="001E1A55" w:rsidP="00AC0FFB">
      <w:pPr>
        <w:pStyle w:val="SingleTxtG"/>
        <w:keepNext/>
        <w:keepLines/>
        <w:ind w:left="2268" w:hanging="1134"/>
        <w:rPr>
          <w:lang w:val="fr-FR"/>
        </w:rPr>
      </w:pPr>
      <w:r w:rsidRPr="001E1A55">
        <w:rPr>
          <w:lang w:val="fr-FR"/>
        </w:rPr>
        <w:t>« 6.16.2</w:t>
      </w:r>
      <w:r w:rsidRPr="001E1A55">
        <w:rPr>
          <w:lang w:val="fr-FR"/>
        </w:rPr>
        <w:tab/>
        <w:t>Nombre</w:t>
      </w:r>
    </w:p>
    <w:p w:rsidR="001E1A55" w:rsidRPr="001E1A55" w:rsidRDefault="001E1A55" w:rsidP="00AC0FFB">
      <w:pPr>
        <w:pStyle w:val="SingleTxtG"/>
        <w:ind w:left="2268"/>
        <w:rPr>
          <w:lang w:val="fr-FR"/>
        </w:rPr>
      </w:pPr>
      <w:r w:rsidRPr="001E1A55">
        <w:rPr>
          <w:lang w:val="fr-FR"/>
        </w:rPr>
        <w:t>Deux, dont les performances doivent être conformes aux prescriptions concernant les catadiop</w:t>
      </w:r>
      <w:r w:rsidR="00167623">
        <w:rPr>
          <w:lang w:val="fr-FR"/>
        </w:rPr>
        <w:t>tres de la classe </w:t>
      </w:r>
      <w:r w:rsidRPr="001E1A55">
        <w:rPr>
          <w:lang w:val="fr-FR"/>
        </w:rPr>
        <w:t xml:space="preserve">IA ou IB, énoncées dans le Règlement </w:t>
      </w:r>
      <w:r w:rsidR="007E1F06">
        <w:rPr>
          <w:rFonts w:eastAsia="MS Mincho"/>
          <w:szCs w:val="22"/>
          <w:lang w:val="fr-FR"/>
        </w:rPr>
        <w:t>n</w:t>
      </w:r>
      <w:r w:rsidR="00AC0FFB" w:rsidRPr="00AC0FFB">
        <w:rPr>
          <w:rFonts w:eastAsia="MS Mincho"/>
          <w:szCs w:val="22"/>
          <w:vertAlign w:val="superscript"/>
          <w:lang w:val="fr-FR"/>
        </w:rPr>
        <w:t>o</w:t>
      </w:r>
      <w:r w:rsidRPr="001E1A55">
        <w:rPr>
          <w:lang w:val="fr-FR"/>
        </w:rPr>
        <w:t> 3</w:t>
      </w:r>
      <w:r w:rsidRPr="001E1A55">
        <w:rPr>
          <w:b/>
          <w:lang w:val="fr-FR"/>
        </w:rPr>
        <w:t xml:space="preserve"> ou [RRD]</w:t>
      </w:r>
      <w:r w:rsidR="00A32DC0">
        <w:rPr>
          <w:lang w:val="fr-FR"/>
        </w:rPr>
        <w:t>. Les </w:t>
      </w:r>
      <w:r w:rsidRPr="001E1A55">
        <w:rPr>
          <w:lang w:val="fr-FR"/>
        </w:rPr>
        <w:t>dispositifs et matériaux rétroréfléchissants supplémentaires (y compris deux catadioptres ne répondant pas au paragraphe 6.16.4 ci-dessous) sont autorisés à condition qu</w:t>
      </w:r>
      <w:r w:rsidR="00A32DC0">
        <w:rPr>
          <w:lang w:val="fr-FR"/>
        </w:rPr>
        <w:t>’</w:t>
      </w:r>
      <w:r w:rsidRPr="001E1A55">
        <w:rPr>
          <w:lang w:val="fr-FR"/>
        </w:rPr>
        <w:t>ils ne nuisent pas à l</w:t>
      </w:r>
      <w:r w:rsidR="00A32DC0">
        <w:rPr>
          <w:lang w:val="fr-FR"/>
        </w:rPr>
        <w:t>’</w:t>
      </w:r>
      <w:r w:rsidRPr="001E1A55">
        <w:rPr>
          <w:lang w:val="fr-FR"/>
        </w:rPr>
        <w:t>efficacité des dispositifs obligatoires d</w:t>
      </w:r>
      <w:r w:rsidR="00A32DC0">
        <w:rPr>
          <w:lang w:val="fr-FR"/>
        </w:rPr>
        <w:t>’</w:t>
      </w:r>
      <w:r w:rsidRPr="001E1A55">
        <w:rPr>
          <w:lang w:val="fr-FR"/>
        </w:rPr>
        <w:t>éclairage et de signalisation lumineuse. »</w:t>
      </w:r>
    </w:p>
    <w:p w:rsidR="001E1A55" w:rsidRPr="001E1A55" w:rsidRDefault="001E1A55" w:rsidP="001E1A55">
      <w:pPr>
        <w:pStyle w:val="SingleTxtG"/>
        <w:keepNext/>
        <w:keepLines/>
        <w:rPr>
          <w:lang w:val="fr-FR"/>
        </w:rPr>
      </w:pPr>
      <w:r w:rsidRPr="001E1A55">
        <w:rPr>
          <w:i/>
          <w:lang w:val="fr-FR"/>
        </w:rPr>
        <w:t xml:space="preserve">Paragraphe 6.17,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6.17</w:t>
      </w:r>
      <w:r w:rsidRPr="001E1A55">
        <w:rPr>
          <w:lang w:val="fr-FR"/>
        </w:rPr>
        <w:tab/>
        <w:t>CATADIOPTRE LATÉRA</w:t>
      </w:r>
      <w:r w:rsidR="00A32DC0">
        <w:rPr>
          <w:lang w:val="fr-FR"/>
        </w:rPr>
        <w:t>L</w:t>
      </w:r>
      <w:r w:rsidRPr="001E1A55">
        <w:rPr>
          <w:lang w:val="fr-FR"/>
        </w:rPr>
        <w:t xml:space="preserve">, NON TRIANGULAIRE (Règlement </w:t>
      </w:r>
      <w:r w:rsidR="007E1F06">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 xml:space="preserve">3 </w:t>
      </w:r>
      <w:r w:rsidR="00167623">
        <w:rPr>
          <w:b/>
          <w:lang w:val="fr-FR"/>
        </w:rPr>
        <w:t>ou </w:t>
      </w:r>
      <w:r w:rsidRPr="001E1A55">
        <w:rPr>
          <w:b/>
          <w:lang w:val="fr-FR"/>
        </w:rPr>
        <w:t>[RRD]</w:t>
      </w:r>
      <w:r w:rsidRPr="001E1A55">
        <w:rPr>
          <w:lang w:val="fr-FR"/>
        </w:rPr>
        <w:t>) ».</w:t>
      </w:r>
    </w:p>
    <w:p w:rsidR="001E1A55" w:rsidRPr="001E1A55" w:rsidRDefault="001E1A55" w:rsidP="001E1A55">
      <w:pPr>
        <w:pStyle w:val="SingleTxtG"/>
        <w:keepNext/>
        <w:keepLines/>
        <w:rPr>
          <w:lang w:val="fr-FR"/>
        </w:rPr>
      </w:pPr>
      <w:r w:rsidRPr="001E1A55">
        <w:rPr>
          <w:i/>
          <w:lang w:val="fr-FR"/>
        </w:rPr>
        <w:t>Paragraphe 6.17.2</w:t>
      </w:r>
      <w:r w:rsidRPr="00A32DC0">
        <w:rPr>
          <w:lang w:val="fr-FR"/>
        </w:rPr>
        <w:t>,</w:t>
      </w:r>
      <w:r w:rsidRPr="001E1A55">
        <w:rPr>
          <w:i/>
          <w:lang w:val="fr-FR"/>
        </w:rPr>
        <w:t xml:space="preserve"> </w:t>
      </w:r>
      <w:r w:rsidR="00A32DC0">
        <w:rPr>
          <w:lang w:val="fr-FR"/>
        </w:rPr>
        <w:t>modifier comme suit :</w:t>
      </w:r>
    </w:p>
    <w:p w:rsidR="001E1A55" w:rsidRPr="001E1A55" w:rsidRDefault="001E1A55" w:rsidP="00167623">
      <w:pPr>
        <w:pStyle w:val="SingleTxtG"/>
        <w:keepNext/>
        <w:keepLines/>
        <w:ind w:left="2268" w:hanging="1134"/>
        <w:rPr>
          <w:lang w:val="fr-FR"/>
        </w:rPr>
      </w:pPr>
      <w:r w:rsidRPr="001E1A55">
        <w:rPr>
          <w:lang w:val="fr-FR"/>
        </w:rPr>
        <w:t>« 6.17.2</w:t>
      </w:r>
      <w:r w:rsidRPr="001E1A55">
        <w:rPr>
          <w:lang w:val="fr-FR"/>
        </w:rPr>
        <w:tab/>
        <w:t>Nombre</w:t>
      </w:r>
    </w:p>
    <w:p w:rsidR="001E1A55" w:rsidRPr="001E1A55" w:rsidRDefault="001E1A55" w:rsidP="00AC0FFB">
      <w:pPr>
        <w:pStyle w:val="SingleTxtG"/>
        <w:ind w:left="2268"/>
        <w:rPr>
          <w:lang w:val="fr-FR"/>
        </w:rPr>
      </w:pPr>
      <w:r w:rsidRPr="001E1A55">
        <w:rPr>
          <w:lang w:val="fr-FR"/>
        </w:rPr>
        <w:t>Tel que les prescriptions relatives à l</w:t>
      </w:r>
      <w:r w:rsidR="00A32DC0">
        <w:rPr>
          <w:lang w:val="fr-FR"/>
        </w:rPr>
        <w:t>’</w:t>
      </w:r>
      <w:r w:rsidRPr="001E1A55">
        <w:rPr>
          <w:lang w:val="fr-FR"/>
        </w:rPr>
        <w:t xml:space="preserve">emplacement en </w:t>
      </w:r>
      <w:r w:rsidR="00A32DC0">
        <w:rPr>
          <w:lang w:val="fr-FR"/>
        </w:rPr>
        <w:t>longueur soient respectées. Les </w:t>
      </w:r>
      <w:r w:rsidRPr="001E1A55">
        <w:rPr>
          <w:lang w:val="fr-FR"/>
        </w:rPr>
        <w:t>performances de ces dispositifs doivent être conformes aux prescriptions concernan</w:t>
      </w:r>
      <w:r w:rsidR="00A32DC0">
        <w:rPr>
          <w:lang w:val="fr-FR"/>
        </w:rPr>
        <w:t>t les catadioptres de la classe IA ou </w:t>
      </w:r>
      <w:r w:rsidRPr="001E1A55">
        <w:rPr>
          <w:lang w:val="fr-FR"/>
        </w:rPr>
        <w:t>IB, énoncées dans le Règlement </w:t>
      </w:r>
      <w:r w:rsidR="007E1F06">
        <w:rPr>
          <w:rFonts w:eastAsia="MS Mincho"/>
          <w:szCs w:val="22"/>
          <w:lang w:val="fr-FR"/>
        </w:rPr>
        <w:t>n</w:t>
      </w:r>
      <w:r w:rsidR="00167623" w:rsidRPr="00167623">
        <w:rPr>
          <w:rFonts w:eastAsia="MS Mincho"/>
          <w:szCs w:val="22"/>
          <w:vertAlign w:val="superscript"/>
          <w:lang w:val="fr-FR"/>
        </w:rPr>
        <w:t>o</w:t>
      </w:r>
      <w:r w:rsidRPr="001E1A55">
        <w:rPr>
          <w:lang w:val="fr-FR"/>
        </w:rPr>
        <w:t> 3</w:t>
      </w:r>
      <w:r w:rsidRPr="001E1A55">
        <w:rPr>
          <w:b/>
          <w:lang w:val="fr-FR"/>
        </w:rPr>
        <w:t xml:space="preserve"> ou [RRD]</w:t>
      </w:r>
      <w:r w:rsidR="00A32DC0">
        <w:rPr>
          <w:lang w:val="fr-FR"/>
        </w:rPr>
        <w:t>. Les </w:t>
      </w:r>
      <w:r w:rsidRPr="001E1A55">
        <w:rPr>
          <w:lang w:val="fr-FR"/>
        </w:rPr>
        <w:t>dispositifs et matériaux rétroréfléchissants supplémentaires (y compris deux catadioptres ne rép</w:t>
      </w:r>
      <w:r w:rsidR="00CD46B4">
        <w:rPr>
          <w:lang w:val="fr-FR"/>
        </w:rPr>
        <w:t>ondant pas au paragraphe 6.17.4</w:t>
      </w:r>
      <w:r w:rsidRPr="001E1A55">
        <w:rPr>
          <w:lang w:val="fr-FR"/>
        </w:rPr>
        <w:t xml:space="preserve"> ci-dessous) sont autorisés à condition qu</w:t>
      </w:r>
      <w:r w:rsidR="00A32DC0">
        <w:rPr>
          <w:lang w:val="fr-FR"/>
        </w:rPr>
        <w:t>’</w:t>
      </w:r>
      <w:r w:rsidRPr="001E1A55">
        <w:rPr>
          <w:lang w:val="fr-FR"/>
        </w:rPr>
        <w:t>ils ne nuisent pas à l</w:t>
      </w:r>
      <w:r w:rsidR="00A32DC0">
        <w:rPr>
          <w:lang w:val="fr-FR"/>
        </w:rPr>
        <w:t>’</w:t>
      </w:r>
      <w:r w:rsidRPr="001E1A55">
        <w:rPr>
          <w:lang w:val="fr-FR"/>
        </w:rPr>
        <w:t>efficacité des dispositifs obligatoires d</w:t>
      </w:r>
      <w:r w:rsidR="00A32DC0">
        <w:rPr>
          <w:lang w:val="fr-FR"/>
        </w:rPr>
        <w:t>’</w:t>
      </w:r>
      <w:r w:rsidRPr="001E1A55">
        <w:rPr>
          <w:lang w:val="fr-FR"/>
        </w:rPr>
        <w:t>éclairage et de signalisation lumineuse. »</w:t>
      </w:r>
    </w:p>
    <w:p w:rsidR="001E1A55" w:rsidRPr="001E1A55" w:rsidRDefault="001E1A55" w:rsidP="001E1A55">
      <w:pPr>
        <w:pStyle w:val="SingleTxtG"/>
        <w:keepNext/>
        <w:keepLines/>
        <w:rPr>
          <w:lang w:val="fr-FR"/>
        </w:rPr>
      </w:pPr>
      <w:r w:rsidRPr="001E1A55">
        <w:rPr>
          <w:i/>
          <w:lang w:val="fr-FR"/>
        </w:rPr>
        <w:t xml:space="preserve">Paragraphe 6.18,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6.18</w:t>
      </w:r>
      <w:r w:rsidRPr="001E1A55">
        <w:rPr>
          <w:lang w:val="fr-FR"/>
        </w:rPr>
        <w:tab/>
        <w:t xml:space="preserve">FEUX DE POSITION LATÉRAUX (Règlement </w:t>
      </w:r>
      <w:r w:rsidR="007E1F06">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91</w:t>
      </w:r>
      <w:r w:rsidRPr="001E1A55">
        <w:rPr>
          <w:b/>
          <w:lang w:val="fr-FR"/>
        </w:rPr>
        <w:t>ou [LSD]</w:t>
      </w:r>
      <w:r w:rsidR="00167623">
        <w:rPr>
          <w:lang w:val="fr-FR"/>
        </w:rPr>
        <w:t>) .»</w:t>
      </w:r>
    </w:p>
    <w:p w:rsidR="001E1A55" w:rsidRPr="001E1A55" w:rsidRDefault="001E1A55" w:rsidP="001E1A55">
      <w:pPr>
        <w:pStyle w:val="SingleTxtG"/>
        <w:keepNext/>
        <w:keepLines/>
        <w:rPr>
          <w:lang w:val="fr-FR"/>
        </w:rPr>
      </w:pPr>
      <w:r w:rsidRPr="001E1A55">
        <w:rPr>
          <w:i/>
          <w:lang w:val="fr-FR"/>
        </w:rPr>
        <w:t xml:space="preserve">Paragraphe 6.19,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6.19</w:t>
      </w:r>
      <w:r w:rsidRPr="001E1A55">
        <w:rPr>
          <w:lang w:val="fr-FR"/>
        </w:rPr>
        <w:tab/>
        <w:t xml:space="preserve">FEU de CIRCULATION DIURNE (Règlement </w:t>
      </w:r>
      <w:r w:rsidR="007E1F06">
        <w:rPr>
          <w:rFonts w:eastAsia="MS Mincho"/>
          <w:szCs w:val="22"/>
          <w:lang w:val="fr-FR"/>
        </w:rPr>
        <w:t>n</w:t>
      </w:r>
      <w:r w:rsidR="00A32DC0" w:rsidRPr="00A32DC0">
        <w:rPr>
          <w:rFonts w:eastAsia="MS Mincho"/>
          <w:szCs w:val="22"/>
          <w:vertAlign w:val="superscript"/>
          <w:lang w:val="fr-FR"/>
        </w:rPr>
        <w:t>o</w:t>
      </w:r>
      <w:r w:rsidR="00A32DC0">
        <w:rPr>
          <w:lang w:val="fr-FR"/>
        </w:rPr>
        <w:t> </w:t>
      </w:r>
      <w:r w:rsidRPr="001E1A55">
        <w:rPr>
          <w:lang w:val="fr-FR"/>
        </w:rPr>
        <w:t>87</w:t>
      </w:r>
      <w:r w:rsidRPr="001E1A55">
        <w:rPr>
          <w:b/>
          <w:lang w:val="fr-FR"/>
        </w:rPr>
        <w:t>ou [LSD]</w:t>
      </w:r>
      <w:r w:rsidR="00A32DC0">
        <w:rPr>
          <w:lang w:val="fr-FR"/>
        </w:rPr>
        <w:t>) </w:t>
      </w:r>
      <w:r w:rsidR="00167623">
        <w:rPr>
          <w:lang w:val="fr-FR"/>
        </w:rPr>
        <w:t>16/. »</w:t>
      </w:r>
    </w:p>
    <w:p w:rsidR="001E1A55" w:rsidRPr="001E1A55" w:rsidRDefault="001E1A55" w:rsidP="001E1A55">
      <w:pPr>
        <w:pStyle w:val="SingleTxtG"/>
        <w:keepNext/>
        <w:keepLines/>
        <w:rPr>
          <w:lang w:val="fr-FR"/>
        </w:rPr>
      </w:pPr>
      <w:r w:rsidRPr="001E1A55">
        <w:rPr>
          <w:i/>
          <w:lang w:val="fr-FR"/>
        </w:rPr>
        <w:t xml:space="preserve">Paragraphe 6.20,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6.20</w:t>
      </w:r>
      <w:r w:rsidRPr="001E1A55">
        <w:rPr>
          <w:lang w:val="fr-FR"/>
        </w:rPr>
        <w:tab/>
        <w:t>FEU D</w:t>
      </w:r>
      <w:r w:rsidR="00A32DC0">
        <w:rPr>
          <w:lang w:val="fr-FR"/>
        </w:rPr>
        <w:t>’</w:t>
      </w:r>
      <w:r w:rsidRPr="001E1A55">
        <w:rPr>
          <w:lang w:val="fr-FR"/>
        </w:rPr>
        <w:t xml:space="preserve">ANGLE (Règlement </w:t>
      </w:r>
      <w:r w:rsidR="007E1F06">
        <w:rPr>
          <w:rFonts w:eastAsia="MS Mincho"/>
          <w:szCs w:val="22"/>
          <w:lang w:val="fr-FR"/>
        </w:rPr>
        <w:t>n</w:t>
      </w:r>
      <w:r w:rsidR="00A32DC0" w:rsidRPr="00A32DC0">
        <w:rPr>
          <w:rFonts w:eastAsia="MS Mincho"/>
          <w:szCs w:val="22"/>
          <w:vertAlign w:val="superscript"/>
          <w:lang w:val="fr-FR"/>
        </w:rPr>
        <w:t>o</w:t>
      </w:r>
      <w:r w:rsidR="00A32DC0">
        <w:rPr>
          <w:rFonts w:eastAsia="MS Mincho"/>
          <w:szCs w:val="22"/>
          <w:lang w:val="fr-FR"/>
        </w:rPr>
        <w:t> </w:t>
      </w:r>
      <w:r w:rsidRPr="001E1A55">
        <w:rPr>
          <w:lang w:val="fr-FR"/>
        </w:rPr>
        <w:t>119</w:t>
      </w:r>
      <w:r w:rsidRPr="001E1A55">
        <w:rPr>
          <w:b/>
          <w:lang w:val="fr-FR"/>
        </w:rPr>
        <w:t xml:space="preserve"> ou [LSD]</w:t>
      </w:r>
      <w:r w:rsidR="00167623">
        <w:rPr>
          <w:lang w:val="fr-FR"/>
        </w:rPr>
        <w:t>). »</w:t>
      </w:r>
    </w:p>
    <w:p w:rsidR="001E1A55" w:rsidRPr="001E1A55" w:rsidRDefault="001E1A55" w:rsidP="001E1A55">
      <w:pPr>
        <w:pStyle w:val="SingleTxtG"/>
        <w:keepNext/>
        <w:keepLines/>
        <w:rPr>
          <w:lang w:val="fr-FR"/>
        </w:rPr>
      </w:pPr>
      <w:r w:rsidRPr="001E1A55">
        <w:rPr>
          <w:i/>
          <w:lang w:val="fr-FR"/>
        </w:rPr>
        <w:t xml:space="preserve">Paragraphe 6.21, </w:t>
      </w:r>
      <w:r w:rsidR="00A32DC0">
        <w:rPr>
          <w:lang w:val="fr-FR"/>
        </w:rPr>
        <w:t>modifier comme suit :</w:t>
      </w:r>
    </w:p>
    <w:p w:rsidR="001E1A55" w:rsidRPr="00167623" w:rsidRDefault="001E1A55" w:rsidP="00A32DC0">
      <w:pPr>
        <w:pStyle w:val="SingleTxtG"/>
        <w:ind w:left="2268" w:hanging="1134"/>
      </w:pPr>
      <w:r w:rsidRPr="001E1A55">
        <w:rPr>
          <w:lang w:val="fr-FR"/>
        </w:rPr>
        <w:t>« 6.21</w:t>
      </w:r>
      <w:r w:rsidRPr="001E1A55">
        <w:rPr>
          <w:lang w:val="fr-FR"/>
        </w:rPr>
        <w:tab/>
        <w:t xml:space="preserve">MARQUAGES À GRANDE VISIBILITÉ (Règlement </w:t>
      </w:r>
      <w:r w:rsidR="007E1F06" w:rsidRPr="007E1F06">
        <w:rPr>
          <w:rFonts w:eastAsia="MS Mincho"/>
          <w:szCs w:val="22"/>
          <w:lang w:val="fr-FR"/>
        </w:rPr>
        <w:t>n</w:t>
      </w:r>
      <w:r w:rsidR="007E1F06" w:rsidRPr="007E1F06">
        <w:rPr>
          <w:rFonts w:eastAsia="MS Mincho"/>
          <w:szCs w:val="22"/>
          <w:vertAlign w:val="superscript"/>
          <w:lang w:val="fr-FR"/>
        </w:rPr>
        <w:t>o</w:t>
      </w:r>
      <w:r w:rsidR="00A32DC0">
        <w:rPr>
          <w:lang w:val="fr-FR"/>
        </w:rPr>
        <w:t> </w:t>
      </w:r>
      <w:r w:rsidRPr="001E1A55">
        <w:rPr>
          <w:lang w:val="fr-FR"/>
        </w:rPr>
        <w:t xml:space="preserve">104 </w:t>
      </w:r>
      <w:r w:rsidRPr="001E1A55">
        <w:rPr>
          <w:b/>
          <w:lang w:val="fr-FR"/>
        </w:rPr>
        <w:t>ou</w:t>
      </w:r>
      <w:r w:rsidRPr="001E1A55">
        <w:rPr>
          <w:lang w:val="fr-FR"/>
        </w:rPr>
        <w:t xml:space="preserve"> </w:t>
      </w:r>
      <w:r w:rsidRPr="001E1A55">
        <w:rPr>
          <w:b/>
          <w:lang w:val="fr-FR"/>
        </w:rPr>
        <w:t>[RRD])</w:t>
      </w:r>
      <w:r w:rsidR="00A32DC0" w:rsidRPr="00A32DC0">
        <w:t>.</w:t>
      </w:r>
      <w:r w:rsidRPr="001E1A55">
        <w:rPr>
          <w:b/>
          <w:lang w:val="fr-FR"/>
        </w:rPr>
        <w:t> </w:t>
      </w:r>
      <w:r w:rsidRPr="00167623">
        <w:t>»</w:t>
      </w:r>
    </w:p>
    <w:p w:rsidR="001E1A55" w:rsidRPr="001E1A55" w:rsidRDefault="001E1A55" w:rsidP="001E1A55">
      <w:pPr>
        <w:pStyle w:val="SingleTxtG"/>
        <w:keepNext/>
        <w:keepLines/>
        <w:rPr>
          <w:lang w:val="fr-FR"/>
        </w:rPr>
      </w:pPr>
      <w:r w:rsidRPr="001E1A55">
        <w:rPr>
          <w:i/>
          <w:lang w:val="fr-FR"/>
        </w:rPr>
        <w:t xml:space="preserve">Paragraphe 6.21.1.2.5, </w:t>
      </w:r>
      <w:r w:rsidR="00A32DC0">
        <w:rPr>
          <w:lang w:val="fr-FR"/>
        </w:rPr>
        <w:t>modifier comme suit :</w:t>
      </w:r>
    </w:p>
    <w:p w:rsidR="001E1A55" w:rsidRPr="001E1A55" w:rsidRDefault="001E1A55" w:rsidP="00A32DC0">
      <w:pPr>
        <w:pStyle w:val="SingleTxtG"/>
        <w:ind w:left="2268" w:hanging="1134"/>
        <w:rPr>
          <w:lang w:val="fr-FR"/>
        </w:rPr>
      </w:pPr>
      <w:r w:rsidRPr="001E1A55">
        <w:rPr>
          <w:lang w:val="fr-FR"/>
        </w:rPr>
        <w:t>« 6.21.1.2.5</w:t>
      </w:r>
      <w:r w:rsidRPr="001E1A55">
        <w:rPr>
          <w:lang w:val="fr-FR"/>
        </w:rPr>
        <w:tab/>
      </w:r>
      <w:r w:rsidRPr="001E1A55">
        <w:t>Lorsque le fabricant, après vérification par le service technique, peut prouver à l</w:t>
      </w:r>
      <w:r w:rsidR="00A32DC0">
        <w:t>’</w:t>
      </w:r>
      <w:r w:rsidRPr="001E1A55">
        <w:t>autorité d</w:t>
      </w:r>
      <w:r w:rsidR="00A32DC0">
        <w:t>’</w:t>
      </w:r>
      <w:r w:rsidRPr="001E1A55">
        <w:t>homologation de type qu</w:t>
      </w:r>
      <w:r w:rsidR="00A32DC0">
        <w:t>’</w:t>
      </w:r>
      <w:r w:rsidRPr="001E1A55">
        <w:t>il est impossible de se conformer aux prescriptions énoncées aux paragraphes 6.21.2 à 6.21.7.5 ci-dessous, en raison d</w:t>
      </w:r>
      <w:r w:rsidR="00A32DC0">
        <w:t>’</w:t>
      </w:r>
      <w:r w:rsidRPr="001E1A55">
        <w:t>exigences opérationnelles susceptibles d</w:t>
      </w:r>
      <w:r w:rsidR="00A32DC0">
        <w:t>’</w:t>
      </w:r>
      <w:r w:rsidRPr="001E1A55">
        <w:t>imposer au véhicule une forme, une structure ou une conception spéciales, on peut se contenter du respect partiel de ces prescriptions</w:t>
      </w:r>
      <w:r w:rsidRPr="001E1A55">
        <w:rPr>
          <w:lang w:val="fr-FR"/>
        </w:rPr>
        <w:t xml:space="preserve">. </w:t>
      </w:r>
      <w:r w:rsidRPr="001E1A55">
        <w:t>Cela dépend du nombre de prescriptions devant, si possible, être satisfaites et de l</w:t>
      </w:r>
      <w:r w:rsidR="00A32DC0">
        <w:t>’</w:t>
      </w:r>
      <w:r w:rsidRPr="001E1A55">
        <w:t>application des marquages à grande visibilité qui satisfont en partie aux prescriptions les plus strictes concernant la structure du véhicule</w:t>
      </w:r>
      <w:r w:rsidRPr="001E1A55">
        <w:rPr>
          <w:lang w:val="fr-FR"/>
        </w:rPr>
        <w:t xml:space="preserve">. </w:t>
      </w:r>
      <w:r w:rsidRPr="001E1A55">
        <w:t>On peut notamment mettre en place, lorsque la structure le permet, des plaques ou des supports supplémentaires constitués d</w:t>
      </w:r>
      <w:r w:rsidR="00A32DC0">
        <w:t>’</w:t>
      </w:r>
      <w:r w:rsidRPr="001E1A55">
        <w:t xml:space="preserve">un matériau conforme au Règlement </w:t>
      </w:r>
      <w:r w:rsidR="00167623" w:rsidRPr="002D76F4">
        <w:rPr>
          <w:rFonts w:eastAsia="MS Mincho"/>
          <w:szCs w:val="22"/>
        </w:rPr>
        <w:t>n</w:t>
      </w:r>
      <w:r w:rsidR="00167623" w:rsidRPr="002D76F4">
        <w:rPr>
          <w:rFonts w:eastAsia="MS Mincho"/>
          <w:szCs w:val="22"/>
          <w:vertAlign w:val="superscript"/>
        </w:rPr>
        <w:t>o</w:t>
      </w:r>
      <w:r w:rsidR="00167623">
        <w:t> </w:t>
      </w:r>
      <w:r w:rsidRPr="001E1A55">
        <w:t xml:space="preserve">104 </w:t>
      </w:r>
      <w:r w:rsidRPr="001E1A55">
        <w:rPr>
          <w:b/>
        </w:rPr>
        <w:t>ou [RRD]</w:t>
      </w:r>
      <w:r w:rsidRPr="001E1A55">
        <w:t>, afin que la signalisation soit claire et uniforme et réponde à l</w:t>
      </w:r>
      <w:r w:rsidR="00A32DC0">
        <w:t>’</w:t>
      </w:r>
      <w:r w:rsidRPr="001E1A55">
        <w:t>objectif de grande visibilité</w:t>
      </w:r>
      <w:r w:rsidRPr="001E1A55">
        <w:rPr>
          <w:lang w:val="fr-FR"/>
        </w:rPr>
        <w:t>.</w:t>
      </w:r>
    </w:p>
    <w:p w:rsidR="001E1A55" w:rsidRPr="001E1A55" w:rsidRDefault="00A32DC0" w:rsidP="00A32DC0">
      <w:pPr>
        <w:pStyle w:val="SingleTxtG"/>
        <w:ind w:left="2268" w:hanging="1134"/>
      </w:pPr>
      <w:r>
        <w:tab/>
      </w:r>
      <w:r w:rsidR="001E1A55" w:rsidRPr="001E1A55">
        <w:t xml:space="preserve">Lorsque le respect partiel est jugé acceptable, les dispositifs rétroréfléchissants tels que les catadioptres de la classe IVA du Règlement </w:t>
      </w:r>
      <w:r w:rsidR="00AC0FFB" w:rsidRPr="002D76F4">
        <w:rPr>
          <w:rFonts w:eastAsia="MS Mincho"/>
          <w:szCs w:val="22"/>
        </w:rPr>
        <w:t>n</w:t>
      </w:r>
      <w:r w:rsidR="00AC0FFB" w:rsidRPr="002D76F4">
        <w:rPr>
          <w:rFonts w:eastAsia="MS Mincho"/>
          <w:szCs w:val="22"/>
          <w:vertAlign w:val="superscript"/>
        </w:rPr>
        <w:t>o</w:t>
      </w:r>
      <w:r w:rsidR="00AC0FFB">
        <w:t> </w:t>
      </w:r>
      <w:r w:rsidR="001E1A55" w:rsidRPr="001E1A55">
        <w:t xml:space="preserve">3 </w:t>
      </w:r>
      <w:r w:rsidR="001E1A55" w:rsidRPr="001E1A55">
        <w:rPr>
          <w:b/>
        </w:rPr>
        <w:t xml:space="preserve">ou [RRD] </w:t>
      </w:r>
      <w:r w:rsidR="001E1A55" w:rsidRPr="001E1A55">
        <w:t>ou les supports constitués d</w:t>
      </w:r>
      <w:r>
        <w:t>’</w:t>
      </w:r>
      <w:r w:rsidR="001E1A55" w:rsidRPr="001E1A55">
        <w:t>un matériau rétroréfléchissant conforme aux prescripti</w:t>
      </w:r>
      <w:r w:rsidR="00AC0FFB">
        <w:t>ons photométriques de la classe </w:t>
      </w:r>
      <w:r w:rsidR="001E1A55" w:rsidRPr="001E1A55">
        <w:t xml:space="preserve">C du Règlement </w:t>
      </w:r>
      <w:r w:rsidR="00AC0FFB" w:rsidRPr="002D76F4">
        <w:rPr>
          <w:rFonts w:eastAsia="MS Mincho"/>
          <w:szCs w:val="22"/>
        </w:rPr>
        <w:t>n</w:t>
      </w:r>
      <w:r w:rsidR="00AC0FFB" w:rsidRPr="002D76F4">
        <w:rPr>
          <w:rFonts w:eastAsia="MS Mincho"/>
          <w:szCs w:val="22"/>
          <w:vertAlign w:val="superscript"/>
        </w:rPr>
        <w:t>o</w:t>
      </w:r>
      <w:r w:rsidR="00AC0FFB">
        <w:t> </w:t>
      </w:r>
      <w:r w:rsidR="001E1A55" w:rsidRPr="001E1A55">
        <w:t xml:space="preserve">104 </w:t>
      </w:r>
      <w:r w:rsidR="001E1A55" w:rsidRPr="001E1A55">
        <w:rPr>
          <w:b/>
        </w:rPr>
        <w:t xml:space="preserve">ou [RRD] </w:t>
      </w:r>
      <w:r w:rsidR="001E1A55" w:rsidRPr="001E1A55">
        <w:t>peuvent en partie remplacer les marquages à grande visibilité requis</w:t>
      </w:r>
      <w:r w:rsidR="001E1A55" w:rsidRPr="001E1A55">
        <w:rPr>
          <w:lang w:val="fr-FR"/>
        </w:rPr>
        <w:t>. Dans ce cas, il convient d</w:t>
      </w:r>
      <w:r>
        <w:rPr>
          <w:lang w:val="fr-FR"/>
        </w:rPr>
        <w:t>’</w:t>
      </w:r>
      <w:r w:rsidR="001E1A55" w:rsidRPr="001E1A55">
        <w:rPr>
          <w:lang w:val="fr-FR"/>
        </w:rPr>
        <w:t>installer de tels dispositifs</w:t>
      </w:r>
      <w:r w:rsidR="00AC0FFB">
        <w:rPr>
          <w:lang w:val="fr-FR"/>
        </w:rPr>
        <w:t xml:space="preserve"> rétroréfléchissants tous les 1 500 </w:t>
      </w:r>
      <w:r w:rsidR="001E1A55" w:rsidRPr="001E1A55">
        <w:rPr>
          <w:lang w:val="fr-FR"/>
        </w:rPr>
        <w:t>mm.</w:t>
      </w:r>
    </w:p>
    <w:p w:rsidR="001E1A55" w:rsidRPr="001E1A55" w:rsidRDefault="00A32DC0" w:rsidP="00A32DC0">
      <w:pPr>
        <w:pStyle w:val="SingleTxtG"/>
        <w:ind w:left="2268" w:hanging="1134"/>
        <w:rPr>
          <w:lang w:val="fr-FR"/>
        </w:rPr>
      </w:pPr>
      <w:r>
        <w:tab/>
      </w:r>
      <w:r w:rsidR="001E1A55" w:rsidRPr="001E1A55">
        <w:t>Les renseignements nécessaires doivent être consignés sur la fiche de communication</w:t>
      </w:r>
      <w:r w:rsidR="00AC0FFB">
        <w:rPr>
          <w:lang w:val="fr-FR"/>
        </w:rPr>
        <w:t>. »</w:t>
      </w:r>
    </w:p>
    <w:p w:rsidR="001E1A55" w:rsidRPr="001E1A55" w:rsidRDefault="001E1A55" w:rsidP="001E1A55">
      <w:pPr>
        <w:pStyle w:val="SingleTxtG"/>
        <w:keepNext/>
        <w:keepLines/>
        <w:rPr>
          <w:lang w:val="fr-FR"/>
        </w:rPr>
      </w:pPr>
      <w:r w:rsidRPr="001E1A55">
        <w:rPr>
          <w:i/>
          <w:lang w:val="fr-FR"/>
        </w:rPr>
        <w:t>Paragraphe 6.21.7.4</w:t>
      </w:r>
      <w:r w:rsidRPr="00AC0FFB">
        <w:t>,</w:t>
      </w:r>
      <w:r w:rsidRPr="001E1A55">
        <w:rPr>
          <w:i/>
          <w:lang w:val="fr-FR"/>
        </w:rPr>
        <w:t xml:space="preserve"> </w:t>
      </w:r>
      <w:r w:rsidR="00AC0FFB">
        <w:rPr>
          <w:lang w:val="fr-FR"/>
        </w:rPr>
        <w:t>modifier comme suit :</w:t>
      </w:r>
    </w:p>
    <w:p w:rsidR="001E1A55" w:rsidRPr="001E1A55" w:rsidRDefault="001E1A55" w:rsidP="00A32DC0">
      <w:pPr>
        <w:pStyle w:val="SingleTxtG"/>
        <w:ind w:left="2268" w:hanging="1134"/>
        <w:rPr>
          <w:lang w:val="fr-FR"/>
        </w:rPr>
      </w:pPr>
      <w:r w:rsidRPr="001E1A55">
        <w:rPr>
          <w:lang w:val="fr-FR"/>
        </w:rPr>
        <w:t>« 6.21.7.4</w:t>
      </w:r>
      <w:r w:rsidRPr="001E1A55">
        <w:rPr>
          <w:lang w:val="fr-FR"/>
        </w:rPr>
        <w:tab/>
        <w:t>Lorsque des plaques d</w:t>
      </w:r>
      <w:r w:rsidR="00A32DC0">
        <w:rPr>
          <w:lang w:val="fr-FR"/>
        </w:rPr>
        <w:t>’</w:t>
      </w:r>
      <w:r w:rsidRPr="001E1A55">
        <w:rPr>
          <w:lang w:val="fr-FR"/>
        </w:rPr>
        <w:t xml:space="preserve">identification arrière conformes </w:t>
      </w:r>
      <w:r w:rsidRPr="001E1A55">
        <w:rPr>
          <w:b/>
          <w:lang w:val="fr-FR"/>
        </w:rPr>
        <w:t>soit</w:t>
      </w:r>
      <w:r w:rsidRPr="001E1A55">
        <w:rPr>
          <w:lang w:val="fr-FR"/>
        </w:rPr>
        <w:t xml:space="preserve"> à la série 01 d</w:t>
      </w:r>
      <w:r w:rsidR="00A32DC0">
        <w:rPr>
          <w:lang w:val="fr-FR"/>
        </w:rPr>
        <w:t>’</w:t>
      </w:r>
      <w:r w:rsidRPr="001E1A55">
        <w:rPr>
          <w:lang w:val="fr-FR"/>
        </w:rPr>
        <w:t xml:space="preserve">amendements au Règlement </w:t>
      </w:r>
      <w:r w:rsidR="007E0260" w:rsidRPr="007E0260">
        <w:rPr>
          <w:rFonts w:eastAsia="MS Mincho"/>
          <w:szCs w:val="22"/>
          <w:lang w:val="fr-FR"/>
        </w:rPr>
        <w:t>n</w:t>
      </w:r>
      <w:r w:rsidR="007E0260" w:rsidRPr="007E0260">
        <w:rPr>
          <w:rFonts w:eastAsia="MS Mincho"/>
          <w:szCs w:val="22"/>
          <w:vertAlign w:val="superscript"/>
          <w:lang w:val="fr-FR"/>
        </w:rPr>
        <w:t>o</w:t>
      </w:r>
      <w:r w:rsidR="007E0260">
        <w:rPr>
          <w:lang w:val="fr-FR"/>
        </w:rPr>
        <w:t> </w:t>
      </w:r>
      <w:r w:rsidRPr="001E1A55">
        <w:rPr>
          <w:lang w:val="fr-FR"/>
        </w:rPr>
        <w:t>70</w:t>
      </w:r>
      <w:r w:rsidRPr="001E1A55">
        <w:rPr>
          <w:b/>
          <w:lang w:val="fr-FR"/>
        </w:rPr>
        <w:t>,</w:t>
      </w:r>
      <w:r w:rsidRPr="001E1A55">
        <w:rPr>
          <w:lang w:val="fr-FR"/>
        </w:rPr>
        <w:t xml:space="preserve"> </w:t>
      </w:r>
      <w:r w:rsidRPr="001E1A55">
        <w:rPr>
          <w:b/>
          <w:lang w:val="fr-FR"/>
        </w:rPr>
        <w:t xml:space="preserve">soit au Règlement </w:t>
      </w:r>
      <w:r w:rsidR="007E0260" w:rsidRPr="007E0260">
        <w:rPr>
          <w:rFonts w:eastAsia="MS Mincho"/>
          <w:b/>
          <w:szCs w:val="22"/>
          <w:lang w:val="fr-FR"/>
        </w:rPr>
        <w:t>n</w:t>
      </w:r>
      <w:r w:rsidR="007E0260" w:rsidRPr="007E0260">
        <w:rPr>
          <w:rFonts w:eastAsia="MS Mincho"/>
          <w:b/>
          <w:szCs w:val="22"/>
          <w:vertAlign w:val="superscript"/>
          <w:lang w:val="fr-FR"/>
        </w:rPr>
        <w:t>o</w:t>
      </w:r>
      <w:r w:rsidR="007E0260">
        <w:rPr>
          <w:b/>
          <w:lang w:val="fr-FR"/>
        </w:rPr>
        <w:t> </w:t>
      </w:r>
      <w:r w:rsidRPr="001E1A55">
        <w:rPr>
          <w:b/>
          <w:lang w:val="fr-FR"/>
        </w:rPr>
        <w:t>[RRD]</w:t>
      </w:r>
      <w:r w:rsidRPr="001E1A55">
        <w:rPr>
          <w:lang w:val="fr-FR"/>
        </w:rPr>
        <w:t xml:space="preserve"> sont installées, elles peuvent être considérées, à la discrétion du constructeur, comme faisant partie du marquage à grande visibilité arrière, aux fins du calcul de la longueur du marquage à grande visibilité et de sa proxim</w:t>
      </w:r>
      <w:r w:rsidR="00AC0FFB">
        <w:rPr>
          <w:lang w:val="fr-FR"/>
        </w:rPr>
        <w:t>ité avec le côté du véhicule. »</w:t>
      </w:r>
    </w:p>
    <w:p w:rsidR="001E1A55" w:rsidRPr="001E1A55" w:rsidRDefault="001E1A55" w:rsidP="001E1A55">
      <w:pPr>
        <w:pStyle w:val="SingleTxtG"/>
        <w:keepNext/>
        <w:keepLines/>
        <w:rPr>
          <w:lang w:val="fr-FR"/>
        </w:rPr>
      </w:pPr>
      <w:r w:rsidRPr="001E1A55">
        <w:rPr>
          <w:i/>
          <w:lang w:val="fr-FR"/>
        </w:rPr>
        <w:t>Paragraphe 6.22</w:t>
      </w:r>
      <w:r w:rsidRPr="00AC0FFB">
        <w:t>,</w:t>
      </w:r>
      <w:r w:rsidRPr="001E1A55">
        <w:rPr>
          <w:i/>
          <w:lang w:val="fr-FR"/>
        </w:rPr>
        <w:t xml:space="preserve"> </w:t>
      </w:r>
      <w:r w:rsidR="00AC0FFB">
        <w:rPr>
          <w:lang w:val="fr-FR"/>
        </w:rPr>
        <w:t>modifier comme suit :</w:t>
      </w:r>
    </w:p>
    <w:p w:rsidR="001E1A55" w:rsidRPr="001E1A55" w:rsidRDefault="001E1A55" w:rsidP="00A32DC0">
      <w:pPr>
        <w:pStyle w:val="SingleTxtG"/>
        <w:ind w:left="2268" w:hanging="1134"/>
        <w:rPr>
          <w:b/>
          <w:lang w:val="fr-FR"/>
        </w:rPr>
      </w:pPr>
      <w:r w:rsidRPr="001E1A55">
        <w:rPr>
          <w:lang w:val="fr-FR"/>
        </w:rPr>
        <w:t>« 6.22</w:t>
      </w:r>
      <w:r w:rsidRPr="001E1A55">
        <w:rPr>
          <w:lang w:val="fr-FR"/>
        </w:rPr>
        <w:tab/>
        <w:t>SYSTÈME D</w:t>
      </w:r>
      <w:r w:rsidR="00A32DC0">
        <w:rPr>
          <w:lang w:val="fr-FR"/>
        </w:rPr>
        <w:t>’</w:t>
      </w:r>
      <w:r w:rsidRPr="001E1A55">
        <w:rPr>
          <w:lang w:val="fr-FR"/>
        </w:rPr>
        <w:t xml:space="preserve">ÉCLAIRAGE AVANT ADAPTATIF (AFS) </w:t>
      </w:r>
      <w:r w:rsidRPr="001E1A55">
        <w:rPr>
          <w:b/>
          <w:lang w:val="fr-FR"/>
        </w:rPr>
        <w:t xml:space="preserve">(Règlement </w:t>
      </w:r>
      <w:r w:rsidR="007E0260" w:rsidRPr="007E0260">
        <w:rPr>
          <w:rFonts w:eastAsia="MS Mincho"/>
          <w:b/>
          <w:szCs w:val="22"/>
          <w:lang w:val="fr-FR"/>
        </w:rPr>
        <w:t>n</w:t>
      </w:r>
      <w:r w:rsidR="007E0260" w:rsidRPr="007E0260">
        <w:rPr>
          <w:rFonts w:eastAsia="MS Mincho"/>
          <w:b/>
          <w:szCs w:val="22"/>
          <w:vertAlign w:val="superscript"/>
          <w:lang w:val="fr-FR"/>
        </w:rPr>
        <w:t>o</w:t>
      </w:r>
      <w:r w:rsidR="007E0260">
        <w:rPr>
          <w:rFonts w:eastAsia="MS Mincho"/>
          <w:b/>
          <w:szCs w:val="22"/>
          <w:lang w:val="fr-FR"/>
        </w:rPr>
        <w:t> </w:t>
      </w:r>
      <w:r w:rsidRPr="001E1A55">
        <w:rPr>
          <w:b/>
          <w:lang w:val="fr-FR"/>
        </w:rPr>
        <w:t>123 ou [RID])</w:t>
      </w:r>
    </w:p>
    <w:p w:rsidR="001E1A55" w:rsidRPr="001E1A55" w:rsidRDefault="00AC0FFB" w:rsidP="00A32DC0">
      <w:pPr>
        <w:pStyle w:val="SingleTxtG"/>
        <w:ind w:left="2268" w:hanging="1134"/>
      </w:pPr>
      <w:r>
        <w:tab/>
      </w:r>
      <w:r w:rsidR="001E1A55" w:rsidRPr="001E1A55">
        <w:t>Sauf mention contraire ci-après, les prescriptions relativ</w:t>
      </w:r>
      <w:r w:rsidR="00167623">
        <w:t>es aux feux de route (par.</w:t>
      </w:r>
      <w:r w:rsidR="001E1A55" w:rsidRPr="001E1A55">
        <w:t> 6.1) et au</w:t>
      </w:r>
      <w:r w:rsidR="00167623">
        <w:t>x feux de croisement (par.</w:t>
      </w:r>
      <w:r w:rsidR="001E1A55" w:rsidRPr="001E1A55">
        <w:t> 6.2) contenues dans le présent Règlement s</w:t>
      </w:r>
      <w:r w:rsidR="00A32DC0">
        <w:t>’</w:t>
      </w:r>
      <w:r w:rsidR="001E1A55" w:rsidRPr="001E1A55">
        <w:t>appliquent aux parties correspondantes de l</w:t>
      </w:r>
      <w:r w:rsidR="00A32DC0">
        <w:t>’</w:t>
      </w:r>
      <w:r w:rsidR="001E1A55" w:rsidRPr="001E1A55">
        <w:t>AFS</w:t>
      </w:r>
      <w:r>
        <w:rPr>
          <w:lang w:val="fr-FR"/>
        </w:rPr>
        <w:t>. »</w:t>
      </w:r>
    </w:p>
    <w:p w:rsidR="001E1A55" w:rsidRPr="001E1A55" w:rsidRDefault="001E1A55" w:rsidP="001E1A55">
      <w:pPr>
        <w:pStyle w:val="SingleTxtG"/>
        <w:keepNext/>
        <w:keepLines/>
        <w:rPr>
          <w:lang w:val="fr-FR"/>
        </w:rPr>
      </w:pPr>
      <w:r w:rsidRPr="001E1A55">
        <w:rPr>
          <w:i/>
          <w:lang w:val="fr-FR"/>
        </w:rPr>
        <w:t>Paragraphe 6.22.6.1.2</w:t>
      </w:r>
      <w:r w:rsidRPr="00AC0FFB">
        <w:t>,</w:t>
      </w:r>
      <w:r w:rsidRPr="001E1A55">
        <w:rPr>
          <w:i/>
          <w:lang w:val="fr-FR"/>
        </w:rPr>
        <w:t xml:space="preserve"> </w:t>
      </w:r>
      <w:r w:rsidR="00AC0FFB">
        <w:rPr>
          <w:lang w:val="fr-FR"/>
        </w:rPr>
        <w:t>modifier comme suit :</w:t>
      </w:r>
    </w:p>
    <w:p w:rsidR="001E1A55" w:rsidRPr="001E1A55" w:rsidRDefault="001E1A55" w:rsidP="00A32DC0">
      <w:pPr>
        <w:pStyle w:val="SingleTxtG"/>
        <w:ind w:left="2268" w:hanging="1134"/>
        <w:rPr>
          <w:lang w:val="fr-FR"/>
        </w:rPr>
      </w:pPr>
      <w:r w:rsidRPr="001E1A55">
        <w:rPr>
          <w:lang w:val="fr-FR"/>
        </w:rPr>
        <w:t>« 6.22.6.1.2</w:t>
      </w:r>
      <w:r w:rsidRPr="001E1A55">
        <w:rPr>
          <w:lang w:val="fr-FR"/>
        </w:rPr>
        <w:tab/>
      </w:r>
      <w:r w:rsidR="00A32DC0">
        <w:rPr>
          <w:lang w:val="fr-FR"/>
        </w:rPr>
        <w:t>C</w:t>
      </w:r>
      <w:r w:rsidRPr="001E1A55">
        <w:rPr>
          <w:lang w:val="fr-FR"/>
        </w:rPr>
        <w:t>i-dessus s</w:t>
      </w:r>
      <w:r w:rsidR="00A32DC0">
        <w:rPr>
          <w:lang w:val="fr-FR"/>
        </w:rPr>
        <w:t>’</w:t>
      </w:r>
      <w:r w:rsidRPr="001E1A55">
        <w:rPr>
          <w:lang w:val="fr-FR"/>
        </w:rPr>
        <w:t>appliquent à la coupure (si elle existe) de chacun des faisceaux, qui sont conçus pour être projetés dans la zone an</w:t>
      </w:r>
      <w:r w:rsidR="00167623">
        <w:rPr>
          <w:lang w:val="fr-FR"/>
        </w:rPr>
        <w:t>gulaire, comme indiqué au point </w:t>
      </w:r>
      <w:r w:rsidR="007E0260">
        <w:rPr>
          <w:lang w:val="fr-FR"/>
        </w:rPr>
        <w:t>9.4</w:t>
      </w:r>
      <w:r w:rsidRPr="001E1A55">
        <w:rPr>
          <w:lang w:val="fr-FR"/>
        </w:rPr>
        <w:t xml:space="preserve"> de la fiche de communication conforme au modèle décrit à l</w:t>
      </w:r>
      <w:r w:rsidR="00A32DC0">
        <w:rPr>
          <w:lang w:val="fr-FR"/>
        </w:rPr>
        <w:t>’</w:t>
      </w:r>
      <w:r w:rsidRPr="001E1A55">
        <w:rPr>
          <w:lang w:val="fr-FR"/>
        </w:rPr>
        <w:t xml:space="preserve">annexe 1 du Règlement </w:t>
      </w:r>
      <w:r w:rsidR="007E1F06" w:rsidRPr="007E1F06">
        <w:rPr>
          <w:rFonts w:eastAsia="MS Mincho"/>
          <w:szCs w:val="22"/>
          <w:lang w:val="fr-FR"/>
        </w:rPr>
        <w:t>n</w:t>
      </w:r>
      <w:r w:rsidR="007E1F06" w:rsidRPr="007E1F06">
        <w:rPr>
          <w:rFonts w:eastAsia="MS Mincho"/>
          <w:szCs w:val="22"/>
          <w:vertAlign w:val="superscript"/>
          <w:lang w:val="fr-FR"/>
        </w:rPr>
        <w:t>o</w:t>
      </w:r>
      <w:r w:rsidR="00AC0FFB">
        <w:rPr>
          <w:lang w:val="fr-FR"/>
        </w:rPr>
        <w:t> </w:t>
      </w:r>
      <w:r w:rsidRPr="001E1A55">
        <w:rPr>
          <w:lang w:val="fr-FR"/>
        </w:rPr>
        <w:t xml:space="preserve">123 </w:t>
      </w:r>
      <w:r w:rsidRPr="001E1A55">
        <w:rPr>
          <w:b/>
          <w:lang w:val="fr-FR"/>
        </w:rPr>
        <w:t>ou [RID]</w:t>
      </w:r>
      <w:r w:rsidRPr="001E1A55">
        <w:rPr>
          <w:lang w:val="fr-FR"/>
        </w:rPr>
        <w:t>.</w:t>
      </w:r>
      <w:r w:rsidR="00AC0FFB">
        <w:rPr>
          <w:lang w:val="fr-FR"/>
        </w:rPr>
        <w:t> »</w:t>
      </w:r>
    </w:p>
    <w:p w:rsidR="001E1A55" w:rsidRPr="001E1A55" w:rsidRDefault="001E1A55" w:rsidP="001E1A55">
      <w:pPr>
        <w:pStyle w:val="SingleTxtG"/>
        <w:keepNext/>
        <w:keepLines/>
        <w:rPr>
          <w:lang w:val="fr-FR"/>
        </w:rPr>
      </w:pPr>
      <w:r w:rsidRPr="001E1A55">
        <w:rPr>
          <w:i/>
          <w:lang w:val="fr-FR"/>
        </w:rPr>
        <w:t>Paragraphe 6.22.6.3</w:t>
      </w:r>
      <w:r w:rsidRPr="00AC0FFB">
        <w:t>,</w:t>
      </w:r>
      <w:r w:rsidRPr="001E1A55">
        <w:rPr>
          <w:i/>
          <w:lang w:val="fr-FR"/>
        </w:rPr>
        <w:t xml:space="preserve"> </w:t>
      </w:r>
      <w:r w:rsidR="00AC0FFB">
        <w:rPr>
          <w:lang w:val="fr-FR"/>
        </w:rPr>
        <w:t>modifier comme suit :</w:t>
      </w:r>
    </w:p>
    <w:p w:rsidR="001E1A55" w:rsidRPr="001E1A55" w:rsidRDefault="001E1A55" w:rsidP="00AC0FFB">
      <w:pPr>
        <w:pStyle w:val="SingleTxtG"/>
        <w:keepNext/>
        <w:keepLines/>
        <w:rPr>
          <w:lang w:val="fr-FR"/>
        </w:rPr>
      </w:pPr>
      <w:r w:rsidRPr="001E1A55">
        <w:rPr>
          <w:lang w:val="fr-FR"/>
        </w:rPr>
        <w:t>« 6</w:t>
      </w:r>
      <w:r w:rsidR="00AC0FFB">
        <w:rPr>
          <w:lang w:val="fr-FR"/>
        </w:rPr>
        <w:t>.22.6.3</w:t>
      </w:r>
      <w:r w:rsidR="00AC0FFB">
        <w:rPr>
          <w:lang w:val="fr-FR"/>
        </w:rPr>
        <w:tab/>
        <w:t>Orientation horizontale</w:t>
      </w:r>
    </w:p>
    <w:p w:rsidR="001E1A55" w:rsidRPr="001E1A55" w:rsidRDefault="00AC0FFB" w:rsidP="00A32DC0">
      <w:pPr>
        <w:pStyle w:val="SingleTxtG"/>
        <w:ind w:left="2268" w:hanging="1134"/>
        <w:rPr>
          <w:b/>
          <w:lang w:val="fr-FR"/>
        </w:rPr>
      </w:pPr>
      <w:r>
        <w:rPr>
          <w:lang w:val="fr-FR"/>
        </w:rPr>
        <w:tab/>
      </w:r>
      <w:r w:rsidR="001E1A55" w:rsidRPr="001E1A55">
        <w:rPr>
          <w:lang w:val="fr-FR"/>
        </w:rPr>
        <w:t>Pour chaque unité d</w:t>
      </w:r>
      <w:r w:rsidR="00A32DC0">
        <w:rPr>
          <w:lang w:val="fr-FR"/>
        </w:rPr>
        <w:t>’</w:t>
      </w:r>
      <w:r w:rsidR="001E1A55" w:rsidRPr="001E1A55">
        <w:rPr>
          <w:lang w:val="fr-FR"/>
        </w:rPr>
        <w:t>éclairage, le coude de la coupure, si elle existe, doit coïncider, lorsqu</w:t>
      </w:r>
      <w:r w:rsidR="00A32DC0">
        <w:rPr>
          <w:lang w:val="fr-FR"/>
        </w:rPr>
        <w:t>’</w:t>
      </w:r>
      <w:r w:rsidR="001E1A55" w:rsidRPr="001E1A55">
        <w:rPr>
          <w:lang w:val="fr-FR"/>
        </w:rPr>
        <w:t>il est projeté sur l</w:t>
      </w:r>
      <w:r w:rsidR="00A32DC0">
        <w:rPr>
          <w:lang w:val="fr-FR"/>
        </w:rPr>
        <w:t>’</w:t>
      </w:r>
      <w:r w:rsidR="001E1A55" w:rsidRPr="001E1A55">
        <w:rPr>
          <w:lang w:val="fr-FR"/>
        </w:rPr>
        <w:t>écran, avec la ligne verticale passant par l</w:t>
      </w:r>
      <w:r w:rsidR="00A32DC0">
        <w:rPr>
          <w:lang w:val="fr-FR"/>
        </w:rPr>
        <w:t>’</w:t>
      </w:r>
      <w:r w:rsidR="001E1A55" w:rsidRPr="001E1A55">
        <w:rPr>
          <w:lang w:val="fr-FR"/>
        </w:rPr>
        <w:t>axe de référence de ladite unité d</w:t>
      </w:r>
      <w:r w:rsidR="00A32DC0">
        <w:rPr>
          <w:lang w:val="fr-FR"/>
        </w:rPr>
        <w:t>’</w:t>
      </w:r>
      <w:r w:rsidR="001E1A55" w:rsidRPr="001E1A55">
        <w:rPr>
          <w:lang w:val="fr-FR"/>
        </w:rPr>
        <w:t>éclairage. Une tolérance de 0,5 degré vers le côté du sens de la circulation est admise. Les autres unités d</w:t>
      </w:r>
      <w:r w:rsidR="00A32DC0">
        <w:rPr>
          <w:lang w:val="fr-FR"/>
        </w:rPr>
        <w:t>’</w:t>
      </w:r>
      <w:r w:rsidR="001E1A55" w:rsidRPr="001E1A55">
        <w:rPr>
          <w:lang w:val="fr-FR"/>
        </w:rPr>
        <w:t>éclairage doivent être réglées conformément à l</w:t>
      </w:r>
      <w:r w:rsidR="00A32DC0">
        <w:rPr>
          <w:lang w:val="fr-FR"/>
        </w:rPr>
        <w:t>’</w:t>
      </w:r>
      <w:r w:rsidR="001E1A55" w:rsidRPr="001E1A55">
        <w:rPr>
          <w:lang w:val="fr-FR"/>
        </w:rPr>
        <w:t>indication du demandeur, comme indiqué à l</w:t>
      </w:r>
      <w:r w:rsidR="00A32DC0">
        <w:rPr>
          <w:lang w:val="fr-FR"/>
        </w:rPr>
        <w:t>’</w:t>
      </w:r>
      <w:r w:rsidR="001E1A55" w:rsidRPr="001E1A55">
        <w:rPr>
          <w:lang w:val="fr-FR"/>
        </w:rPr>
        <w:t xml:space="preserve">annexe 10 du Règlement </w:t>
      </w:r>
      <w:r w:rsidR="007E1F06" w:rsidRPr="007E1F06">
        <w:rPr>
          <w:rFonts w:eastAsia="MS Mincho"/>
          <w:szCs w:val="22"/>
          <w:lang w:val="fr-FR"/>
        </w:rPr>
        <w:t>n</w:t>
      </w:r>
      <w:r w:rsidR="007E1F06" w:rsidRPr="007E1F06">
        <w:rPr>
          <w:rFonts w:eastAsia="MS Mincho"/>
          <w:szCs w:val="22"/>
          <w:vertAlign w:val="superscript"/>
          <w:lang w:val="fr-FR"/>
        </w:rPr>
        <w:t>o</w:t>
      </w:r>
      <w:r>
        <w:rPr>
          <w:lang w:val="fr-FR"/>
        </w:rPr>
        <w:t> </w:t>
      </w:r>
      <w:r w:rsidR="001E1A55" w:rsidRPr="001E1A55">
        <w:rPr>
          <w:lang w:val="fr-FR"/>
        </w:rPr>
        <w:t xml:space="preserve">123 </w:t>
      </w:r>
      <w:r w:rsidR="001E1A55" w:rsidRPr="001E1A55">
        <w:rPr>
          <w:b/>
          <w:lang w:val="fr-FR"/>
        </w:rPr>
        <w:t>ou à l</w:t>
      </w:r>
      <w:r w:rsidR="00A32DC0">
        <w:rPr>
          <w:b/>
          <w:lang w:val="fr-FR"/>
        </w:rPr>
        <w:t>’</w:t>
      </w:r>
      <w:r>
        <w:rPr>
          <w:b/>
          <w:lang w:val="fr-FR"/>
        </w:rPr>
        <w:t>annexe </w:t>
      </w:r>
      <w:r w:rsidR="001E1A55" w:rsidRPr="001E1A55">
        <w:rPr>
          <w:b/>
          <w:lang w:val="fr-FR"/>
        </w:rPr>
        <w:t xml:space="preserve">14 du Règlement </w:t>
      </w:r>
      <w:r w:rsidR="007E1F06" w:rsidRPr="007E1F06">
        <w:rPr>
          <w:rFonts w:eastAsia="MS Mincho"/>
          <w:b/>
          <w:szCs w:val="22"/>
          <w:lang w:val="fr-FR"/>
        </w:rPr>
        <w:t>n</w:t>
      </w:r>
      <w:r w:rsidR="007E1F06" w:rsidRPr="007E1F06">
        <w:rPr>
          <w:rFonts w:eastAsia="MS Mincho"/>
          <w:b/>
          <w:szCs w:val="22"/>
          <w:vertAlign w:val="superscript"/>
          <w:lang w:val="fr-FR"/>
        </w:rPr>
        <w:t>o</w:t>
      </w:r>
      <w:r w:rsidR="007E1F06">
        <w:rPr>
          <w:rFonts w:eastAsia="MS Mincho"/>
          <w:b/>
          <w:szCs w:val="22"/>
          <w:lang w:val="fr-FR"/>
        </w:rPr>
        <w:t> </w:t>
      </w:r>
      <w:r w:rsidR="001E1A55" w:rsidRPr="001E1A55">
        <w:rPr>
          <w:b/>
          <w:lang w:val="fr-FR"/>
        </w:rPr>
        <w:t>[RID]</w:t>
      </w:r>
      <w:r>
        <w:rPr>
          <w:lang w:val="fr-FR"/>
        </w:rPr>
        <w:t>. »</w:t>
      </w:r>
    </w:p>
    <w:p w:rsidR="001E1A55" w:rsidRPr="001E1A55" w:rsidRDefault="001E1A55" w:rsidP="00167623">
      <w:pPr>
        <w:pStyle w:val="SingleTxtG"/>
        <w:keepNext/>
        <w:keepLines/>
        <w:rPr>
          <w:lang w:val="fr-FR"/>
        </w:rPr>
      </w:pPr>
      <w:r w:rsidRPr="001E1A55">
        <w:rPr>
          <w:i/>
          <w:lang w:val="fr-FR"/>
        </w:rPr>
        <w:t>Paragraphe 6.22.7.4.3</w:t>
      </w:r>
      <w:r w:rsidRPr="00AC0FFB">
        <w:t>,</w:t>
      </w:r>
      <w:r w:rsidRPr="001E1A55">
        <w:rPr>
          <w:i/>
          <w:lang w:val="fr-FR"/>
        </w:rPr>
        <w:t xml:space="preserve"> </w:t>
      </w:r>
      <w:r w:rsidR="00AC0FFB">
        <w:rPr>
          <w:lang w:val="fr-FR"/>
        </w:rPr>
        <w:t>modifier comme suit :</w:t>
      </w:r>
    </w:p>
    <w:p w:rsidR="001E1A55" w:rsidRPr="001E1A55" w:rsidRDefault="001E1A55" w:rsidP="00AC0FFB">
      <w:pPr>
        <w:pStyle w:val="SingleTxtG"/>
        <w:ind w:left="2268" w:hanging="1134"/>
        <w:rPr>
          <w:lang w:val="fr-FR"/>
        </w:rPr>
      </w:pPr>
      <w:r w:rsidRPr="001E1A55">
        <w:rPr>
          <w:lang w:val="fr-FR"/>
        </w:rPr>
        <w:t>« 6.22.7.4.3</w:t>
      </w:r>
      <w:r w:rsidRPr="001E1A55">
        <w:rPr>
          <w:lang w:val="fr-FR"/>
        </w:rPr>
        <w:tab/>
        <w:t>Le ou les modes de la classe E du faisceau de croisement ne doivent fonctionner que si la vitesse du véhicule dépasse 70 km/h et une ou plusieurs des conditions ci-dessous</w:t>
      </w:r>
      <w:r w:rsidR="00AC0FFB">
        <w:rPr>
          <w:lang w:val="fr-FR"/>
        </w:rPr>
        <w:t xml:space="preserve"> sont automatiquement détectées :</w:t>
      </w:r>
    </w:p>
    <w:p w:rsidR="001E1A55" w:rsidRPr="001E1A55" w:rsidRDefault="001E1A55" w:rsidP="00AC0FFB">
      <w:pPr>
        <w:pStyle w:val="SingleTxtG"/>
        <w:ind w:left="2835" w:hanging="567"/>
        <w:rPr>
          <w:lang w:val="fr-FR"/>
        </w:rPr>
      </w:pPr>
      <w:r w:rsidRPr="001E1A55">
        <w:rPr>
          <w:lang w:val="fr-FR"/>
        </w:rPr>
        <w:t>a)</w:t>
      </w:r>
      <w:r w:rsidRPr="001E1A55">
        <w:rPr>
          <w:lang w:val="fr-FR"/>
        </w:rPr>
        <w:tab/>
        <w:t>Les caractéristiques de la route correspondent à celles d</w:t>
      </w:r>
      <w:r w:rsidR="00A32DC0">
        <w:rPr>
          <w:lang w:val="fr-FR"/>
        </w:rPr>
        <w:t>’</w:t>
      </w:r>
      <w:r w:rsidRPr="001E1A55">
        <w:rPr>
          <w:lang w:val="fr-FR"/>
        </w:rPr>
        <w:t>une autoroute</w:t>
      </w:r>
      <w:r w:rsidR="00167623">
        <w:rPr>
          <w:lang w:val="fr-FR"/>
        </w:rPr>
        <w:t> </w:t>
      </w:r>
      <w:r w:rsidRPr="001E1A55">
        <w:rPr>
          <w:bCs/>
          <w:u w:val="single"/>
          <w:lang w:val="fr-FR"/>
        </w:rPr>
        <w:t>20</w:t>
      </w:r>
      <w:r w:rsidRPr="001E1A55">
        <w:rPr>
          <w:lang w:val="fr-FR"/>
        </w:rPr>
        <w:t>/ et/ou la vitesse du véhicule dépasse 110</w:t>
      </w:r>
      <w:r w:rsidR="00AC0FFB">
        <w:rPr>
          <w:lang w:val="fr-FR"/>
        </w:rPr>
        <w:t> km/h (application du signal E) ;</w:t>
      </w:r>
    </w:p>
    <w:p w:rsidR="001E1A55" w:rsidRPr="001E1A55" w:rsidRDefault="001E1A55" w:rsidP="00AC0FFB">
      <w:pPr>
        <w:pStyle w:val="SingleTxtG"/>
        <w:ind w:left="2835" w:hanging="567"/>
        <w:rPr>
          <w:b/>
          <w:lang w:val="fr-FR"/>
        </w:rPr>
      </w:pPr>
      <w:r w:rsidRPr="001E1A55">
        <w:rPr>
          <w:lang w:val="fr-FR"/>
        </w:rPr>
        <w:t>b)</w:t>
      </w:r>
      <w:r w:rsidRPr="001E1A55">
        <w:rPr>
          <w:lang w:val="fr-FR"/>
        </w:rPr>
        <w:tab/>
        <w:t>Lorsqu</w:t>
      </w:r>
      <w:r w:rsidR="00A32DC0">
        <w:rPr>
          <w:lang w:val="fr-FR"/>
        </w:rPr>
        <w:t>’</w:t>
      </w:r>
      <w:r w:rsidRPr="001E1A55">
        <w:rPr>
          <w:lang w:val="fr-FR"/>
        </w:rPr>
        <w:t>un mode de la classe E du faisceau de croisement est conforme, d</w:t>
      </w:r>
      <w:r w:rsidR="00A32DC0">
        <w:rPr>
          <w:lang w:val="fr-FR"/>
        </w:rPr>
        <w:t>’</w:t>
      </w:r>
      <w:r w:rsidRPr="001E1A55">
        <w:rPr>
          <w:lang w:val="fr-FR"/>
        </w:rPr>
        <w:t>après les documents d</w:t>
      </w:r>
      <w:r w:rsidR="00A32DC0">
        <w:rPr>
          <w:lang w:val="fr-FR"/>
        </w:rPr>
        <w:t>’</w:t>
      </w:r>
      <w:r w:rsidRPr="001E1A55">
        <w:rPr>
          <w:lang w:val="fr-FR"/>
        </w:rPr>
        <w:t>homologation ou la fiche de communication du système, à un ensemble de données du tableau 6 de l</w:t>
      </w:r>
      <w:r w:rsidR="00A32DC0">
        <w:rPr>
          <w:lang w:val="fr-FR"/>
        </w:rPr>
        <w:t>’</w:t>
      </w:r>
      <w:r w:rsidRPr="001E1A55">
        <w:rPr>
          <w:lang w:val="fr-FR"/>
        </w:rPr>
        <w:t xml:space="preserve">annexe 3 du Règlement </w:t>
      </w:r>
      <w:r w:rsidR="007E1F06" w:rsidRPr="007E1F06">
        <w:rPr>
          <w:rFonts w:eastAsia="MS Mincho"/>
          <w:szCs w:val="22"/>
          <w:lang w:val="fr-FR"/>
        </w:rPr>
        <w:t>n</w:t>
      </w:r>
      <w:r w:rsidR="007E1F06" w:rsidRPr="007E1F06">
        <w:rPr>
          <w:rFonts w:eastAsia="MS Mincho"/>
          <w:szCs w:val="22"/>
          <w:vertAlign w:val="superscript"/>
          <w:lang w:val="fr-FR"/>
        </w:rPr>
        <w:t>o</w:t>
      </w:r>
      <w:r w:rsidR="007E1F06">
        <w:rPr>
          <w:rFonts w:eastAsia="MS Mincho"/>
          <w:szCs w:val="22"/>
          <w:lang w:val="fr-FR"/>
        </w:rPr>
        <w:t> </w:t>
      </w:r>
      <w:r w:rsidRPr="001E1A55">
        <w:rPr>
          <w:lang w:val="fr-FR"/>
        </w:rPr>
        <w:t xml:space="preserve">123 </w:t>
      </w:r>
      <w:r w:rsidRPr="001E1A55">
        <w:rPr>
          <w:b/>
          <w:lang w:val="fr-FR"/>
        </w:rPr>
        <w:t>ou du tableau</w:t>
      </w:r>
      <w:r w:rsidR="00AC0FFB">
        <w:rPr>
          <w:b/>
          <w:lang w:val="fr-FR"/>
        </w:rPr>
        <w:t> </w:t>
      </w:r>
      <w:r w:rsidRPr="001E1A55">
        <w:rPr>
          <w:b/>
          <w:lang w:val="fr-FR"/>
        </w:rPr>
        <w:t xml:space="preserve">14 du Règlement </w:t>
      </w:r>
      <w:r w:rsidR="007E0260" w:rsidRPr="007E0260">
        <w:rPr>
          <w:rFonts w:eastAsia="MS Mincho"/>
          <w:b/>
          <w:szCs w:val="22"/>
          <w:lang w:val="fr-FR"/>
        </w:rPr>
        <w:t>n</w:t>
      </w:r>
      <w:r w:rsidR="007E0260" w:rsidRPr="007E0260">
        <w:rPr>
          <w:rFonts w:eastAsia="MS Mincho"/>
          <w:b/>
          <w:szCs w:val="22"/>
          <w:vertAlign w:val="superscript"/>
          <w:lang w:val="fr-FR"/>
        </w:rPr>
        <w:t>o</w:t>
      </w:r>
      <w:r w:rsidR="007E0260">
        <w:rPr>
          <w:rFonts w:eastAsia="MS Mincho"/>
          <w:b/>
          <w:szCs w:val="22"/>
          <w:lang w:val="fr-FR"/>
        </w:rPr>
        <w:t> </w:t>
      </w:r>
      <w:r w:rsidRPr="001E1A55">
        <w:rPr>
          <w:b/>
          <w:lang w:val="fr-FR"/>
        </w:rPr>
        <w:t>[RID]</w:t>
      </w:r>
      <w:r w:rsidRPr="001E1A55">
        <w:rPr>
          <w:lang w:val="fr-FR"/>
        </w:rPr>
        <w:t>.</w:t>
      </w:r>
    </w:p>
    <w:p w:rsidR="001E1A55" w:rsidRPr="001E1A55" w:rsidRDefault="00AC0FFB" w:rsidP="00AC0FFB">
      <w:pPr>
        <w:pStyle w:val="SingleTxtG"/>
        <w:ind w:left="2268"/>
        <w:rPr>
          <w:lang w:val="fr-FR"/>
        </w:rPr>
      </w:pPr>
      <w:r>
        <w:rPr>
          <w:lang w:val="fr-FR"/>
        </w:rPr>
        <w:t>Ensemble de données </w:t>
      </w:r>
      <w:r w:rsidR="001E1A55" w:rsidRPr="001E1A55">
        <w:rPr>
          <w:lang w:val="fr-FR"/>
        </w:rPr>
        <w:t>E1</w:t>
      </w:r>
      <w:r>
        <w:rPr>
          <w:lang w:val="fr-FR"/>
        </w:rPr>
        <w:t> </w:t>
      </w:r>
      <w:r w:rsidR="001E1A55" w:rsidRPr="001E1A55">
        <w:rPr>
          <w:lang w:val="fr-FR"/>
        </w:rPr>
        <w:t>: vitesse du véhicule supérieure à 100 </w:t>
      </w:r>
      <w:r>
        <w:rPr>
          <w:lang w:val="fr-FR"/>
        </w:rPr>
        <w:t>km/h (application du signal E1) ;</w:t>
      </w:r>
    </w:p>
    <w:p w:rsidR="001E1A55" w:rsidRPr="001E1A55" w:rsidRDefault="001E1A55" w:rsidP="00AC0FFB">
      <w:pPr>
        <w:pStyle w:val="SingleTxtG"/>
        <w:ind w:left="2268"/>
        <w:rPr>
          <w:lang w:val="fr-FR"/>
        </w:rPr>
      </w:pPr>
      <w:r w:rsidRPr="001E1A55">
        <w:rPr>
          <w:lang w:val="fr-FR"/>
        </w:rPr>
        <w:t>Ensemble de données E2</w:t>
      </w:r>
      <w:r w:rsidR="00AC0FFB">
        <w:rPr>
          <w:lang w:val="fr-FR"/>
        </w:rPr>
        <w:t> </w:t>
      </w:r>
      <w:r w:rsidRPr="001E1A55">
        <w:rPr>
          <w:lang w:val="fr-FR"/>
        </w:rPr>
        <w:t>: la</w:t>
      </w:r>
      <w:r w:rsidR="00AC0FFB">
        <w:rPr>
          <w:lang w:val="fr-FR"/>
        </w:rPr>
        <w:t xml:space="preserve"> vitesse du véhicule dépasse 90 km/h (application du signal E2) ;</w:t>
      </w:r>
    </w:p>
    <w:p w:rsidR="001E1A55" w:rsidRPr="001E1A55" w:rsidRDefault="001E1A55" w:rsidP="00AC0FFB">
      <w:pPr>
        <w:pStyle w:val="SingleTxtG"/>
        <w:ind w:left="2268"/>
        <w:rPr>
          <w:lang w:val="fr-FR"/>
        </w:rPr>
      </w:pPr>
      <w:r w:rsidRPr="001E1A55">
        <w:rPr>
          <w:lang w:val="fr-FR"/>
        </w:rPr>
        <w:t>Ensemble de données E3</w:t>
      </w:r>
      <w:r w:rsidR="00AC0FFB">
        <w:rPr>
          <w:lang w:val="fr-FR"/>
        </w:rPr>
        <w:t> </w:t>
      </w:r>
      <w:r w:rsidRPr="001E1A55">
        <w:rPr>
          <w:lang w:val="fr-FR"/>
        </w:rPr>
        <w:t>: la vitesse du véhicule dépasse 80 km/</w:t>
      </w:r>
      <w:r w:rsidR="00AC0FFB">
        <w:rPr>
          <w:lang w:val="fr-FR"/>
        </w:rPr>
        <w:t>h (application du signal E3). »</w:t>
      </w:r>
    </w:p>
    <w:p w:rsidR="001E1A55" w:rsidRPr="001E1A55" w:rsidRDefault="001E1A55" w:rsidP="00AC0FFB">
      <w:pPr>
        <w:pStyle w:val="SingleTxtG"/>
        <w:keepNext/>
        <w:keepLines/>
        <w:rPr>
          <w:lang w:val="fr-FR"/>
        </w:rPr>
      </w:pPr>
      <w:r w:rsidRPr="001E1A55">
        <w:rPr>
          <w:i/>
          <w:lang w:val="fr-FR"/>
        </w:rPr>
        <w:t>Paragraphe 6.22.8.2</w:t>
      </w:r>
      <w:r w:rsidRPr="00AC0FFB">
        <w:t>,</w:t>
      </w:r>
      <w:r w:rsidRPr="001E1A55">
        <w:rPr>
          <w:i/>
          <w:lang w:val="fr-FR"/>
        </w:rPr>
        <w:t xml:space="preserve"> </w:t>
      </w:r>
      <w:r w:rsidRPr="001E1A55">
        <w:rPr>
          <w:lang w:val="fr-FR"/>
        </w:rPr>
        <w:t>modifier</w:t>
      </w:r>
      <w:r w:rsidR="00AC0FFB">
        <w:rPr>
          <w:lang w:val="fr-FR"/>
        </w:rPr>
        <w:t xml:space="preserve"> comme suit :</w:t>
      </w:r>
    </w:p>
    <w:p w:rsidR="001E1A55" w:rsidRPr="00167623" w:rsidRDefault="001E1A55" w:rsidP="00AC0FFB">
      <w:pPr>
        <w:pStyle w:val="SingleTxtG"/>
        <w:ind w:left="2268" w:hanging="1134"/>
      </w:pPr>
      <w:r w:rsidRPr="001E1A55">
        <w:rPr>
          <w:lang w:val="fr-FR"/>
        </w:rPr>
        <w:t>« 6.22.8.2</w:t>
      </w:r>
      <w:r w:rsidRPr="001E1A55">
        <w:rPr>
          <w:lang w:val="fr-FR"/>
        </w:rPr>
        <w:tab/>
        <w:t>L</w:t>
      </w:r>
      <w:r w:rsidR="00A32DC0">
        <w:rPr>
          <w:lang w:val="fr-FR"/>
        </w:rPr>
        <w:t>’</w:t>
      </w:r>
      <w:r w:rsidRPr="001E1A55">
        <w:rPr>
          <w:lang w:val="fr-FR"/>
        </w:rPr>
        <w:t>AFS doit obligatoirement être muni d</w:t>
      </w:r>
      <w:r w:rsidR="00A32DC0">
        <w:rPr>
          <w:lang w:val="fr-FR"/>
        </w:rPr>
        <w:t>’</w:t>
      </w:r>
      <w:r w:rsidRPr="001E1A55">
        <w:rPr>
          <w:lang w:val="fr-FR"/>
        </w:rPr>
        <w:t>un témoin visuel de panne non clignotant. Ce témoin doit être activé chaque fois qu</w:t>
      </w:r>
      <w:r w:rsidR="00A32DC0">
        <w:rPr>
          <w:lang w:val="fr-FR"/>
        </w:rPr>
        <w:t>’</w:t>
      </w:r>
      <w:r w:rsidRPr="001E1A55">
        <w:rPr>
          <w:lang w:val="fr-FR"/>
        </w:rPr>
        <w:t>une défaillance est détectée sur les signaux de commande AFS ou lorsqu</w:t>
      </w:r>
      <w:r w:rsidR="00A32DC0">
        <w:rPr>
          <w:lang w:val="fr-FR"/>
        </w:rPr>
        <w:t>’</w:t>
      </w:r>
      <w:r w:rsidRPr="001E1A55">
        <w:rPr>
          <w:lang w:val="fr-FR"/>
        </w:rPr>
        <w:t>un signal de défaillance est reçu conf</w:t>
      </w:r>
      <w:r w:rsidR="00167623">
        <w:rPr>
          <w:lang w:val="fr-FR"/>
        </w:rPr>
        <w:t>ormément au paragraphe </w:t>
      </w:r>
      <w:r w:rsidRPr="001E1A55">
        <w:rPr>
          <w:lang w:val="fr-FR"/>
        </w:rPr>
        <w:t xml:space="preserve">5.9 du Règlement </w:t>
      </w:r>
      <w:r w:rsidR="007E1F06" w:rsidRPr="007E1F06">
        <w:rPr>
          <w:rFonts w:eastAsia="MS Mincho"/>
          <w:szCs w:val="22"/>
          <w:lang w:val="fr-FR"/>
        </w:rPr>
        <w:t>n</w:t>
      </w:r>
      <w:r w:rsidR="007E1F06" w:rsidRPr="007E1F06">
        <w:rPr>
          <w:rFonts w:eastAsia="MS Mincho"/>
          <w:szCs w:val="22"/>
          <w:vertAlign w:val="superscript"/>
          <w:lang w:val="fr-FR"/>
        </w:rPr>
        <w:t>o</w:t>
      </w:r>
      <w:r w:rsidR="007E1F06">
        <w:rPr>
          <w:rFonts w:eastAsia="MS Mincho"/>
          <w:szCs w:val="22"/>
          <w:lang w:val="fr-FR"/>
        </w:rPr>
        <w:t> </w:t>
      </w:r>
      <w:r w:rsidRPr="001E1A55">
        <w:rPr>
          <w:lang w:val="fr-FR"/>
        </w:rPr>
        <w:t xml:space="preserve">123 </w:t>
      </w:r>
      <w:r w:rsidRPr="001E1A55">
        <w:rPr>
          <w:b/>
          <w:lang w:val="fr-FR"/>
        </w:rPr>
        <w:t>ou au paragraphe</w:t>
      </w:r>
      <w:r w:rsidR="00167623">
        <w:rPr>
          <w:b/>
          <w:lang w:val="fr-FR"/>
        </w:rPr>
        <w:t> </w:t>
      </w:r>
      <w:r w:rsidRPr="001E1A55">
        <w:rPr>
          <w:b/>
          <w:lang w:val="fr-FR"/>
        </w:rPr>
        <w:t xml:space="preserve">4.13 du Règlement </w:t>
      </w:r>
      <w:r w:rsidR="007E0260" w:rsidRPr="007E0260">
        <w:rPr>
          <w:rFonts w:eastAsia="MS Mincho"/>
          <w:b/>
          <w:szCs w:val="22"/>
          <w:lang w:val="fr-FR"/>
        </w:rPr>
        <w:t>n</w:t>
      </w:r>
      <w:r w:rsidR="007E0260" w:rsidRPr="007E0260">
        <w:rPr>
          <w:rFonts w:eastAsia="MS Mincho"/>
          <w:b/>
          <w:szCs w:val="22"/>
          <w:vertAlign w:val="superscript"/>
          <w:lang w:val="fr-FR"/>
        </w:rPr>
        <w:t>o</w:t>
      </w:r>
      <w:r w:rsidR="007E0260">
        <w:rPr>
          <w:rFonts w:eastAsia="MS Mincho"/>
          <w:b/>
          <w:szCs w:val="22"/>
          <w:lang w:val="fr-FR"/>
        </w:rPr>
        <w:t> </w:t>
      </w:r>
      <w:r w:rsidRPr="001E1A55">
        <w:rPr>
          <w:b/>
          <w:lang w:val="fr-FR"/>
        </w:rPr>
        <w:t>[RID]</w:t>
      </w:r>
      <w:r w:rsidRPr="001E1A55">
        <w:rPr>
          <w:lang w:val="fr-FR"/>
        </w:rPr>
        <w:t>. Le témoin doit rester activé aussi longtemps que dure la défaillance. Il peut être désactivé temporairement mais doit être remis en fonction chaque fois que le dispositif qui met le moteur en marche ou le c</w:t>
      </w:r>
      <w:r w:rsidR="00AC0FFB">
        <w:rPr>
          <w:lang w:val="fr-FR"/>
        </w:rPr>
        <w:t>oupe est activé ou désactivé</w:t>
      </w:r>
      <w:r w:rsidR="00AC0FFB" w:rsidRPr="00167623">
        <w:t>. »</w:t>
      </w:r>
    </w:p>
    <w:p w:rsidR="001E1A55" w:rsidRPr="001E1A55" w:rsidRDefault="001E1A55" w:rsidP="00AC0FFB">
      <w:pPr>
        <w:pStyle w:val="SingleTxtG"/>
        <w:keepNext/>
        <w:keepLines/>
        <w:rPr>
          <w:lang w:val="fr-FR"/>
        </w:rPr>
      </w:pPr>
      <w:r w:rsidRPr="001E1A55">
        <w:rPr>
          <w:i/>
          <w:lang w:val="fr-FR"/>
        </w:rPr>
        <w:t>Paragraphe 6.22.8.3</w:t>
      </w:r>
      <w:r w:rsidRPr="00AC0FFB">
        <w:t>,</w:t>
      </w:r>
      <w:r w:rsidRPr="001E1A55">
        <w:rPr>
          <w:i/>
          <w:lang w:val="fr-FR"/>
        </w:rPr>
        <w:t xml:space="preserve"> </w:t>
      </w:r>
      <w:r w:rsidR="00AC0FFB">
        <w:rPr>
          <w:lang w:val="fr-FR"/>
        </w:rPr>
        <w:t>modifier comme suit :</w:t>
      </w:r>
    </w:p>
    <w:p w:rsidR="001E1A55" w:rsidRPr="001E1A55" w:rsidRDefault="001E1A55" w:rsidP="00AC0FFB">
      <w:pPr>
        <w:pStyle w:val="SingleTxtG"/>
        <w:ind w:left="2268" w:hanging="1134"/>
        <w:rPr>
          <w:lang w:val="fr-FR"/>
        </w:rPr>
      </w:pPr>
      <w:r w:rsidRPr="001E1A55">
        <w:rPr>
          <w:lang w:val="fr-FR"/>
        </w:rPr>
        <w:t>« 6.22.8.3</w:t>
      </w:r>
      <w:r w:rsidRPr="001E1A55">
        <w:rPr>
          <w:lang w:val="fr-FR"/>
        </w:rPr>
        <w:tab/>
        <w:t>Un témoin servant à indiquer que le conducteur a placé le système dans l</w:t>
      </w:r>
      <w:r w:rsidR="00A32DC0">
        <w:rPr>
          <w:lang w:val="fr-FR"/>
        </w:rPr>
        <w:t>’</w:t>
      </w:r>
      <w:r w:rsidR="00167623">
        <w:rPr>
          <w:lang w:val="fr-FR"/>
        </w:rPr>
        <w:t>état prescrit au paragraphe </w:t>
      </w:r>
      <w:r w:rsidRPr="001E1A55">
        <w:rPr>
          <w:lang w:val="fr-FR"/>
        </w:rPr>
        <w:t xml:space="preserve">5.8 du Règlement </w:t>
      </w:r>
      <w:r w:rsidR="007E1F06" w:rsidRPr="007E1F06">
        <w:rPr>
          <w:rFonts w:eastAsia="MS Mincho"/>
          <w:szCs w:val="22"/>
          <w:lang w:val="fr-FR"/>
        </w:rPr>
        <w:t>n</w:t>
      </w:r>
      <w:r w:rsidR="007E1F06" w:rsidRPr="007E1F06">
        <w:rPr>
          <w:rFonts w:eastAsia="MS Mincho"/>
          <w:szCs w:val="22"/>
          <w:vertAlign w:val="superscript"/>
          <w:lang w:val="fr-FR"/>
        </w:rPr>
        <w:t>o</w:t>
      </w:r>
      <w:r w:rsidR="007E1F06">
        <w:rPr>
          <w:rFonts w:eastAsia="MS Mincho"/>
          <w:szCs w:val="22"/>
          <w:lang w:val="fr-FR"/>
        </w:rPr>
        <w:t> </w:t>
      </w:r>
      <w:r w:rsidRPr="001E1A55">
        <w:rPr>
          <w:lang w:val="fr-FR"/>
        </w:rPr>
        <w:t xml:space="preserve">123 </w:t>
      </w:r>
      <w:r w:rsidRPr="001E1A55">
        <w:rPr>
          <w:b/>
          <w:lang w:val="fr-FR"/>
        </w:rPr>
        <w:t xml:space="preserve">ou au paragraphe 4.12 du Règlement </w:t>
      </w:r>
      <w:r w:rsidR="007E1F06" w:rsidRPr="007E1F06">
        <w:rPr>
          <w:rFonts w:eastAsia="MS Mincho"/>
          <w:b/>
          <w:szCs w:val="22"/>
          <w:lang w:val="fr-FR"/>
        </w:rPr>
        <w:t>n</w:t>
      </w:r>
      <w:r w:rsidR="007E1F06" w:rsidRPr="007E1F06">
        <w:rPr>
          <w:rFonts w:eastAsia="MS Mincho"/>
          <w:b/>
          <w:szCs w:val="22"/>
          <w:vertAlign w:val="superscript"/>
          <w:lang w:val="fr-FR"/>
        </w:rPr>
        <w:t>o</w:t>
      </w:r>
      <w:r w:rsidR="007E1F06">
        <w:rPr>
          <w:rFonts w:eastAsia="MS Mincho"/>
          <w:b/>
          <w:szCs w:val="22"/>
          <w:lang w:val="fr-FR"/>
        </w:rPr>
        <w:t> </w:t>
      </w:r>
      <w:r w:rsidRPr="001E1A55">
        <w:rPr>
          <w:b/>
          <w:lang w:val="fr-FR"/>
        </w:rPr>
        <w:t xml:space="preserve">[RID] </w:t>
      </w:r>
      <w:r w:rsidR="00AC0FFB">
        <w:rPr>
          <w:lang w:val="fr-FR"/>
        </w:rPr>
        <w:t>est facultatif. »</w:t>
      </w:r>
    </w:p>
    <w:p w:rsidR="001E1A55" w:rsidRPr="001E1A55" w:rsidRDefault="001E1A55" w:rsidP="00AC0FFB">
      <w:pPr>
        <w:pStyle w:val="SingleTxtG"/>
        <w:keepNext/>
        <w:keepLines/>
        <w:rPr>
          <w:lang w:val="fr-FR"/>
        </w:rPr>
      </w:pPr>
      <w:r w:rsidRPr="001E1A55">
        <w:rPr>
          <w:i/>
          <w:lang w:val="fr-FR"/>
        </w:rPr>
        <w:t>Paragraphe 6.22.9.1</w:t>
      </w:r>
      <w:r w:rsidRPr="00AC0FFB">
        <w:t>,</w:t>
      </w:r>
      <w:r w:rsidRPr="001E1A55">
        <w:rPr>
          <w:i/>
          <w:lang w:val="fr-FR"/>
        </w:rPr>
        <w:t xml:space="preserve"> </w:t>
      </w:r>
      <w:r w:rsidR="00AC0FFB">
        <w:rPr>
          <w:lang w:val="fr-FR"/>
        </w:rPr>
        <w:t>modifier comme suit :</w:t>
      </w:r>
    </w:p>
    <w:p w:rsidR="001E1A55" w:rsidRPr="001E1A55" w:rsidRDefault="001E1A55" w:rsidP="00AC0FFB">
      <w:pPr>
        <w:pStyle w:val="SingleTxtG"/>
        <w:ind w:left="2268" w:hanging="1134"/>
        <w:rPr>
          <w:lang w:val="fr-FR"/>
        </w:rPr>
      </w:pPr>
      <w:r w:rsidRPr="001E1A55">
        <w:rPr>
          <w:lang w:val="fr-FR"/>
        </w:rPr>
        <w:t>« 6.22.9.1</w:t>
      </w:r>
      <w:r w:rsidRPr="001E1A55">
        <w:rPr>
          <w:lang w:val="fr-FR"/>
        </w:rPr>
        <w:tab/>
        <w:t>Le montage d</w:t>
      </w:r>
      <w:r w:rsidR="00A32DC0">
        <w:rPr>
          <w:lang w:val="fr-FR"/>
        </w:rPr>
        <w:t>’</w:t>
      </w:r>
      <w:r w:rsidRPr="001E1A55">
        <w:rPr>
          <w:lang w:val="fr-FR"/>
        </w:rPr>
        <w:t>un système AFS n</w:t>
      </w:r>
      <w:r w:rsidR="00A32DC0">
        <w:rPr>
          <w:lang w:val="fr-FR"/>
        </w:rPr>
        <w:t>’</w:t>
      </w:r>
      <w:r w:rsidRPr="001E1A55">
        <w:rPr>
          <w:lang w:val="fr-FR"/>
        </w:rPr>
        <w:t xml:space="preserve">est autorisé que si le véhicule est aussi équipé de dispositifs de nettoyage des projecteurs conformes au Règlement </w:t>
      </w:r>
      <w:r w:rsidR="007E1F06" w:rsidRPr="007E1F06">
        <w:rPr>
          <w:rFonts w:eastAsia="MS Mincho"/>
          <w:szCs w:val="22"/>
          <w:lang w:val="fr-FR"/>
        </w:rPr>
        <w:t>n</w:t>
      </w:r>
      <w:r w:rsidR="007E1F06" w:rsidRPr="007E1F06">
        <w:rPr>
          <w:rFonts w:eastAsia="MS Mincho"/>
          <w:szCs w:val="22"/>
          <w:vertAlign w:val="superscript"/>
          <w:lang w:val="fr-FR"/>
        </w:rPr>
        <w:t>o</w:t>
      </w:r>
      <w:r w:rsidR="007E1F06">
        <w:rPr>
          <w:rFonts w:eastAsia="MS Mincho"/>
          <w:szCs w:val="22"/>
          <w:lang w:val="fr-FR"/>
        </w:rPr>
        <w:t> </w:t>
      </w:r>
      <w:r w:rsidR="00167623">
        <w:rPr>
          <w:lang w:val="fr-FR"/>
        </w:rPr>
        <w:t>45 </w:t>
      </w:r>
      <w:r w:rsidRPr="007E0260">
        <w:t>22</w:t>
      </w:r>
      <w:r w:rsidRPr="001E1A55">
        <w:rPr>
          <w:lang w:val="fr-FR"/>
        </w:rPr>
        <w:t>/, au moins sur les unités d</w:t>
      </w:r>
      <w:r w:rsidR="00A32DC0">
        <w:rPr>
          <w:lang w:val="fr-FR"/>
        </w:rPr>
        <w:t>’</w:t>
      </w:r>
      <w:r w:rsidRPr="001E1A55">
        <w:rPr>
          <w:lang w:val="fr-FR"/>
        </w:rPr>
        <w:t>éclairage énumérées au point 9.3 de la fiche de communication conforme au modèle de l</w:t>
      </w:r>
      <w:r w:rsidR="00A32DC0">
        <w:rPr>
          <w:lang w:val="fr-FR"/>
        </w:rPr>
        <w:t>’</w:t>
      </w:r>
      <w:r w:rsidRPr="001E1A55">
        <w:rPr>
          <w:lang w:val="fr-FR"/>
        </w:rPr>
        <w:t xml:space="preserve">annexe 1 du Règlement </w:t>
      </w:r>
      <w:r w:rsidR="007E1F06" w:rsidRPr="007E1F06">
        <w:rPr>
          <w:rFonts w:eastAsia="MS Mincho"/>
          <w:szCs w:val="22"/>
          <w:lang w:val="fr-FR"/>
        </w:rPr>
        <w:t>n</w:t>
      </w:r>
      <w:r w:rsidR="007E1F06" w:rsidRPr="007E1F06">
        <w:rPr>
          <w:rFonts w:eastAsia="MS Mincho"/>
          <w:szCs w:val="22"/>
          <w:vertAlign w:val="superscript"/>
          <w:lang w:val="fr-FR"/>
        </w:rPr>
        <w:t>o</w:t>
      </w:r>
      <w:r w:rsidR="007E1F06">
        <w:rPr>
          <w:rFonts w:eastAsia="MS Mincho"/>
          <w:szCs w:val="22"/>
          <w:lang w:val="fr-FR"/>
        </w:rPr>
        <w:t> </w:t>
      </w:r>
      <w:r w:rsidRPr="001E1A55">
        <w:rPr>
          <w:lang w:val="fr-FR"/>
        </w:rPr>
        <w:t xml:space="preserve">123 </w:t>
      </w:r>
      <w:r w:rsidR="00AC0FFB">
        <w:rPr>
          <w:b/>
          <w:lang w:val="fr-FR"/>
        </w:rPr>
        <w:t>ou au point </w:t>
      </w:r>
      <w:r w:rsidRPr="001E1A55">
        <w:rPr>
          <w:b/>
          <w:lang w:val="fr-FR"/>
        </w:rPr>
        <w:t>9.3.3 de l</w:t>
      </w:r>
      <w:r w:rsidR="00A32DC0">
        <w:rPr>
          <w:b/>
          <w:lang w:val="fr-FR"/>
        </w:rPr>
        <w:t>’</w:t>
      </w:r>
      <w:r w:rsidR="00AC0FFB">
        <w:rPr>
          <w:b/>
          <w:lang w:val="fr-FR"/>
        </w:rPr>
        <w:t>annexe </w:t>
      </w:r>
      <w:r w:rsidRPr="001E1A55">
        <w:rPr>
          <w:b/>
          <w:lang w:val="fr-FR"/>
        </w:rPr>
        <w:t xml:space="preserve">1 du Règlement </w:t>
      </w:r>
      <w:r w:rsidR="007E1F06" w:rsidRPr="007E1F06">
        <w:rPr>
          <w:rFonts w:eastAsia="MS Mincho"/>
          <w:b/>
          <w:szCs w:val="22"/>
          <w:lang w:val="fr-FR"/>
        </w:rPr>
        <w:t>n</w:t>
      </w:r>
      <w:r w:rsidR="007E1F06" w:rsidRPr="007E1F06">
        <w:rPr>
          <w:rFonts w:eastAsia="MS Mincho"/>
          <w:b/>
          <w:szCs w:val="22"/>
          <w:vertAlign w:val="superscript"/>
          <w:lang w:val="fr-FR"/>
        </w:rPr>
        <w:t>o</w:t>
      </w:r>
      <w:r w:rsidR="007E1F06">
        <w:rPr>
          <w:rFonts w:eastAsia="MS Mincho"/>
          <w:b/>
          <w:szCs w:val="22"/>
          <w:lang w:val="fr-FR"/>
        </w:rPr>
        <w:t> </w:t>
      </w:r>
      <w:r w:rsidRPr="001E1A55">
        <w:rPr>
          <w:b/>
          <w:lang w:val="fr-FR"/>
        </w:rPr>
        <w:t>[RID]</w:t>
      </w:r>
      <w:r w:rsidRPr="001E1A55">
        <w:rPr>
          <w:lang w:val="fr-FR"/>
        </w:rPr>
        <w:t>, si le flux lumineux normal total des sources lumineuses de ces unités d</w:t>
      </w:r>
      <w:r w:rsidR="00A32DC0">
        <w:rPr>
          <w:lang w:val="fr-FR"/>
        </w:rPr>
        <w:t>’</w:t>
      </w:r>
      <w:r w:rsidRPr="001E1A55">
        <w:rPr>
          <w:lang w:val="fr-FR"/>
        </w:rPr>
        <w:t>éclairage dépasse 2 000 lm par côté, et si ces unités contribuent au faisceau de crois</w:t>
      </w:r>
      <w:r w:rsidR="00AC0FFB">
        <w:rPr>
          <w:lang w:val="fr-FR"/>
        </w:rPr>
        <w:t>ement (élémentaire) classe C. »</w:t>
      </w:r>
    </w:p>
    <w:p w:rsidR="001E1A55" w:rsidRPr="001E1A55" w:rsidRDefault="001E1A55" w:rsidP="00AC0FFB">
      <w:pPr>
        <w:pStyle w:val="SingleTxtG"/>
        <w:keepNext/>
        <w:keepLines/>
        <w:rPr>
          <w:lang w:val="fr-FR"/>
        </w:rPr>
      </w:pPr>
      <w:r w:rsidRPr="001E1A55">
        <w:rPr>
          <w:i/>
          <w:lang w:val="fr-FR"/>
        </w:rPr>
        <w:t>Paragraphe 6.22.9.4</w:t>
      </w:r>
      <w:r w:rsidRPr="00AC0FFB">
        <w:t>,</w:t>
      </w:r>
      <w:r w:rsidRPr="001E1A55">
        <w:rPr>
          <w:i/>
          <w:lang w:val="fr-FR"/>
        </w:rPr>
        <w:t xml:space="preserve"> </w:t>
      </w:r>
      <w:r w:rsidRPr="001E1A55">
        <w:rPr>
          <w:lang w:val="fr-FR"/>
        </w:rPr>
        <w:t>modifier comme suit</w:t>
      </w:r>
      <w:r w:rsidR="00AC0FFB">
        <w:rPr>
          <w:lang w:val="fr-FR"/>
        </w:rPr>
        <w:t> :</w:t>
      </w:r>
    </w:p>
    <w:p w:rsidR="001E1A55" w:rsidRPr="001E1A55" w:rsidRDefault="001E1A55" w:rsidP="00AC0FFB">
      <w:pPr>
        <w:pStyle w:val="SingleTxtG"/>
        <w:ind w:left="2268" w:hanging="1134"/>
        <w:rPr>
          <w:lang w:val="fr-FR"/>
        </w:rPr>
      </w:pPr>
      <w:r w:rsidRPr="001E1A55">
        <w:rPr>
          <w:lang w:val="fr-FR"/>
        </w:rPr>
        <w:t>« 6.22.9.4</w:t>
      </w:r>
      <w:r w:rsidRPr="001E1A55">
        <w:rPr>
          <w:lang w:val="fr-FR"/>
        </w:rPr>
        <w:tab/>
        <w:t xml:space="preserve">Les moyens permettant, conformément aux dispositions du paragraphe 5.8 du Règlement </w:t>
      </w:r>
      <w:r w:rsidR="007E1F06" w:rsidRPr="007E1F06">
        <w:rPr>
          <w:rFonts w:eastAsia="MS Mincho"/>
          <w:szCs w:val="22"/>
          <w:lang w:val="fr-FR"/>
        </w:rPr>
        <w:t>n</w:t>
      </w:r>
      <w:r w:rsidR="007E1F06" w:rsidRPr="007E1F06">
        <w:rPr>
          <w:rFonts w:eastAsia="MS Mincho"/>
          <w:szCs w:val="22"/>
          <w:vertAlign w:val="superscript"/>
          <w:lang w:val="fr-FR"/>
        </w:rPr>
        <w:t>o</w:t>
      </w:r>
      <w:r w:rsidR="007E1F06">
        <w:rPr>
          <w:rFonts w:eastAsia="MS Mincho"/>
          <w:szCs w:val="22"/>
          <w:lang w:val="fr-FR"/>
        </w:rPr>
        <w:t> </w:t>
      </w:r>
      <w:r w:rsidRPr="001E1A55">
        <w:rPr>
          <w:lang w:val="fr-FR"/>
        </w:rPr>
        <w:t xml:space="preserve">123 </w:t>
      </w:r>
      <w:r w:rsidRPr="001E1A55">
        <w:rPr>
          <w:b/>
          <w:lang w:val="fr-FR"/>
        </w:rPr>
        <w:t xml:space="preserve">ou du paragraphe 4.12 du Règlement </w:t>
      </w:r>
      <w:r w:rsidR="007E1F06" w:rsidRPr="007E1F06">
        <w:rPr>
          <w:rFonts w:eastAsia="MS Mincho"/>
          <w:b/>
          <w:szCs w:val="22"/>
          <w:lang w:val="fr-FR"/>
        </w:rPr>
        <w:t>n</w:t>
      </w:r>
      <w:r w:rsidR="007E1F06" w:rsidRPr="007E1F06">
        <w:rPr>
          <w:rFonts w:eastAsia="MS Mincho"/>
          <w:b/>
          <w:szCs w:val="22"/>
          <w:vertAlign w:val="superscript"/>
          <w:lang w:val="fr-FR"/>
        </w:rPr>
        <w:t>o</w:t>
      </w:r>
      <w:r w:rsidR="007E1F06">
        <w:rPr>
          <w:rFonts w:eastAsia="MS Mincho"/>
          <w:b/>
          <w:szCs w:val="22"/>
          <w:lang w:val="fr-FR"/>
        </w:rPr>
        <w:t> </w:t>
      </w:r>
      <w:r w:rsidRPr="001E1A55">
        <w:rPr>
          <w:b/>
          <w:lang w:val="fr-FR"/>
        </w:rPr>
        <w:t>RID]</w:t>
      </w:r>
      <w:r w:rsidRPr="001E1A55">
        <w:rPr>
          <w:lang w:val="fr-FR"/>
        </w:rPr>
        <w:t>, à un véhicule d</w:t>
      </w:r>
      <w:r w:rsidR="00A32DC0">
        <w:rPr>
          <w:lang w:val="fr-FR"/>
        </w:rPr>
        <w:t>’</w:t>
      </w:r>
      <w:r w:rsidRPr="001E1A55">
        <w:rPr>
          <w:lang w:val="fr-FR"/>
        </w:rPr>
        <w:t>être provisoirement conduit dans un pays où la circulation se fait du côté opposé à celui pour lequel l</w:t>
      </w:r>
      <w:r w:rsidR="00A32DC0">
        <w:rPr>
          <w:lang w:val="fr-FR"/>
        </w:rPr>
        <w:t>’</w:t>
      </w:r>
      <w:r w:rsidRPr="001E1A55">
        <w:rPr>
          <w:lang w:val="fr-FR"/>
        </w:rPr>
        <w:t>homologation est demandée, doivent être expliqués en détail dans le manuel d</w:t>
      </w:r>
      <w:r w:rsidR="00A32DC0">
        <w:rPr>
          <w:lang w:val="fr-FR"/>
        </w:rPr>
        <w:t>’</w:t>
      </w:r>
      <w:r w:rsidR="00AC0FFB">
        <w:rPr>
          <w:lang w:val="fr-FR"/>
        </w:rPr>
        <w:t>utilisation du véhicule. »</w:t>
      </w:r>
    </w:p>
    <w:p w:rsidR="001E1A55" w:rsidRPr="001E1A55" w:rsidRDefault="001E1A55" w:rsidP="00AC0FFB">
      <w:pPr>
        <w:pStyle w:val="HChG"/>
        <w:rPr>
          <w:lang w:val="fr-FR"/>
        </w:rPr>
      </w:pPr>
      <w:r w:rsidRPr="001E1A55">
        <w:rPr>
          <w:lang w:val="fr-FR"/>
        </w:rPr>
        <w:tab/>
        <w:t>II.</w:t>
      </w:r>
      <w:r w:rsidRPr="001E1A55">
        <w:rPr>
          <w:lang w:val="fr-FR"/>
        </w:rPr>
        <w:tab/>
        <w:t>Justification</w:t>
      </w:r>
    </w:p>
    <w:p w:rsidR="001E1A55" w:rsidRPr="001E1A55" w:rsidRDefault="001E1A55" w:rsidP="001E1A55">
      <w:pPr>
        <w:pStyle w:val="SingleTxtG"/>
        <w:rPr>
          <w:lang w:val="fr-FR"/>
        </w:rPr>
      </w:pPr>
      <w:r w:rsidRPr="001E1A55">
        <w:rPr>
          <w:lang w:val="fr-FR"/>
        </w:rPr>
        <w:t>1.</w:t>
      </w:r>
      <w:r w:rsidRPr="001E1A55">
        <w:rPr>
          <w:lang w:val="fr-FR"/>
        </w:rPr>
        <w:tab/>
        <w:t>Depuis l</w:t>
      </w:r>
      <w:r w:rsidR="00A32DC0">
        <w:rPr>
          <w:lang w:val="fr-FR"/>
        </w:rPr>
        <w:t>’</w:t>
      </w:r>
      <w:r w:rsidRPr="001E1A55">
        <w:rPr>
          <w:lang w:val="fr-FR"/>
        </w:rPr>
        <w:t xml:space="preserve">introduction du </w:t>
      </w:r>
      <w:r w:rsidRPr="001E1A55">
        <w:t>rectificatif</w:t>
      </w:r>
      <w:r w:rsidR="00AC0FFB">
        <w:t> 2 à la révision </w:t>
      </w:r>
      <w:r w:rsidRPr="001E1A55">
        <w:t xml:space="preserve">3 du Règlement </w:t>
      </w:r>
      <w:r w:rsidR="00AC0FFB" w:rsidRPr="002D76F4">
        <w:rPr>
          <w:rFonts w:eastAsia="MS Mincho"/>
          <w:szCs w:val="22"/>
        </w:rPr>
        <w:t>n</w:t>
      </w:r>
      <w:r w:rsidR="00AC0FFB" w:rsidRPr="002D76F4">
        <w:rPr>
          <w:rFonts w:eastAsia="MS Mincho"/>
          <w:szCs w:val="22"/>
          <w:vertAlign w:val="superscript"/>
        </w:rPr>
        <w:t>o</w:t>
      </w:r>
      <w:r w:rsidR="00AC0FFB">
        <w:t> </w:t>
      </w:r>
      <w:r w:rsidRPr="001E1A55">
        <w:rPr>
          <w:lang w:val="fr-FR"/>
        </w:rPr>
        <w:t xml:space="preserve">48, des références aux règlements portant sur les dispositifs ont été incluses dans ledit Règlement. </w:t>
      </w:r>
    </w:p>
    <w:p w:rsidR="001E1A55" w:rsidRPr="001E1A55" w:rsidRDefault="001E1A55" w:rsidP="001E1A55">
      <w:pPr>
        <w:pStyle w:val="SingleTxtG"/>
        <w:rPr>
          <w:lang w:val="fr-FR"/>
        </w:rPr>
      </w:pPr>
      <w:r w:rsidRPr="001E1A55">
        <w:rPr>
          <w:lang w:val="fr-FR"/>
        </w:rPr>
        <w:t>2.</w:t>
      </w:r>
      <w:r w:rsidRPr="001E1A55">
        <w:rPr>
          <w:lang w:val="fr-FR"/>
        </w:rPr>
        <w:tab/>
        <w:t>Les trois nouveaux Règlements simplifiés portant respectivement sur les dispositifs de signalisation lumineuse, les dispositifs d</w:t>
      </w:r>
      <w:r w:rsidR="00A32DC0">
        <w:rPr>
          <w:lang w:val="fr-FR"/>
        </w:rPr>
        <w:t>’</w:t>
      </w:r>
      <w:r w:rsidRPr="001E1A55">
        <w:rPr>
          <w:lang w:val="fr-FR"/>
        </w:rPr>
        <w:t>éclairage de la route et les dispositifs catadioptriques, élaborés par le groupe de travail informel de la simplification des Règlements relatifs à l</w:t>
      </w:r>
      <w:r w:rsidR="00A32DC0">
        <w:rPr>
          <w:lang w:val="fr-FR"/>
        </w:rPr>
        <w:t>’</w:t>
      </w:r>
      <w:r w:rsidRPr="001E1A55">
        <w:rPr>
          <w:lang w:val="fr-FR"/>
        </w:rPr>
        <w:t>éclairage et à la signalisation lumineuse, nécessitent l</w:t>
      </w:r>
      <w:r w:rsidR="00A32DC0">
        <w:rPr>
          <w:lang w:val="fr-FR"/>
        </w:rPr>
        <w:t>’</w:t>
      </w:r>
      <w:r w:rsidRPr="001E1A55">
        <w:rPr>
          <w:lang w:val="fr-FR"/>
        </w:rPr>
        <w:t>introductio</w:t>
      </w:r>
      <w:r w:rsidR="00EC1E5F">
        <w:rPr>
          <w:lang w:val="fr-FR"/>
        </w:rPr>
        <w:t>n de références supplémentaires</w:t>
      </w:r>
      <w:r w:rsidRPr="001E1A55">
        <w:rPr>
          <w:lang w:val="fr-FR"/>
        </w:rPr>
        <w:t xml:space="preserve"> dans le Règlement </w:t>
      </w:r>
      <w:r w:rsidR="00AC0FFB" w:rsidRPr="00AC0FFB">
        <w:rPr>
          <w:rFonts w:eastAsia="MS Mincho"/>
          <w:szCs w:val="22"/>
          <w:lang w:val="fr-FR"/>
        </w:rPr>
        <w:t>n</w:t>
      </w:r>
      <w:r w:rsidR="00AC0FFB" w:rsidRPr="00AC0FFB">
        <w:rPr>
          <w:rFonts w:eastAsia="MS Mincho"/>
          <w:szCs w:val="22"/>
          <w:vertAlign w:val="superscript"/>
          <w:lang w:val="fr-FR"/>
        </w:rPr>
        <w:t>o</w:t>
      </w:r>
      <w:r w:rsidR="00AC0FFB">
        <w:rPr>
          <w:lang w:val="fr-FR"/>
        </w:rPr>
        <w:t> </w:t>
      </w:r>
      <w:r w:rsidRPr="001E1A55">
        <w:rPr>
          <w:lang w:val="fr-FR"/>
        </w:rPr>
        <w:t>48. La présente proposition d</w:t>
      </w:r>
      <w:r w:rsidR="00A32DC0">
        <w:rPr>
          <w:lang w:val="fr-FR"/>
        </w:rPr>
        <w:t>’</w:t>
      </w:r>
      <w:r w:rsidRPr="001E1A55">
        <w:rPr>
          <w:lang w:val="fr-FR"/>
        </w:rPr>
        <w:t>amendements a pour objet d</w:t>
      </w:r>
      <w:r w:rsidR="00A32DC0">
        <w:rPr>
          <w:lang w:val="fr-FR"/>
        </w:rPr>
        <w:t>’</w:t>
      </w:r>
      <w:r w:rsidRPr="001E1A55">
        <w:rPr>
          <w:lang w:val="fr-FR"/>
        </w:rPr>
        <w:t>introduire ces références dans la série 03 d</w:t>
      </w:r>
      <w:r w:rsidR="00A32DC0">
        <w:rPr>
          <w:lang w:val="fr-FR"/>
        </w:rPr>
        <w:t>’</w:t>
      </w:r>
      <w:r w:rsidRPr="001E1A55">
        <w:rPr>
          <w:lang w:val="fr-FR"/>
        </w:rPr>
        <w:t xml:space="preserve">amendements au Règlement </w:t>
      </w:r>
      <w:r w:rsidR="00AC0FFB" w:rsidRPr="00AC0FFB">
        <w:rPr>
          <w:rFonts w:eastAsia="MS Mincho"/>
          <w:szCs w:val="22"/>
          <w:lang w:val="fr-FR"/>
        </w:rPr>
        <w:t>n</w:t>
      </w:r>
      <w:r w:rsidR="00AC0FFB" w:rsidRPr="00AC0FFB">
        <w:rPr>
          <w:rFonts w:eastAsia="MS Mincho"/>
          <w:szCs w:val="22"/>
          <w:vertAlign w:val="superscript"/>
          <w:lang w:val="fr-FR"/>
        </w:rPr>
        <w:t>o</w:t>
      </w:r>
      <w:r w:rsidR="00AC0FFB">
        <w:rPr>
          <w:lang w:val="fr-FR"/>
        </w:rPr>
        <w:t> </w:t>
      </w:r>
      <w:r w:rsidRPr="001E1A55">
        <w:rPr>
          <w:lang w:val="fr-FR"/>
        </w:rPr>
        <w:t>48.</w:t>
      </w:r>
    </w:p>
    <w:p w:rsidR="001E1A55" w:rsidRPr="00AC0FFB" w:rsidRDefault="00AC0FFB" w:rsidP="00AC0FFB">
      <w:pPr>
        <w:pStyle w:val="SingleTxtG"/>
        <w:spacing w:before="240" w:after="0"/>
        <w:jc w:val="center"/>
        <w:rPr>
          <w:u w:val="single"/>
        </w:rPr>
      </w:pPr>
      <w:r>
        <w:rPr>
          <w:u w:val="single"/>
        </w:rPr>
        <w:tab/>
      </w:r>
      <w:r>
        <w:rPr>
          <w:u w:val="single"/>
        </w:rPr>
        <w:tab/>
      </w:r>
      <w:r>
        <w:rPr>
          <w:u w:val="single"/>
        </w:rPr>
        <w:tab/>
      </w:r>
    </w:p>
    <w:sectPr w:rsidR="001E1A55" w:rsidRPr="00AC0FFB" w:rsidSect="001E1A5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C0" w:rsidRDefault="00A32DC0" w:rsidP="00F95C08">
      <w:pPr>
        <w:spacing w:line="240" w:lineRule="auto"/>
      </w:pPr>
    </w:p>
  </w:endnote>
  <w:endnote w:type="continuationSeparator" w:id="0">
    <w:p w:rsidR="00A32DC0" w:rsidRPr="00AC3823" w:rsidRDefault="00A32DC0" w:rsidP="00AC3823">
      <w:pPr>
        <w:pStyle w:val="Footer"/>
      </w:pPr>
    </w:p>
  </w:endnote>
  <w:endnote w:type="continuationNotice" w:id="1">
    <w:p w:rsidR="00A32DC0" w:rsidRDefault="00A32D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DC0" w:rsidRPr="001E1A55" w:rsidRDefault="00A32DC0" w:rsidP="001E1A55">
    <w:pPr>
      <w:pStyle w:val="Footer"/>
      <w:tabs>
        <w:tab w:val="right" w:pos="9638"/>
      </w:tabs>
    </w:pPr>
    <w:r w:rsidRPr="001E1A55">
      <w:rPr>
        <w:b/>
        <w:sz w:val="18"/>
      </w:rPr>
      <w:fldChar w:fldCharType="begin"/>
    </w:r>
    <w:r w:rsidRPr="001E1A55">
      <w:rPr>
        <w:b/>
        <w:sz w:val="18"/>
      </w:rPr>
      <w:instrText xml:space="preserve"> PAGE  \* MERGEFORMAT </w:instrText>
    </w:r>
    <w:r w:rsidRPr="001E1A55">
      <w:rPr>
        <w:b/>
        <w:sz w:val="18"/>
      </w:rPr>
      <w:fldChar w:fldCharType="separate"/>
    </w:r>
    <w:r w:rsidR="00C52243">
      <w:rPr>
        <w:b/>
        <w:noProof/>
        <w:sz w:val="18"/>
      </w:rPr>
      <w:t>2</w:t>
    </w:r>
    <w:r w:rsidRPr="001E1A55">
      <w:rPr>
        <w:b/>
        <w:sz w:val="18"/>
      </w:rPr>
      <w:fldChar w:fldCharType="end"/>
    </w:r>
    <w:r>
      <w:rPr>
        <w:b/>
        <w:sz w:val="18"/>
      </w:rPr>
      <w:tab/>
    </w:r>
    <w:r>
      <w:t>GE.18-01747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DC0" w:rsidRPr="001E1A55" w:rsidRDefault="00A32DC0" w:rsidP="001E1A55">
    <w:pPr>
      <w:pStyle w:val="Footer"/>
      <w:tabs>
        <w:tab w:val="right" w:pos="9638"/>
      </w:tabs>
      <w:rPr>
        <w:b/>
        <w:sz w:val="18"/>
      </w:rPr>
    </w:pPr>
    <w:r>
      <w:t>GE.18-01747</w:t>
    </w:r>
    <w:r>
      <w:tab/>
    </w:r>
    <w:r w:rsidRPr="001E1A55">
      <w:rPr>
        <w:b/>
        <w:sz w:val="18"/>
      </w:rPr>
      <w:fldChar w:fldCharType="begin"/>
    </w:r>
    <w:r w:rsidRPr="001E1A55">
      <w:rPr>
        <w:b/>
        <w:sz w:val="18"/>
      </w:rPr>
      <w:instrText xml:space="preserve"> PAGE  \* MERGEFORMAT </w:instrText>
    </w:r>
    <w:r w:rsidRPr="001E1A55">
      <w:rPr>
        <w:b/>
        <w:sz w:val="18"/>
      </w:rPr>
      <w:fldChar w:fldCharType="separate"/>
    </w:r>
    <w:r w:rsidR="007E0260">
      <w:rPr>
        <w:b/>
        <w:noProof/>
        <w:sz w:val="18"/>
      </w:rPr>
      <w:t>7</w:t>
    </w:r>
    <w:r w:rsidRPr="001E1A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DC0" w:rsidRPr="001E1A55" w:rsidRDefault="00A32DC0" w:rsidP="001E1A5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18-01747  (F)    020318    050318</w:t>
    </w:r>
    <w:r>
      <w:rPr>
        <w:sz w:val="20"/>
      </w:rPr>
      <w:br/>
    </w:r>
    <w:r w:rsidRPr="001E1A55">
      <w:rPr>
        <w:rFonts w:ascii="C39T30Lfz" w:hAnsi="C39T30Lfz"/>
        <w:sz w:val="56"/>
      </w:rPr>
      <w:t></w:t>
    </w:r>
    <w:r w:rsidRPr="001E1A55">
      <w:rPr>
        <w:rFonts w:ascii="C39T30Lfz" w:hAnsi="C39T30Lfz"/>
        <w:sz w:val="56"/>
      </w:rPr>
      <w:t></w:t>
    </w:r>
    <w:r w:rsidRPr="001E1A55">
      <w:rPr>
        <w:rFonts w:ascii="C39T30Lfz" w:hAnsi="C39T30Lfz"/>
        <w:sz w:val="56"/>
      </w:rPr>
      <w:t></w:t>
    </w:r>
    <w:r w:rsidRPr="001E1A55">
      <w:rPr>
        <w:rFonts w:ascii="C39T30Lfz" w:hAnsi="C39T30Lfz"/>
        <w:sz w:val="56"/>
      </w:rPr>
      <w:t></w:t>
    </w:r>
    <w:r w:rsidRPr="001E1A55">
      <w:rPr>
        <w:rFonts w:ascii="C39T30Lfz" w:hAnsi="C39T30Lfz"/>
        <w:sz w:val="56"/>
      </w:rPr>
      <w:t></w:t>
    </w:r>
    <w:r w:rsidRPr="001E1A55">
      <w:rPr>
        <w:rFonts w:ascii="C39T30Lfz" w:hAnsi="C39T30Lfz"/>
        <w:sz w:val="56"/>
      </w:rPr>
      <w:t></w:t>
    </w:r>
    <w:r w:rsidRPr="001E1A55">
      <w:rPr>
        <w:rFonts w:ascii="C39T30Lfz" w:hAnsi="C39T30Lfz"/>
        <w:sz w:val="56"/>
      </w:rPr>
      <w:t></w:t>
    </w:r>
    <w:r w:rsidRPr="001E1A55">
      <w:rPr>
        <w:rFonts w:ascii="C39T30Lfz" w:hAnsi="C39T30Lfz"/>
        <w:sz w:val="56"/>
      </w:rPr>
      <w:t></w:t>
    </w:r>
    <w:r w:rsidRPr="001E1A5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C0" w:rsidRPr="00AC3823" w:rsidRDefault="00A32DC0" w:rsidP="00AC3823">
      <w:pPr>
        <w:pStyle w:val="Footer"/>
        <w:tabs>
          <w:tab w:val="right" w:pos="2155"/>
        </w:tabs>
        <w:spacing w:after="80" w:line="240" w:lineRule="atLeast"/>
        <w:ind w:left="680"/>
        <w:rPr>
          <w:u w:val="single"/>
        </w:rPr>
      </w:pPr>
      <w:r>
        <w:rPr>
          <w:u w:val="single"/>
        </w:rPr>
        <w:tab/>
      </w:r>
    </w:p>
  </w:footnote>
  <w:footnote w:type="continuationSeparator" w:id="0">
    <w:p w:rsidR="00A32DC0" w:rsidRPr="00AC3823" w:rsidRDefault="00A32DC0" w:rsidP="00AC3823">
      <w:pPr>
        <w:pStyle w:val="Footer"/>
        <w:tabs>
          <w:tab w:val="right" w:pos="2155"/>
        </w:tabs>
        <w:spacing w:after="80" w:line="240" w:lineRule="atLeast"/>
        <w:ind w:left="680"/>
        <w:rPr>
          <w:u w:val="single"/>
        </w:rPr>
      </w:pPr>
      <w:r>
        <w:rPr>
          <w:u w:val="single"/>
        </w:rPr>
        <w:tab/>
      </w:r>
    </w:p>
  </w:footnote>
  <w:footnote w:type="continuationNotice" w:id="1">
    <w:p w:rsidR="00A32DC0" w:rsidRPr="00AC3823" w:rsidRDefault="00A32DC0">
      <w:pPr>
        <w:spacing w:line="240" w:lineRule="auto"/>
        <w:rPr>
          <w:sz w:val="2"/>
          <w:szCs w:val="2"/>
        </w:rPr>
      </w:pPr>
    </w:p>
  </w:footnote>
  <w:footnote w:id="2">
    <w:p w:rsidR="00A32DC0" w:rsidRPr="00706101" w:rsidRDefault="00A32DC0" w:rsidP="001E1A55">
      <w:pPr>
        <w:pStyle w:val="FootnoteText"/>
      </w:pPr>
      <w:r w:rsidRPr="00A90EA8">
        <w:tab/>
      </w:r>
      <w:r w:rsidRPr="001E1A55">
        <w:rPr>
          <w:rStyle w:val="FootnoteReference"/>
          <w:sz w:val="20"/>
        </w:rPr>
        <w:t>*</w:t>
      </w:r>
      <w:r w:rsidRPr="001E1A55">
        <w:rPr>
          <w:sz w:val="20"/>
        </w:rPr>
        <w:tab/>
      </w:r>
      <w:r w:rsidRPr="002E5049">
        <w:t>Conformément au programme de travail du Comité des transports intérieurs pour la période 2014</w:t>
      </w:r>
      <w:r>
        <w:noBreakHyphen/>
      </w:r>
      <w:r w:rsidRPr="002E5049">
        <w:t>2018 (ECE/TRANS/240, par. 105, et ECE/TRANS/2014/26, activité 02.4), le Forum mondial a pour mission d’élaborer, d’harmoniser et de mettre à jour les Règlements en vue d’améliorer les caractéristiques fonctionnelles des véhicules</w:t>
      </w:r>
      <w:r w:rsidRPr="001E1A55">
        <w:t>.</w:t>
      </w:r>
      <w:r w:rsidRPr="002E5049">
        <w:rPr>
          <w:sz w:val="24"/>
        </w:rPr>
        <w:t xml:space="preserve"> </w:t>
      </w:r>
      <w:r w:rsidRPr="002E5049">
        <w:t>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DC0" w:rsidRPr="001E1A55" w:rsidRDefault="00C52243">
    <w:pPr>
      <w:pStyle w:val="Header"/>
    </w:pPr>
    <w:r>
      <w:fldChar w:fldCharType="begin"/>
    </w:r>
    <w:r>
      <w:instrText xml:space="preserve"> TITLE  \* MERGEFORMAT </w:instrText>
    </w:r>
    <w:r>
      <w:fldChar w:fldCharType="separate"/>
    </w:r>
    <w:r w:rsidR="00D80EFF">
      <w:t>ECE/TRANS/WP.29/GRE/2018/30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DC0" w:rsidRPr="001E1A55" w:rsidRDefault="00C52243" w:rsidP="001E1A55">
    <w:pPr>
      <w:pStyle w:val="Header"/>
      <w:jc w:val="right"/>
    </w:pPr>
    <w:r>
      <w:fldChar w:fldCharType="begin"/>
    </w:r>
    <w:r>
      <w:instrText xml:space="preserve"> TITLE  \* MERGEFORMAT </w:instrText>
    </w:r>
    <w:r>
      <w:fldChar w:fldCharType="separate"/>
    </w:r>
    <w:r w:rsidR="00D80EFF">
      <w:t>ECE/TRANS/WP.29/GRE/2018/30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52"/>
    <w:rsid w:val="00012FD8"/>
    <w:rsid w:val="00017F94"/>
    <w:rsid w:val="00023842"/>
    <w:rsid w:val="000334F9"/>
    <w:rsid w:val="00045FEB"/>
    <w:rsid w:val="0007796D"/>
    <w:rsid w:val="000B7790"/>
    <w:rsid w:val="00111F2F"/>
    <w:rsid w:val="0014365E"/>
    <w:rsid w:val="00143C66"/>
    <w:rsid w:val="0015465D"/>
    <w:rsid w:val="00167623"/>
    <w:rsid w:val="00176178"/>
    <w:rsid w:val="001E1A55"/>
    <w:rsid w:val="001F525A"/>
    <w:rsid w:val="00211216"/>
    <w:rsid w:val="00223272"/>
    <w:rsid w:val="0024779E"/>
    <w:rsid w:val="00257168"/>
    <w:rsid w:val="002744B8"/>
    <w:rsid w:val="002832AC"/>
    <w:rsid w:val="00290212"/>
    <w:rsid w:val="002D7C93"/>
    <w:rsid w:val="00305801"/>
    <w:rsid w:val="00323D86"/>
    <w:rsid w:val="003916DE"/>
    <w:rsid w:val="003B4BB6"/>
    <w:rsid w:val="00441C3B"/>
    <w:rsid w:val="00446FE5"/>
    <w:rsid w:val="00452396"/>
    <w:rsid w:val="004837D8"/>
    <w:rsid w:val="004E468C"/>
    <w:rsid w:val="005505B7"/>
    <w:rsid w:val="00573BE5"/>
    <w:rsid w:val="00586ED3"/>
    <w:rsid w:val="00596AA9"/>
    <w:rsid w:val="0071601D"/>
    <w:rsid w:val="007A62E6"/>
    <w:rsid w:val="007E0260"/>
    <w:rsid w:val="007E1F06"/>
    <w:rsid w:val="007E3D85"/>
    <w:rsid w:val="007F20FA"/>
    <w:rsid w:val="0080684C"/>
    <w:rsid w:val="00871C75"/>
    <w:rsid w:val="008776DC"/>
    <w:rsid w:val="009446C0"/>
    <w:rsid w:val="009705C8"/>
    <w:rsid w:val="009C1CF4"/>
    <w:rsid w:val="009F6B74"/>
    <w:rsid w:val="00A30353"/>
    <w:rsid w:val="00A32DC0"/>
    <w:rsid w:val="00AC0FFB"/>
    <w:rsid w:val="00AC3823"/>
    <w:rsid w:val="00AE323C"/>
    <w:rsid w:val="00AF0CB5"/>
    <w:rsid w:val="00B00181"/>
    <w:rsid w:val="00B00B0D"/>
    <w:rsid w:val="00B765F7"/>
    <w:rsid w:val="00BA0CA9"/>
    <w:rsid w:val="00C02897"/>
    <w:rsid w:val="00C52243"/>
    <w:rsid w:val="00C97039"/>
    <w:rsid w:val="00CD46B4"/>
    <w:rsid w:val="00D3439C"/>
    <w:rsid w:val="00D80EFF"/>
    <w:rsid w:val="00DB1831"/>
    <w:rsid w:val="00DD3BFD"/>
    <w:rsid w:val="00DF6678"/>
    <w:rsid w:val="00E0299A"/>
    <w:rsid w:val="00E2093C"/>
    <w:rsid w:val="00E56952"/>
    <w:rsid w:val="00E85C74"/>
    <w:rsid w:val="00E900E4"/>
    <w:rsid w:val="00EA6547"/>
    <w:rsid w:val="00EC1E5F"/>
    <w:rsid w:val="00EF2E22"/>
    <w:rsid w:val="00F14854"/>
    <w:rsid w:val="00F3513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AE2EBF-03D7-48C2-9923-D65FF894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60A2-7482-46D4-A183-132B88E0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2640</Words>
  <Characters>15048</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ECE/TRANS/WP.29/GRE/2018/30</vt:lpstr>
      <vt:lpstr>ECE/TRANS/WP.29/GRE/2018/30</vt:lpstr>
    </vt:vector>
  </TitlesOfParts>
  <Company>DCM</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ECE/TRANS/WP.29/GRE/2018/30</dc:title>
  <dc:subject/>
  <dc:creator>Edith BOURION</dc:creator>
  <cp:keywords/>
  <cp:lastModifiedBy>Benedicte Boudol</cp:lastModifiedBy>
  <cp:revision>2</cp:revision>
  <cp:lastPrinted>2018-03-05T13:03:00Z</cp:lastPrinted>
  <dcterms:created xsi:type="dcterms:W3CDTF">2018-03-05T14:01:00Z</dcterms:created>
  <dcterms:modified xsi:type="dcterms:W3CDTF">2018-03-05T14:01:00Z</dcterms:modified>
</cp:coreProperties>
</file>