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175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175ED" w:rsidP="000175ED">
            <w:pPr>
              <w:jc w:val="right"/>
            </w:pPr>
            <w:r w:rsidRPr="000175ED">
              <w:rPr>
                <w:sz w:val="40"/>
              </w:rPr>
              <w:t>ECE</w:t>
            </w:r>
            <w:r>
              <w:t>/TRANS/WP.29/GRE/2018/33</w:t>
            </w:r>
          </w:p>
        </w:tc>
      </w:tr>
      <w:tr w:rsidR="002D5AAC" w:rsidRPr="00CB00F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175E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175ED" w:rsidRDefault="000175ED" w:rsidP="000175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2018</w:t>
            </w:r>
          </w:p>
          <w:p w:rsidR="000175ED" w:rsidRDefault="000175ED" w:rsidP="000175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175ED" w:rsidRPr="008D53B6" w:rsidRDefault="000175ED" w:rsidP="000175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175ED" w:rsidRDefault="000175ED" w:rsidP="000175ED">
      <w:pPr>
        <w:spacing w:before="120"/>
        <w:rPr>
          <w:sz w:val="28"/>
          <w:szCs w:val="28"/>
        </w:rPr>
      </w:pPr>
      <w:r w:rsidRPr="00DD11D7">
        <w:rPr>
          <w:sz w:val="28"/>
          <w:szCs w:val="28"/>
        </w:rPr>
        <w:t>Комитет по внутреннему транспорту</w:t>
      </w:r>
    </w:p>
    <w:p w:rsidR="000175ED" w:rsidRPr="000175ED" w:rsidRDefault="000175ED" w:rsidP="000175ED">
      <w:pPr>
        <w:spacing w:before="120"/>
        <w:rPr>
          <w:b/>
          <w:bCs/>
          <w:sz w:val="24"/>
          <w:szCs w:val="24"/>
        </w:rPr>
      </w:pPr>
      <w:bookmarkStart w:id="1" w:name="OLE_LINK11"/>
      <w:bookmarkStart w:id="2" w:name="OLE_LINK12"/>
      <w:r w:rsidRPr="000175ED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0175ED">
        <w:rPr>
          <w:b/>
          <w:bCs/>
          <w:sz w:val="24"/>
          <w:szCs w:val="24"/>
        </w:rPr>
        <w:t>в области транспортных средств</w:t>
      </w:r>
    </w:p>
    <w:bookmarkEnd w:id="1"/>
    <w:bookmarkEnd w:id="2"/>
    <w:p w:rsidR="000175ED" w:rsidRPr="000175ED" w:rsidRDefault="000175ED" w:rsidP="000175ED">
      <w:pPr>
        <w:spacing w:before="120"/>
        <w:rPr>
          <w:b/>
          <w:szCs w:val="20"/>
        </w:rPr>
      </w:pPr>
      <w:r w:rsidRPr="000175ED">
        <w:rPr>
          <w:b/>
          <w:bCs/>
          <w:szCs w:val="20"/>
        </w:rPr>
        <w:t>Рабоч</w:t>
      </w:r>
      <w:r>
        <w:rPr>
          <w:b/>
          <w:bCs/>
          <w:szCs w:val="20"/>
        </w:rPr>
        <w:t>ая группа по вопросам освещения</w:t>
      </w:r>
      <w:r>
        <w:rPr>
          <w:b/>
          <w:bCs/>
          <w:szCs w:val="20"/>
        </w:rPr>
        <w:br/>
      </w:r>
      <w:r w:rsidRPr="000175ED">
        <w:rPr>
          <w:b/>
          <w:bCs/>
          <w:szCs w:val="20"/>
        </w:rPr>
        <w:t>и световой сигнализации</w:t>
      </w:r>
    </w:p>
    <w:p w:rsidR="000175ED" w:rsidRPr="00035DC9" w:rsidRDefault="000175ED" w:rsidP="000175ED">
      <w:pPr>
        <w:spacing w:before="120"/>
        <w:rPr>
          <w:b/>
          <w:bCs/>
        </w:rPr>
      </w:pPr>
      <w:r>
        <w:rPr>
          <w:b/>
          <w:bCs/>
        </w:rPr>
        <w:t>Восьмидесятая</w:t>
      </w:r>
      <w:r w:rsidRPr="00035DC9">
        <w:rPr>
          <w:b/>
          <w:bCs/>
        </w:rPr>
        <w:t xml:space="preserve"> </w:t>
      </w:r>
      <w:r w:rsidRPr="00FE5EB6">
        <w:rPr>
          <w:b/>
          <w:bCs/>
        </w:rPr>
        <w:t>сессия</w:t>
      </w:r>
    </w:p>
    <w:p w:rsidR="000175ED" w:rsidRPr="00035DC9" w:rsidRDefault="000175ED" w:rsidP="000175ED">
      <w:pPr>
        <w:ind w:right="1134"/>
      </w:pPr>
      <w:r>
        <w:t>Женева, 23–</w:t>
      </w:r>
      <w:r w:rsidRPr="00035DC9">
        <w:t xml:space="preserve">26 </w:t>
      </w:r>
      <w:r>
        <w:t>октября</w:t>
      </w:r>
      <w:r w:rsidRPr="00035DC9">
        <w:t xml:space="preserve"> 2018</w:t>
      </w:r>
      <w:r>
        <w:t xml:space="preserve"> года</w:t>
      </w:r>
    </w:p>
    <w:p w:rsidR="000175ED" w:rsidRPr="00035DC9" w:rsidRDefault="000175ED" w:rsidP="000175ED">
      <w:pPr>
        <w:ind w:right="1134"/>
        <w:rPr>
          <w:bCs/>
        </w:rPr>
      </w:pPr>
      <w:r>
        <w:rPr>
          <w:bCs/>
        </w:rPr>
        <w:t>Пункт</w:t>
      </w:r>
      <w:r w:rsidRPr="00035DC9">
        <w:rPr>
          <w:bCs/>
        </w:rPr>
        <w:t xml:space="preserve"> </w:t>
      </w:r>
      <w:r>
        <w:rPr>
          <w:bCs/>
        </w:rPr>
        <w:t>4</w:t>
      </w:r>
      <w:r w:rsidRPr="00035DC9">
        <w:rPr>
          <w:bCs/>
        </w:rPr>
        <w:t xml:space="preserve"> </w:t>
      </w:r>
      <w:r>
        <w:rPr>
          <w:bCs/>
        </w:rPr>
        <w:t>предварительной повестки дня</w:t>
      </w:r>
    </w:p>
    <w:p w:rsidR="000175ED" w:rsidRPr="004E2926" w:rsidRDefault="000175ED" w:rsidP="000175ED">
      <w:pPr>
        <w:ind w:right="1134"/>
        <w:rPr>
          <w:b/>
          <w:bCs/>
        </w:rPr>
      </w:pPr>
      <w:r>
        <w:rPr>
          <w:b/>
          <w:bCs/>
        </w:rPr>
        <w:t xml:space="preserve">Упрощение </w:t>
      </w:r>
      <w:bookmarkStart w:id="3" w:name="OLE_LINK8"/>
      <w:r>
        <w:rPr>
          <w:b/>
          <w:bCs/>
        </w:rPr>
        <w:t>Правил ООН, касающихся освещения</w:t>
      </w:r>
      <w:r>
        <w:rPr>
          <w:b/>
          <w:bCs/>
        </w:rPr>
        <w:br/>
        <w:t>и световой сигнализации</w:t>
      </w:r>
      <w:bookmarkEnd w:id="3"/>
    </w:p>
    <w:p w:rsidR="000175ED" w:rsidRPr="00EF7549" w:rsidRDefault="000175ED" w:rsidP="000175ED">
      <w:pPr>
        <w:pStyle w:val="HChGR"/>
      </w:pPr>
      <w:r w:rsidRPr="00EF7549">
        <w:tab/>
      </w:r>
      <w:r w:rsidRPr="00EF7549">
        <w:tab/>
      </w:r>
      <w:r>
        <w:t>Предложение</w:t>
      </w:r>
      <w:r w:rsidRPr="00EF7549">
        <w:t xml:space="preserve"> </w:t>
      </w:r>
      <w:r>
        <w:t>по</w:t>
      </w:r>
      <w:r w:rsidRPr="00EF7549">
        <w:t xml:space="preserve"> </w:t>
      </w:r>
      <w:r>
        <w:t>дополнению</w:t>
      </w:r>
      <w:r w:rsidRPr="00EF7549">
        <w:t xml:space="preserve"> 1 </w:t>
      </w:r>
      <w:r>
        <w:t>к</w:t>
      </w:r>
      <w:r w:rsidRPr="00EF7549">
        <w:t xml:space="preserve"> </w:t>
      </w:r>
      <w:r>
        <w:t>первоначальному</w:t>
      </w:r>
      <w:r w:rsidRPr="00EF7549">
        <w:t xml:space="preserve"> </w:t>
      </w:r>
      <w:r>
        <w:t>варианту</w:t>
      </w:r>
      <w:r w:rsidRPr="00EF7549">
        <w:t xml:space="preserve"> </w:t>
      </w:r>
      <w:r>
        <w:t>Правил</w:t>
      </w:r>
      <w:r w:rsidRPr="00EF7549">
        <w:t xml:space="preserve"> </w:t>
      </w:r>
      <w:r w:rsidRPr="004E2926">
        <w:t>ООН, касающихся устройств световой сигнализации</w:t>
      </w:r>
      <w:r w:rsidRPr="004E2926">
        <w:rPr>
          <w:bCs/>
        </w:rPr>
        <w:t xml:space="preserve"> </w:t>
      </w:r>
      <w:r>
        <w:rPr>
          <w:bCs/>
        </w:rPr>
        <w:t>(УСС)</w:t>
      </w:r>
    </w:p>
    <w:p w:rsidR="000175ED" w:rsidRDefault="000175ED" w:rsidP="000175ED">
      <w:pPr>
        <w:pStyle w:val="H1GR"/>
        <w:rPr>
          <w:szCs w:val="24"/>
        </w:rPr>
      </w:pPr>
      <w:r>
        <w:tab/>
      </w:r>
      <w:r>
        <w:tab/>
      </w:r>
      <w:r w:rsidRPr="004E2926">
        <w:t xml:space="preserve">Представлено </w:t>
      </w:r>
      <w:r>
        <w:t>н</w:t>
      </w:r>
      <w:r w:rsidRPr="004E2926">
        <w:t xml:space="preserve">еофициальной группой по упрощению правил, касающихся освещения и световой сигнализации (НРГ по </w:t>
      </w:r>
      <w:proofErr w:type="gramStart"/>
      <w:r w:rsidRPr="004E2926">
        <w:t>УПО</w:t>
      </w:r>
      <w:r w:rsidRPr="001F6A82">
        <w:rPr>
          <w:rFonts w:eastAsia="Calibri"/>
        </w:rPr>
        <w:t>)</w:t>
      </w:r>
      <w:r w:rsidRPr="000175ED">
        <w:rPr>
          <w:b w:val="0"/>
          <w:position w:val="4"/>
          <w:sz w:val="20"/>
        </w:rPr>
        <w:footnoteReference w:customMarkFollows="1" w:id="1"/>
        <w:t>*</w:t>
      </w:r>
      <w:proofErr w:type="gramEnd"/>
      <w:r w:rsidRPr="004E2926">
        <w:rPr>
          <w:szCs w:val="24"/>
        </w:rPr>
        <w:t xml:space="preserve"> </w:t>
      </w:r>
    </w:p>
    <w:p w:rsidR="000175ED" w:rsidRPr="00EF7549" w:rsidRDefault="000175ED" w:rsidP="000175ED">
      <w:pPr>
        <w:pStyle w:val="SingleTxtGR"/>
      </w:pPr>
      <w:r>
        <w:tab/>
        <w:t>Воспроизведенный</w:t>
      </w:r>
      <w:r w:rsidRPr="009F12F9">
        <w:t xml:space="preserve"> </w:t>
      </w:r>
      <w:r>
        <w:t>ниже</w:t>
      </w:r>
      <w:r w:rsidRPr="009F12F9">
        <w:t xml:space="preserve"> </w:t>
      </w:r>
      <w:r>
        <w:t>текст</w:t>
      </w:r>
      <w:r w:rsidRPr="009F12F9">
        <w:t xml:space="preserve"> </w:t>
      </w:r>
      <w:r>
        <w:t>был</w:t>
      </w:r>
      <w:r w:rsidRPr="009F12F9">
        <w:t xml:space="preserve"> </w:t>
      </w:r>
      <w:r>
        <w:t>подготовлен</w:t>
      </w:r>
      <w:r w:rsidRPr="009F12F9">
        <w:t xml:space="preserve"> </w:t>
      </w:r>
      <w:r>
        <w:t>НРГ</w:t>
      </w:r>
      <w:r w:rsidRPr="009F12F9">
        <w:t xml:space="preserve"> </w:t>
      </w:r>
      <w:r>
        <w:t>по</w:t>
      </w:r>
      <w:r w:rsidRPr="009F12F9">
        <w:t xml:space="preserve"> </w:t>
      </w:r>
      <w:r>
        <w:t>УПО</w:t>
      </w:r>
      <w:r w:rsidRPr="009F12F9">
        <w:t xml:space="preserve"> </w:t>
      </w:r>
      <w:r>
        <w:t>на</w:t>
      </w:r>
      <w:r w:rsidRPr="009F12F9">
        <w:t xml:space="preserve"> </w:t>
      </w:r>
      <w:r>
        <w:t>основе</w:t>
      </w:r>
      <w:r w:rsidRPr="009F12F9">
        <w:t xml:space="preserve"> </w:t>
      </w:r>
      <w:r>
        <w:t>первоначального</w:t>
      </w:r>
      <w:r w:rsidRPr="009F12F9">
        <w:t xml:space="preserve"> </w:t>
      </w:r>
      <w:r>
        <w:t>предложения</w:t>
      </w:r>
      <w:r w:rsidRPr="009F12F9">
        <w:t xml:space="preserve"> </w:t>
      </w:r>
      <w:r>
        <w:t>эксперта</w:t>
      </w:r>
      <w:r w:rsidRPr="009F12F9">
        <w:t xml:space="preserve"> </w:t>
      </w:r>
      <w:r>
        <w:t>от</w:t>
      </w:r>
      <w:r w:rsidRPr="009F12F9">
        <w:t xml:space="preserve"> Международной ассоциации заводов-изготовителей мотоциклов (МАЗМ) </w:t>
      </w:r>
      <w:r>
        <w:t>с</w:t>
      </w:r>
      <w:r w:rsidRPr="009F12F9">
        <w:t xml:space="preserve"> </w:t>
      </w:r>
      <w:r>
        <w:t>целью</w:t>
      </w:r>
      <w:r w:rsidRPr="009F12F9">
        <w:t xml:space="preserve"> </w:t>
      </w:r>
      <w:r>
        <w:t xml:space="preserve">изменения внутреннего угла видимости задних габаритных огней (парных) в новых Правилах ООН, касающихся устройств световой сигнализации (УСС), которое было принято на семьдесят девятой сессии </w:t>
      </w:r>
      <w:r w:rsidRPr="00957678">
        <w:t>Рабоч</w:t>
      </w:r>
      <w:r>
        <w:t>ей</w:t>
      </w:r>
      <w:r w:rsidRPr="00957678">
        <w:t xml:space="preserve"> групп</w:t>
      </w:r>
      <w:r>
        <w:t>ы</w:t>
      </w:r>
      <w:r w:rsidRPr="00957678">
        <w:t xml:space="preserve"> по вопросам освещения и световой сигнализации</w:t>
      </w:r>
      <w:r>
        <w:t xml:space="preserve"> </w:t>
      </w:r>
      <w:r w:rsidRPr="00957678">
        <w:t>(</w:t>
      </w:r>
      <w:r>
        <w:t>GRE</w:t>
      </w:r>
      <w:r w:rsidRPr="00957678">
        <w:t>)</w:t>
      </w:r>
      <w:r>
        <w:t xml:space="preserve"> в</w:t>
      </w:r>
      <w:r w:rsidRPr="00957678">
        <w:t xml:space="preserve"> </w:t>
      </w:r>
      <w:r>
        <w:t>апреле 2018 года</w:t>
      </w:r>
      <w:r w:rsidRPr="00957678">
        <w:t>.</w:t>
      </w:r>
      <w:r>
        <w:t xml:space="preserve"> Изменения</w:t>
      </w:r>
      <w:r w:rsidRPr="00EF7549">
        <w:t xml:space="preserve"> </w:t>
      </w:r>
      <w:r>
        <w:t>к</w:t>
      </w:r>
      <w:r w:rsidRPr="00EF7549">
        <w:t xml:space="preserve"> </w:t>
      </w:r>
      <w:r>
        <w:t>Правилам</w:t>
      </w:r>
      <w:r w:rsidRPr="00EF7549">
        <w:t xml:space="preserve"> </w:t>
      </w:r>
      <w:r>
        <w:t>ООН</w:t>
      </w:r>
      <w:r w:rsidRPr="00EF7549">
        <w:t xml:space="preserve">, </w:t>
      </w:r>
      <w:r>
        <w:t>касающимся</w:t>
      </w:r>
      <w:r w:rsidRPr="00EF7549">
        <w:t xml:space="preserve"> </w:t>
      </w:r>
      <w:r>
        <w:t>УСС</w:t>
      </w:r>
      <w:r w:rsidRPr="00EF7549">
        <w:t xml:space="preserve"> (</w:t>
      </w:r>
      <w:bookmarkStart w:id="4" w:name="OLE_LINK16"/>
      <w:bookmarkStart w:id="5" w:name="OLE_LINK17"/>
      <w:r>
        <w:t>ECE</w:t>
      </w:r>
      <w:r w:rsidRPr="00EF7549">
        <w:t>/</w:t>
      </w:r>
      <w:r>
        <w:t>TRANS</w:t>
      </w:r>
      <w:r w:rsidRPr="00EF7549">
        <w:t>/</w:t>
      </w:r>
      <w:r>
        <w:t>WP</w:t>
      </w:r>
      <w:r w:rsidRPr="00EF7549">
        <w:t>.29/</w:t>
      </w:r>
      <w:r>
        <w:br/>
      </w:r>
      <w:r w:rsidRPr="00AD350F">
        <w:t>GRE</w:t>
      </w:r>
      <w:r w:rsidRPr="00EF7549">
        <w:t>/2018/2</w:t>
      </w:r>
      <w:bookmarkEnd w:id="4"/>
      <w:bookmarkEnd w:id="5"/>
      <w:r w:rsidRPr="00EF7549">
        <w:t xml:space="preserve">), </w:t>
      </w:r>
      <w:r>
        <w:t>выделены</w:t>
      </w:r>
      <w:r w:rsidRPr="00EF7549">
        <w:t xml:space="preserve"> </w:t>
      </w:r>
      <w:r w:rsidRPr="00BE7C28">
        <w:t>жирным</w:t>
      </w:r>
      <w:r w:rsidRPr="00EF7549">
        <w:t xml:space="preserve"> </w:t>
      </w:r>
      <w:r w:rsidRPr="00BE7C28">
        <w:t>шрифтом</w:t>
      </w:r>
      <w:r w:rsidRPr="00EF7549">
        <w:t xml:space="preserve"> </w:t>
      </w:r>
      <w:r w:rsidRPr="00BE7C28">
        <w:t>в</w:t>
      </w:r>
      <w:r w:rsidRPr="00EF7549">
        <w:t xml:space="preserve"> </w:t>
      </w:r>
      <w:r w:rsidRPr="00BE7C28">
        <w:t>случае</w:t>
      </w:r>
      <w:r w:rsidRPr="00EF7549">
        <w:t xml:space="preserve"> </w:t>
      </w:r>
      <w:r w:rsidRPr="00BE7C28">
        <w:t>новых</w:t>
      </w:r>
      <w:r w:rsidRPr="00EF7549">
        <w:t xml:space="preserve"> </w:t>
      </w:r>
      <w:r w:rsidRPr="00BE7C28">
        <w:t>положений</w:t>
      </w:r>
      <w:r w:rsidRPr="00EF7549">
        <w:t xml:space="preserve"> </w:t>
      </w:r>
      <w:r w:rsidRPr="00BE7C28">
        <w:t>или</w:t>
      </w:r>
      <w:r w:rsidRPr="00EF7549">
        <w:t xml:space="preserve"> </w:t>
      </w:r>
      <w:r w:rsidRPr="00BE7C28">
        <w:t>зачеркиванием</w:t>
      </w:r>
      <w:r w:rsidRPr="00EF7549">
        <w:t xml:space="preserve"> </w:t>
      </w:r>
      <w:r w:rsidRPr="00BE7C28">
        <w:t>в</w:t>
      </w:r>
      <w:r w:rsidRPr="00EF7549">
        <w:t xml:space="preserve"> </w:t>
      </w:r>
      <w:r w:rsidRPr="00BE7C28">
        <w:t>случае</w:t>
      </w:r>
      <w:r w:rsidRPr="00EF7549">
        <w:t xml:space="preserve"> </w:t>
      </w:r>
      <w:r w:rsidRPr="00BE7C28">
        <w:t>исключенных</w:t>
      </w:r>
      <w:r w:rsidRPr="00EF7549">
        <w:t xml:space="preserve"> </w:t>
      </w:r>
      <w:r w:rsidRPr="00BE7C28">
        <w:t>элементов</w:t>
      </w:r>
      <w:r w:rsidRPr="00EF7549">
        <w:t xml:space="preserve">. </w:t>
      </w:r>
    </w:p>
    <w:p w:rsidR="000175ED" w:rsidRPr="000175ED" w:rsidRDefault="000175ED" w:rsidP="000175ED">
      <w:pPr>
        <w:pStyle w:val="HChGR"/>
      </w:pPr>
      <w:r w:rsidRPr="00957678">
        <w:br w:type="page"/>
      </w:r>
      <w:r w:rsidRPr="00957678">
        <w:lastRenderedPageBreak/>
        <w:tab/>
      </w:r>
      <w:r w:rsidRPr="007958C9">
        <w:t>I</w:t>
      </w:r>
      <w:r w:rsidRPr="000175ED">
        <w:t>.</w:t>
      </w:r>
      <w:r w:rsidRPr="000175ED">
        <w:tab/>
      </w:r>
      <w:r>
        <w:t>Предложение</w:t>
      </w:r>
    </w:p>
    <w:p w:rsidR="000175ED" w:rsidRDefault="000175ED" w:rsidP="000175ED">
      <w:pPr>
        <w:pStyle w:val="SingleTxtGR"/>
      </w:pPr>
      <w:r w:rsidRPr="000175ED">
        <w:rPr>
          <w:i/>
        </w:rPr>
        <w:t xml:space="preserve">Приложение 2, таблица </w:t>
      </w:r>
      <w:r w:rsidRPr="000175ED">
        <w:rPr>
          <w:i/>
          <w:lang w:val="en-GB"/>
        </w:rPr>
        <w:t>A</w:t>
      </w:r>
      <w:r w:rsidRPr="000175ED">
        <w:rPr>
          <w:i/>
        </w:rPr>
        <w:t xml:space="preserve">2-1, строку </w:t>
      </w:r>
      <w:r>
        <w:t>«</w:t>
      </w:r>
      <w:r w:rsidRPr="000175ED">
        <w:t>Задний габаритный огонь – парный (МR)</w:t>
      </w:r>
      <w:r>
        <w:t>»</w:t>
      </w:r>
      <w:r w:rsidRPr="000175ED">
        <w:t xml:space="preserve"> изменить следующим образом:</w:t>
      </w:r>
    </w:p>
    <w:p w:rsidR="000175ED" w:rsidRPr="009F12F9" w:rsidRDefault="000175ED" w:rsidP="000175ED">
      <w:pPr>
        <w:pStyle w:val="SingleTxtGR"/>
      </w:pPr>
      <w:r>
        <w:t>«</w:t>
      </w:r>
    </w:p>
    <w:tbl>
      <w:tblPr>
        <w:tblStyle w:val="TableGrid"/>
        <w:tblW w:w="851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3458"/>
        <w:gridCol w:w="2057"/>
        <w:gridCol w:w="1624"/>
        <w:gridCol w:w="1372"/>
      </w:tblGrid>
      <w:tr w:rsidR="000175ED" w:rsidRPr="004D0C28" w:rsidTr="000175ED"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175ED" w:rsidRPr="006374D5" w:rsidRDefault="000175ED" w:rsidP="000175ED">
            <w:pPr>
              <w:spacing w:before="60" w:after="60" w:line="200" w:lineRule="atLeast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374D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Огонь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175ED" w:rsidRPr="009F12F9" w:rsidRDefault="000175ED" w:rsidP="000175ED">
            <w:pPr>
              <w:spacing w:before="60" w:after="60" w:line="200" w:lineRule="atLeast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9F12F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Минимальные горизонтальные углы</w:t>
            </w:r>
            <w:r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br/>
            </w:r>
            <w:r w:rsidRPr="009F12F9">
              <w:rPr>
                <w:rFonts w:asciiTheme="majorBidi" w:hAnsiTheme="majorBidi" w:cstheme="majorBidi"/>
                <w:sz w:val="16"/>
                <w:szCs w:val="16"/>
              </w:rPr>
              <w:t>(</w:t>
            </w:r>
            <w:r w:rsidRPr="009F12F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внутренний/наружный)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175ED" w:rsidRPr="009F12F9" w:rsidRDefault="000175ED" w:rsidP="000175ED">
            <w:pPr>
              <w:spacing w:before="60" w:after="60" w:line="200" w:lineRule="atLeast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9F12F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Минимальные вертикальные углы</w:t>
            </w:r>
            <w:r>
              <w:rPr>
                <w:rFonts w:asciiTheme="majorBidi" w:hAnsiTheme="majorBidi" w:cstheme="majorBidi"/>
                <w:bCs/>
                <w:i/>
                <w:sz w:val="16"/>
                <w:szCs w:val="16"/>
              </w:rPr>
              <w:br/>
            </w:r>
            <w:r w:rsidRPr="009F12F9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(верхний/нижний)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175ED" w:rsidRPr="006374D5" w:rsidRDefault="000175ED" w:rsidP="000175ED">
            <w:pPr>
              <w:spacing w:before="60" w:after="60" w:line="200" w:lineRule="atLeast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6374D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Дополнительная информация</w:t>
            </w:r>
          </w:p>
        </w:tc>
      </w:tr>
      <w:tr w:rsidR="000175ED" w:rsidRPr="00C15BEC" w:rsidTr="000175ED">
        <w:tc>
          <w:tcPr>
            <w:tcW w:w="3458" w:type="dxa"/>
            <w:vAlign w:val="center"/>
          </w:tcPr>
          <w:p w:rsidR="000175ED" w:rsidRPr="00C15BEC" w:rsidRDefault="000175ED" w:rsidP="00B711D1">
            <w:pPr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057" w:type="dxa"/>
            <w:vAlign w:val="center"/>
          </w:tcPr>
          <w:p w:rsidR="000175ED" w:rsidRPr="00B13E56" w:rsidRDefault="000175ED" w:rsidP="00B711D1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:rsidR="000175ED" w:rsidRPr="00E80283" w:rsidRDefault="000175ED" w:rsidP="00B711D1">
            <w:pPr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:rsidR="000175ED" w:rsidRPr="00C15BEC" w:rsidRDefault="000175ED" w:rsidP="00B711D1">
            <w:pPr>
              <w:ind w:left="147"/>
              <w:jc w:val="center"/>
              <w:rPr>
                <w:sz w:val="18"/>
                <w:szCs w:val="18"/>
              </w:rPr>
            </w:pPr>
          </w:p>
        </w:tc>
      </w:tr>
      <w:tr w:rsidR="000175ED" w:rsidRPr="00C15BEC" w:rsidTr="000175ED"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0175ED" w:rsidRPr="009F12F9" w:rsidRDefault="000175ED" w:rsidP="00B711D1">
            <w:pPr>
              <w:ind w:left="147"/>
              <w:rPr>
                <w:sz w:val="18"/>
                <w:szCs w:val="18"/>
              </w:rPr>
            </w:pPr>
            <w:r w:rsidRPr="009F12F9">
              <w:rPr>
                <w:sz w:val="18"/>
                <w:szCs w:val="18"/>
              </w:rPr>
              <w:t>Задний габаритный огонь – парный (М</w:t>
            </w:r>
            <w:r w:rsidRPr="006374D5">
              <w:rPr>
                <w:sz w:val="18"/>
                <w:szCs w:val="18"/>
              </w:rPr>
              <w:t>R</w:t>
            </w:r>
            <w:r w:rsidRPr="009F12F9">
              <w:rPr>
                <w:sz w:val="18"/>
                <w:szCs w:val="18"/>
              </w:rPr>
              <w:t>)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0175ED" w:rsidRPr="001B20E5" w:rsidRDefault="000175ED" w:rsidP="00B711D1">
            <w:pPr>
              <w:ind w:left="147"/>
              <w:jc w:val="center"/>
              <w:rPr>
                <w:sz w:val="18"/>
                <w:szCs w:val="18"/>
              </w:rPr>
            </w:pPr>
            <w:r w:rsidRPr="001B20E5">
              <w:rPr>
                <w:strike/>
                <w:sz w:val="18"/>
                <w:szCs w:val="18"/>
              </w:rPr>
              <w:t>45</w:t>
            </w:r>
            <w:r w:rsidRPr="001B20E5">
              <w:rPr>
                <w:rFonts w:hint="eastAsia"/>
                <w:b/>
                <w:sz w:val="18"/>
                <w:szCs w:val="18"/>
                <w:lang w:eastAsia="ja-JP"/>
              </w:rPr>
              <w:t>20</w:t>
            </w:r>
            <w:r>
              <w:rPr>
                <w:sz w:val="18"/>
                <w:szCs w:val="18"/>
              </w:rPr>
              <w:t>°/</w:t>
            </w:r>
            <w:r w:rsidRPr="001B20E5">
              <w:rPr>
                <w:sz w:val="18"/>
                <w:szCs w:val="18"/>
              </w:rPr>
              <w:t>80°</w:t>
            </w:r>
          </w:p>
          <w:p w:rsidR="000175ED" w:rsidRPr="00E80283" w:rsidRDefault="000175ED" w:rsidP="00B711D1">
            <w:pPr>
              <w:ind w:left="147"/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20°/</w:t>
            </w:r>
            <w:r w:rsidRPr="001B20E5">
              <w:rPr>
                <w:strike/>
                <w:sz w:val="18"/>
                <w:szCs w:val="18"/>
              </w:rPr>
              <w:t>80°</w:t>
            </w:r>
            <w:r w:rsidRPr="000175ED">
              <w:rPr>
                <w:strike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0175ED" w:rsidRPr="00E80283" w:rsidRDefault="000175ED" w:rsidP="00B711D1">
            <w:pPr>
              <w:ind w:left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15°/</w:t>
            </w:r>
            <w:r w:rsidRPr="00E80283">
              <w:rPr>
                <w:sz w:val="18"/>
                <w:szCs w:val="18"/>
              </w:rPr>
              <w:t>15°</w:t>
            </w:r>
          </w:p>
          <w:p w:rsidR="000175ED" w:rsidRPr="00E80283" w:rsidRDefault="000175ED" w:rsidP="00B711D1">
            <w:pPr>
              <w:ind w:left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15°/</w:t>
            </w:r>
            <w:r w:rsidRPr="00E80283">
              <w:rPr>
                <w:sz w:val="18"/>
                <w:szCs w:val="18"/>
              </w:rPr>
              <w:t>5°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0175ED" w:rsidRPr="00C15BEC" w:rsidRDefault="000175ED" w:rsidP="00B711D1">
            <w:pPr>
              <w:ind w:left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0175ED" w:rsidRPr="00C15BEC" w:rsidTr="000175ED">
        <w:tc>
          <w:tcPr>
            <w:tcW w:w="3458" w:type="dxa"/>
            <w:tcBorders>
              <w:bottom w:val="single" w:sz="12" w:space="0" w:color="auto"/>
            </w:tcBorders>
            <w:vAlign w:val="center"/>
          </w:tcPr>
          <w:p w:rsidR="000175ED" w:rsidRPr="00C15BEC" w:rsidRDefault="000175ED" w:rsidP="000175ED">
            <w:pPr>
              <w:spacing w:after="120"/>
              <w:ind w:lef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057" w:type="dxa"/>
            <w:tcBorders>
              <w:bottom w:val="single" w:sz="12" w:space="0" w:color="auto"/>
            </w:tcBorders>
            <w:vAlign w:val="center"/>
          </w:tcPr>
          <w:p w:rsidR="000175ED" w:rsidRPr="00B13E56" w:rsidRDefault="000175ED" w:rsidP="000175ED">
            <w:pPr>
              <w:spacing w:after="120"/>
              <w:ind w:left="147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0175ED" w:rsidRPr="00E80283" w:rsidRDefault="000175ED" w:rsidP="000175ED">
            <w:pPr>
              <w:spacing w:after="120"/>
              <w:ind w:left="147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  <w:vAlign w:val="center"/>
          </w:tcPr>
          <w:p w:rsidR="000175ED" w:rsidRPr="00C15BEC" w:rsidRDefault="000175ED" w:rsidP="000175ED">
            <w:pPr>
              <w:spacing w:after="120"/>
              <w:ind w:left="147"/>
              <w:jc w:val="center"/>
              <w:rPr>
                <w:sz w:val="18"/>
                <w:szCs w:val="18"/>
              </w:rPr>
            </w:pPr>
          </w:p>
        </w:tc>
      </w:tr>
    </w:tbl>
    <w:p w:rsidR="000175ED" w:rsidRPr="000175ED" w:rsidRDefault="000175ED" w:rsidP="00CB00F7">
      <w:pPr>
        <w:pStyle w:val="SingleTxtGR"/>
        <w:spacing w:before="120"/>
        <w:ind w:right="0"/>
        <w:jc w:val="right"/>
      </w:pPr>
      <w:r>
        <w:t>»</w:t>
      </w:r>
    </w:p>
    <w:p w:rsidR="000175ED" w:rsidRPr="000175ED" w:rsidRDefault="000175ED" w:rsidP="000175ED">
      <w:pPr>
        <w:pStyle w:val="HChGR"/>
        <w:rPr>
          <w:szCs w:val="22"/>
        </w:rPr>
      </w:pPr>
      <w:r>
        <w:tab/>
      </w:r>
      <w:r w:rsidRPr="007958C9">
        <w:t>II</w:t>
      </w:r>
      <w:r w:rsidRPr="000175ED">
        <w:t>.</w:t>
      </w:r>
      <w:r w:rsidRPr="000175ED">
        <w:tab/>
      </w:r>
      <w:r>
        <w:t>Обоснование</w:t>
      </w:r>
      <w:r w:rsidRPr="000175ED">
        <w:rPr>
          <w:szCs w:val="22"/>
        </w:rPr>
        <w:t xml:space="preserve"> </w:t>
      </w:r>
    </w:p>
    <w:p w:rsidR="000175ED" w:rsidRPr="00336709" w:rsidRDefault="000175ED" w:rsidP="000175ED">
      <w:pPr>
        <w:pStyle w:val="SingleTxtGR"/>
      </w:pPr>
      <w:r w:rsidRPr="00336709">
        <w:t>1.</w:t>
      </w:r>
      <w:r w:rsidRPr="00336709">
        <w:tab/>
      </w:r>
      <w:r>
        <w:t>Предложение</w:t>
      </w:r>
      <w:r w:rsidRPr="00336709">
        <w:t xml:space="preserve"> </w:t>
      </w:r>
      <w:r>
        <w:t>МАЗМ</w:t>
      </w:r>
      <w:r w:rsidRPr="00336709">
        <w:t xml:space="preserve"> </w:t>
      </w:r>
      <w:r>
        <w:t>о</w:t>
      </w:r>
      <w:r w:rsidRPr="00336709">
        <w:t xml:space="preserve"> </w:t>
      </w:r>
      <w:r>
        <w:t>внесении</w:t>
      </w:r>
      <w:r w:rsidRPr="00336709">
        <w:t xml:space="preserve"> </w:t>
      </w:r>
      <w:r>
        <w:t>в</w:t>
      </w:r>
      <w:r w:rsidRPr="00336709">
        <w:t xml:space="preserve"> </w:t>
      </w:r>
      <w:r>
        <w:t>Правила</w:t>
      </w:r>
      <w:r w:rsidRPr="00336709">
        <w:t xml:space="preserve"> № 50 </w:t>
      </w:r>
      <w:r>
        <w:t>ООН</w:t>
      </w:r>
      <w:r w:rsidRPr="00336709">
        <w:t xml:space="preserve"> </w:t>
      </w:r>
      <w:r>
        <w:t>поправок</w:t>
      </w:r>
      <w:r w:rsidRPr="00336709">
        <w:t xml:space="preserve">, </w:t>
      </w:r>
      <w:r>
        <w:t>касающихся</w:t>
      </w:r>
      <w:r w:rsidRPr="00336709">
        <w:t xml:space="preserve"> </w:t>
      </w:r>
      <w:r>
        <w:t>требований</w:t>
      </w:r>
      <w:r w:rsidRPr="00336709">
        <w:t xml:space="preserve"> </w:t>
      </w:r>
      <w:r>
        <w:t>геометрической</w:t>
      </w:r>
      <w:r w:rsidRPr="00336709">
        <w:t xml:space="preserve"> </w:t>
      </w:r>
      <w:r>
        <w:t>видимости</w:t>
      </w:r>
      <w:r w:rsidRPr="00336709">
        <w:t xml:space="preserve"> </w:t>
      </w:r>
      <w:r>
        <w:t>задних</w:t>
      </w:r>
      <w:r w:rsidRPr="00336709">
        <w:t xml:space="preserve"> </w:t>
      </w:r>
      <w:r>
        <w:t>габаритных</w:t>
      </w:r>
      <w:r w:rsidRPr="00336709">
        <w:t xml:space="preserve"> </w:t>
      </w:r>
      <w:r>
        <w:t>огней</w:t>
      </w:r>
      <w:r w:rsidRPr="00336709">
        <w:t xml:space="preserve"> (</w:t>
      </w:r>
      <w:r>
        <w:rPr>
          <w:lang w:val="en-GB"/>
        </w:rPr>
        <w:t>ECE</w:t>
      </w:r>
      <w:r w:rsidRPr="00336709">
        <w:t>/</w:t>
      </w:r>
      <w:r>
        <w:rPr>
          <w:lang w:val="en-GB"/>
        </w:rPr>
        <w:t>TRANS</w:t>
      </w:r>
      <w:r w:rsidRPr="00336709">
        <w:t>/</w:t>
      </w:r>
      <w:r>
        <w:br/>
      </w:r>
      <w:r>
        <w:rPr>
          <w:lang w:val="en-GB"/>
        </w:rPr>
        <w:t>WP</w:t>
      </w:r>
      <w:r w:rsidRPr="00336709">
        <w:t>.29/</w:t>
      </w:r>
      <w:r w:rsidRPr="00FB12CB">
        <w:rPr>
          <w:lang w:val="en-GB"/>
        </w:rPr>
        <w:t>GRE</w:t>
      </w:r>
      <w:r w:rsidRPr="00336709">
        <w:t xml:space="preserve">/2018/27), </w:t>
      </w:r>
      <w:r>
        <w:t>вместе</w:t>
      </w:r>
      <w:r w:rsidRPr="00336709">
        <w:t xml:space="preserve"> </w:t>
      </w:r>
      <w:r>
        <w:t>с</w:t>
      </w:r>
      <w:r w:rsidRPr="00336709">
        <w:t xml:space="preserve"> </w:t>
      </w:r>
      <w:r>
        <w:t>соответствующим</w:t>
      </w:r>
      <w:r w:rsidRPr="00336709">
        <w:t xml:space="preserve"> </w:t>
      </w:r>
      <w:r>
        <w:t>предложением</w:t>
      </w:r>
      <w:r w:rsidRPr="00336709">
        <w:t xml:space="preserve"> </w:t>
      </w:r>
      <w:r>
        <w:t>о</w:t>
      </w:r>
      <w:r w:rsidRPr="00336709">
        <w:t xml:space="preserve"> </w:t>
      </w:r>
      <w:r>
        <w:t>внесении</w:t>
      </w:r>
      <w:r w:rsidRPr="00336709">
        <w:t xml:space="preserve"> </w:t>
      </w:r>
      <w:r>
        <w:t>поправок</w:t>
      </w:r>
      <w:r w:rsidRPr="00336709">
        <w:t xml:space="preserve"> </w:t>
      </w:r>
      <w:r>
        <w:t>в</w:t>
      </w:r>
      <w:r w:rsidRPr="00336709">
        <w:t xml:space="preserve"> </w:t>
      </w:r>
      <w:r>
        <w:t>Правила</w:t>
      </w:r>
      <w:r w:rsidRPr="00336709">
        <w:t xml:space="preserve"> № 53 </w:t>
      </w:r>
      <w:r>
        <w:t>ООН</w:t>
      </w:r>
      <w:r w:rsidRPr="00336709">
        <w:t xml:space="preserve"> (</w:t>
      </w:r>
      <w:r w:rsidRPr="00FB12CB">
        <w:rPr>
          <w:lang w:val="en-GB"/>
        </w:rPr>
        <w:t>ECE</w:t>
      </w:r>
      <w:r w:rsidRPr="00336709">
        <w:t>/</w:t>
      </w:r>
      <w:r w:rsidRPr="00FB12CB">
        <w:rPr>
          <w:lang w:val="en-GB"/>
        </w:rPr>
        <w:t>TRANS</w:t>
      </w:r>
      <w:r w:rsidRPr="00336709">
        <w:t>/</w:t>
      </w:r>
      <w:r w:rsidRPr="00FB12CB">
        <w:rPr>
          <w:lang w:val="en-GB"/>
        </w:rPr>
        <w:t>WP</w:t>
      </w:r>
      <w:r w:rsidRPr="00336709">
        <w:t>.29/</w:t>
      </w:r>
      <w:r w:rsidRPr="00FB12CB">
        <w:rPr>
          <w:lang w:val="en-GB"/>
        </w:rPr>
        <w:t>GRE</w:t>
      </w:r>
      <w:r w:rsidRPr="00336709">
        <w:t xml:space="preserve">/2018/28) </w:t>
      </w:r>
      <w:r>
        <w:t>в</w:t>
      </w:r>
      <w:r w:rsidRPr="00336709">
        <w:t xml:space="preserve"> </w:t>
      </w:r>
      <w:r>
        <w:t>целом</w:t>
      </w:r>
      <w:r w:rsidRPr="00336709">
        <w:t xml:space="preserve"> </w:t>
      </w:r>
      <w:r>
        <w:t>были поддержаны</w:t>
      </w:r>
      <w:r w:rsidRPr="00336709">
        <w:t xml:space="preserve"> </w:t>
      </w:r>
      <w:r w:rsidRPr="00FB12CB">
        <w:rPr>
          <w:lang w:val="en-GB"/>
        </w:rPr>
        <w:t>GRE</w:t>
      </w:r>
      <w:r w:rsidRPr="00336709">
        <w:t xml:space="preserve"> </w:t>
      </w:r>
      <w:r>
        <w:t>на</w:t>
      </w:r>
      <w:r w:rsidRPr="00336709">
        <w:t xml:space="preserve"> </w:t>
      </w:r>
      <w:r>
        <w:t>ее</w:t>
      </w:r>
      <w:r w:rsidRPr="00336709">
        <w:t xml:space="preserve"> </w:t>
      </w:r>
      <w:r>
        <w:t>семьдесят</w:t>
      </w:r>
      <w:r w:rsidRPr="00336709">
        <w:t xml:space="preserve"> </w:t>
      </w:r>
      <w:r>
        <w:t>девятой</w:t>
      </w:r>
      <w:r w:rsidRPr="00336709">
        <w:t xml:space="preserve"> </w:t>
      </w:r>
      <w:r>
        <w:t>сессии</w:t>
      </w:r>
      <w:r w:rsidRPr="00336709">
        <w:t xml:space="preserve"> </w:t>
      </w:r>
      <w:r>
        <w:t>в</w:t>
      </w:r>
      <w:r w:rsidRPr="00336709">
        <w:t xml:space="preserve"> </w:t>
      </w:r>
      <w:r>
        <w:t>апреле</w:t>
      </w:r>
      <w:r w:rsidRPr="00336709">
        <w:t xml:space="preserve"> 2018 </w:t>
      </w:r>
      <w:r>
        <w:t>года</w:t>
      </w:r>
      <w:r w:rsidRPr="00336709">
        <w:t xml:space="preserve">, </w:t>
      </w:r>
      <w:r>
        <w:t>однако</w:t>
      </w:r>
      <w:r w:rsidRPr="00336709">
        <w:t xml:space="preserve"> </w:t>
      </w:r>
      <w:r>
        <w:t>их</w:t>
      </w:r>
      <w:r w:rsidRPr="00336709">
        <w:t xml:space="preserve"> </w:t>
      </w:r>
      <w:r>
        <w:t>не</w:t>
      </w:r>
      <w:r w:rsidRPr="00336709">
        <w:t xml:space="preserve"> </w:t>
      </w:r>
      <w:r>
        <w:t>удалось</w:t>
      </w:r>
      <w:r w:rsidRPr="00336709">
        <w:t xml:space="preserve"> </w:t>
      </w:r>
      <w:r>
        <w:t>представить</w:t>
      </w:r>
      <w:r w:rsidRPr="00336709">
        <w:t xml:space="preserve"> </w:t>
      </w:r>
      <w:r w:rsidRPr="000F3861">
        <w:t>Всемирн</w:t>
      </w:r>
      <w:r>
        <w:t>ому</w:t>
      </w:r>
      <w:r w:rsidRPr="00336709">
        <w:t xml:space="preserve"> </w:t>
      </w:r>
      <w:r w:rsidRPr="000F3861">
        <w:t>форум</w:t>
      </w:r>
      <w:r>
        <w:t>у</w:t>
      </w:r>
      <w:r w:rsidRPr="00336709">
        <w:t xml:space="preserve"> </w:t>
      </w:r>
      <w:r w:rsidRPr="000F3861">
        <w:t>для</w:t>
      </w:r>
      <w:r w:rsidRPr="00336709">
        <w:t xml:space="preserve"> </w:t>
      </w:r>
      <w:r w:rsidRPr="000F3861">
        <w:t>согласования</w:t>
      </w:r>
      <w:r w:rsidRPr="00336709">
        <w:t xml:space="preserve"> </w:t>
      </w:r>
      <w:r w:rsidRPr="000F3861">
        <w:t>правил</w:t>
      </w:r>
      <w:r w:rsidRPr="00336709">
        <w:t xml:space="preserve"> </w:t>
      </w:r>
      <w:r w:rsidRPr="000F3861">
        <w:t>в</w:t>
      </w:r>
      <w:r w:rsidRPr="00336709">
        <w:t xml:space="preserve"> </w:t>
      </w:r>
      <w:r w:rsidRPr="000F3861">
        <w:t>области</w:t>
      </w:r>
      <w:r w:rsidRPr="00336709">
        <w:t xml:space="preserve"> </w:t>
      </w:r>
      <w:r w:rsidRPr="000F3861">
        <w:t>транспортных</w:t>
      </w:r>
      <w:r w:rsidRPr="00336709">
        <w:t xml:space="preserve"> </w:t>
      </w:r>
      <w:r w:rsidRPr="000F3861">
        <w:t>средств</w:t>
      </w:r>
      <w:r w:rsidRPr="00336709">
        <w:t xml:space="preserve"> (</w:t>
      </w:r>
      <w:r>
        <w:rPr>
          <w:lang w:val="en-GB"/>
        </w:rPr>
        <w:t>WP</w:t>
      </w:r>
      <w:r w:rsidRPr="00336709">
        <w:t>.29)</w:t>
      </w:r>
      <w:r>
        <w:t xml:space="preserve"> из-за принятого ранее решения о «моратории» на разработку Правил №</w:t>
      </w:r>
      <w:r w:rsidR="00CB00F7">
        <w:rPr>
          <w:lang w:val="en-US"/>
        </w:rPr>
        <w:t> </w:t>
      </w:r>
      <w:r>
        <w:t>50 ООН, которые должны быть заменены новыми Правилами, касающимися УСС</w:t>
      </w:r>
      <w:r w:rsidRPr="00336709">
        <w:t>.</w:t>
      </w:r>
    </w:p>
    <w:p w:rsidR="000175ED" w:rsidRPr="00792722" w:rsidRDefault="000175ED" w:rsidP="000175ED">
      <w:pPr>
        <w:pStyle w:val="SingleTxtGR"/>
      </w:pPr>
      <w:r w:rsidRPr="00792722">
        <w:t>2.</w:t>
      </w:r>
      <w:r w:rsidRPr="00792722">
        <w:tab/>
      </w:r>
      <w:r>
        <w:t>На</w:t>
      </w:r>
      <w:r w:rsidRPr="00792722">
        <w:t xml:space="preserve"> </w:t>
      </w:r>
      <w:r>
        <w:t>этой</w:t>
      </w:r>
      <w:r w:rsidRPr="00792722">
        <w:t xml:space="preserve"> </w:t>
      </w:r>
      <w:r>
        <w:t>же</w:t>
      </w:r>
      <w:r w:rsidRPr="00792722">
        <w:t xml:space="preserve"> </w:t>
      </w:r>
      <w:r>
        <w:t>сессии</w:t>
      </w:r>
      <w:r w:rsidRPr="00792722">
        <w:t xml:space="preserve"> </w:t>
      </w:r>
      <w:r>
        <w:t>новые</w:t>
      </w:r>
      <w:r w:rsidRPr="00792722">
        <w:t xml:space="preserve"> </w:t>
      </w:r>
      <w:r>
        <w:t>Правила</w:t>
      </w:r>
      <w:r w:rsidRPr="00792722">
        <w:t xml:space="preserve">, </w:t>
      </w:r>
      <w:r>
        <w:t>касающиеся</w:t>
      </w:r>
      <w:r w:rsidRPr="00792722">
        <w:t xml:space="preserve"> </w:t>
      </w:r>
      <w:r>
        <w:t xml:space="preserve">УСС </w:t>
      </w:r>
      <w:r w:rsidRPr="00792722">
        <w:t>(</w:t>
      </w:r>
      <w:r w:rsidRPr="00FB12CB">
        <w:rPr>
          <w:lang w:val="en-GB"/>
        </w:rPr>
        <w:t>ECE</w:t>
      </w:r>
      <w:r w:rsidRPr="00792722">
        <w:t>/</w:t>
      </w:r>
      <w:r w:rsidRPr="00FB12CB">
        <w:rPr>
          <w:lang w:val="en-GB"/>
        </w:rPr>
        <w:t>TRANS</w:t>
      </w:r>
      <w:r w:rsidRPr="00792722">
        <w:t>/</w:t>
      </w:r>
      <w:r>
        <w:br/>
      </w:r>
      <w:r w:rsidRPr="00FB12CB">
        <w:rPr>
          <w:lang w:val="en-GB"/>
        </w:rPr>
        <w:t>WP</w:t>
      </w:r>
      <w:r w:rsidRPr="00792722">
        <w:t>.29/</w:t>
      </w:r>
      <w:r w:rsidRPr="00FB12CB">
        <w:rPr>
          <w:lang w:val="en-GB"/>
        </w:rPr>
        <w:t>GRE</w:t>
      </w:r>
      <w:r w:rsidRPr="00792722">
        <w:t>/2018/2)</w:t>
      </w:r>
      <w:r>
        <w:t>, были приняты</w:t>
      </w:r>
      <w:r w:rsidRPr="00792722">
        <w:t>.</w:t>
      </w:r>
    </w:p>
    <w:p w:rsidR="000175ED" w:rsidRPr="00792722" w:rsidRDefault="000175ED" w:rsidP="000175ED">
      <w:pPr>
        <w:pStyle w:val="SingleTxtGR"/>
      </w:pPr>
      <w:r w:rsidRPr="00792722">
        <w:t>3.</w:t>
      </w:r>
      <w:r w:rsidRPr="00792722">
        <w:tab/>
      </w:r>
      <w:r>
        <w:t>На</w:t>
      </w:r>
      <w:r w:rsidRPr="00792722">
        <w:t xml:space="preserve"> </w:t>
      </w:r>
      <w:r>
        <w:t>основании</w:t>
      </w:r>
      <w:r w:rsidRPr="00792722">
        <w:t xml:space="preserve"> </w:t>
      </w:r>
      <w:r>
        <w:t>настоящих</w:t>
      </w:r>
      <w:r w:rsidRPr="00792722">
        <w:t xml:space="preserve"> </w:t>
      </w:r>
      <w:r>
        <w:t>поправок</w:t>
      </w:r>
      <w:r w:rsidRPr="00792722">
        <w:t xml:space="preserve"> </w:t>
      </w:r>
      <w:r>
        <w:t>в</w:t>
      </w:r>
      <w:r w:rsidRPr="00792722">
        <w:t xml:space="preserve"> </w:t>
      </w:r>
      <w:r>
        <w:t>новые</w:t>
      </w:r>
      <w:r w:rsidRPr="00792722">
        <w:t xml:space="preserve"> </w:t>
      </w:r>
      <w:r>
        <w:t>Правила</w:t>
      </w:r>
      <w:r w:rsidRPr="00792722">
        <w:t xml:space="preserve">, </w:t>
      </w:r>
      <w:r>
        <w:t>касающиеся</w:t>
      </w:r>
      <w:r w:rsidRPr="00792722">
        <w:t xml:space="preserve"> </w:t>
      </w:r>
      <w:r>
        <w:t xml:space="preserve">УСС </w:t>
      </w:r>
      <w:r w:rsidRPr="00792722">
        <w:t>(</w:t>
      </w:r>
      <w:r w:rsidRPr="00FB12CB">
        <w:rPr>
          <w:lang w:val="en-GB"/>
        </w:rPr>
        <w:t>ECE</w:t>
      </w:r>
      <w:r w:rsidRPr="00792722">
        <w:t>/</w:t>
      </w:r>
      <w:r w:rsidRPr="00FB12CB">
        <w:rPr>
          <w:lang w:val="en-GB"/>
        </w:rPr>
        <w:t>TRANS</w:t>
      </w:r>
      <w:r w:rsidRPr="00792722">
        <w:t>/</w:t>
      </w:r>
      <w:r w:rsidRPr="00FB12CB">
        <w:rPr>
          <w:lang w:val="en-GB"/>
        </w:rPr>
        <w:t>WP</w:t>
      </w:r>
      <w:r w:rsidRPr="00792722">
        <w:t>.29/</w:t>
      </w:r>
      <w:r w:rsidRPr="00FB12CB">
        <w:rPr>
          <w:lang w:val="en-GB"/>
        </w:rPr>
        <w:t>GRE</w:t>
      </w:r>
      <w:r w:rsidRPr="00792722">
        <w:t>/2018/2)</w:t>
      </w:r>
      <w:r>
        <w:t xml:space="preserve">, вносятся изменения, которые уже нашли отражение в документе </w:t>
      </w:r>
      <w:r w:rsidRPr="00FB12CB">
        <w:rPr>
          <w:lang w:val="en-GB"/>
        </w:rPr>
        <w:t>ECE</w:t>
      </w:r>
      <w:r w:rsidRPr="00792722">
        <w:t>/</w:t>
      </w:r>
      <w:r w:rsidRPr="00FB12CB">
        <w:rPr>
          <w:lang w:val="en-GB"/>
        </w:rPr>
        <w:t>TRANS</w:t>
      </w:r>
      <w:r w:rsidRPr="00792722">
        <w:t>/</w:t>
      </w:r>
      <w:r w:rsidRPr="00FB12CB">
        <w:rPr>
          <w:lang w:val="en-GB"/>
        </w:rPr>
        <w:t>WP</w:t>
      </w:r>
      <w:r w:rsidRPr="00792722">
        <w:t>.29/</w:t>
      </w:r>
      <w:r w:rsidRPr="00FB12CB">
        <w:rPr>
          <w:lang w:val="en-GB"/>
        </w:rPr>
        <w:t>GRE</w:t>
      </w:r>
      <w:r w:rsidRPr="00792722">
        <w:t>/2018/27.</w:t>
      </w:r>
    </w:p>
    <w:p w:rsidR="000175ED" w:rsidRPr="00792722" w:rsidRDefault="000175ED" w:rsidP="000175ED">
      <w:pPr>
        <w:pStyle w:val="SingleTxtGR"/>
      </w:pPr>
      <w:r w:rsidRPr="00792722">
        <w:t>4.</w:t>
      </w:r>
      <w:r w:rsidRPr="00792722">
        <w:tab/>
      </w:r>
      <w:r>
        <w:t xml:space="preserve">Предполагается, что настоящее предложение после его официального утверждения </w:t>
      </w:r>
      <w:r w:rsidRPr="00FB12CB">
        <w:rPr>
          <w:lang w:val="en-GB"/>
        </w:rPr>
        <w:t>GRE</w:t>
      </w:r>
      <w:r>
        <w:t xml:space="preserve"> будет передано </w:t>
      </w:r>
      <w:r w:rsidRPr="00FB12CB">
        <w:rPr>
          <w:lang w:val="en-GB"/>
        </w:rPr>
        <w:t>WP</w:t>
      </w:r>
      <w:r w:rsidRPr="00792722">
        <w:t xml:space="preserve">.29 </w:t>
      </w:r>
      <w:r>
        <w:t xml:space="preserve">вместе с соответствующим предложением о внесении поправок в Правила № </w:t>
      </w:r>
      <w:r w:rsidRPr="00792722">
        <w:t>53 (</w:t>
      </w:r>
      <w:r w:rsidRPr="00FB12CB">
        <w:rPr>
          <w:lang w:val="en-GB"/>
        </w:rPr>
        <w:t>ECE</w:t>
      </w:r>
      <w:r w:rsidRPr="00792722">
        <w:t>/</w:t>
      </w:r>
      <w:r w:rsidRPr="00FB12CB">
        <w:rPr>
          <w:lang w:val="en-GB"/>
        </w:rPr>
        <w:t>TRANS</w:t>
      </w:r>
      <w:r w:rsidRPr="00792722">
        <w:t>/</w:t>
      </w:r>
      <w:r w:rsidRPr="00FB12CB">
        <w:rPr>
          <w:lang w:val="en-GB"/>
        </w:rPr>
        <w:t>WP</w:t>
      </w:r>
      <w:r w:rsidRPr="00792722">
        <w:t>.29/</w:t>
      </w:r>
      <w:r w:rsidRPr="00FB12CB">
        <w:rPr>
          <w:lang w:val="en-GB"/>
        </w:rPr>
        <w:t>GRE</w:t>
      </w:r>
      <w:r w:rsidRPr="00792722">
        <w:t>/2018/28).</w:t>
      </w:r>
    </w:p>
    <w:p w:rsidR="000175ED" w:rsidRPr="00732F78" w:rsidRDefault="000175ED" w:rsidP="000175ED">
      <w:pPr>
        <w:spacing w:after="120" w:line="240" w:lineRule="auto"/>
        <w:jc w:val="center"/>
        <w:rPr>
          <w:snapToGrid w:val="0"/>
          <w:color w:val="000000"/>
          <w:u w:val="single"/>
          <w:lang w:val="it-IT"/>
        </w:rPr>
      </w:pPr>
      <w:r>
        <w:rPr>
          <w:snapToGrid w:val="0"/>
          <w:color w:val="000000"/>
          <w:u w:val="single"/>
          <w:lang w:val="it-IT"/>
        </w:rPr>
        <w:tab/>
      </w:r>
      <w:r>
        <w:rPr>
          <w:snapToGrid w:val="0"/>
          <w:color w:val="000000"/>
          <w:u w:val="single"/>
          <w:lang w:val="it-IT"/>
        </w:rPr>
        <w:tab/>
      </w:r>
      <w:r>
        <w:rPr>
          <w:snapToGrid w:val="0"/>
          <w:color w:val="000000"/>
          <w:u w:val="single"/>
          <w:lang w:val="it-IT"/>
        </w:rPr>
        <w:tab/>
      </w:r>
    </w:p>
    <w:p w:rsidR="00E12C5F" w:rsidRPr="000175ED" w:rsidRDefault="00E12C5F" w:rsidP="002E5067">
      <w:pPr>
        <w:rPr>
          <w:lang w:val="it-IT"/>
        </w:rPr>
      </w:pPr>
    </w:p>
    <w:sectPr w:rsidR="00E12C5F" w:rsidRPr="000175ED" w:rsidSect="000175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EA7" w:rsidRPr="00A312BC" w:rsidRDefault="00304EA7" w:rsidP="00A312BC"/>
  </w:endnote>
  <w:endnote w:type="continuationSeparator" w:id="0">
    <w:p w:rsidR="00304EA7" w:rsidRPr="00A312BC" w:rsidRDefault="00304EA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5ED" w:rsidRPr="000175ED" w:rsidRDefault="000175ED">
    <w:pPr>
      <w:pStyle w:val="Footer"/>
    </w:pPr>
    <w:r w:rsidRPr="000175ED">
      <w:rPr>
        <w:b/>
        <w:sz w:val="18"/>
      </w:rPr>
      <w:fldChar w:fldCharType="begin"/>
    </w:r>
    <w:r w:rsidRPr="000175ED">
      <w:rPr>
        <w:b/>
        <w:sz w:val="18"/>
      </w:rPr>
      <w:instrText xml:space="preserve"> PAGE  \* MERGEFORMAT </w:instrText>
    </w:r>
    <w:r w:rsidRPr="000175ED">
      <w:rPr>
        <w:b/>
        <w:sz w:val="18"/>
      </w:rPr>
      <w:fldChar w:fldCharType="separate"/>
    </w:r>
    <w:r w:rsidR="00C46FD4">
      <w:rPr>
        <w:b/>
        <w:noProof/>
        <w:sz w:val="18"/>
      </w:rPr>
      <w:t>2</w:t>
    </w:r>
    <w:r w:rsidRPr="000175ED">
      <w:rPr>
        <w:b/>
        <w:sz w:val="18"/>
      </w:rPr>
      <w:fldChar w:fldCharType="end"/>
    </w:r>
    <w:r>
      <w:rPr>
        <w:b/>
        <w:sz w:val="18"/>
      </w:rPr>
      <w:tab/>
    </w:r>
    <w:r>
      <w:t>GE.18-13081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5ED" w:rsidRPr="000175ED" w:rsidRDefault="000175ED" w:rsidP="000175ED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GE.18-13081</w:t>
    </w:r>
    <w:r>
      <w:tab/>
    </w:r>
    <w:r w:rsidRPr="000175ED">
      <w:rPr>
        <w:b/>
        <w:sz w:val="18"/>
      </w:rPr>
      <w:fldChar w:fldCharType="begin"/>
    </w:r>
    <w:r w:rsidRPr="000175ED">
      <w:rPr>
        <w:b/>
        <w:sz w:val="18"/>
      </w:rPr>
      <w:instrText xml:space="preserve"> PAGE  \* MERGEFORMAT </w:instrText>
    </w:r>
    <w:r w:rsidRPr="000175E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175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175ED" w:rsidRDefault="000175ED" w:rsidP="000175E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18-13081  (R)  100818  100818</w:t>
    </w:r>
    <w:r>
      <w:br/>
    </w:r>
    <w:r w:rsidRPr="000175ED">
      <w:rPr>
        <w:rFonts w:ascii="C39T30Lfz" w:hAnsi="C39T30Lfz"/>
        <w:kern w:val="14"/>
        <w:sz w:val="56"/>
      </w:rPr>
      <w:t></w:t>
    </w:r>
    <w:r w:rsidRPr="000175ED">
      <w:rPr>
        <w:rFonts w:ascii="C39T30Lfz" w:hAnsi="C39T30Lfz"/>
        <w:kern w:val="14"/>
        <w:sz w:val="56"/>
      </w:rPr>
      <w:t></w:t>
    </w:r>
    <w:r w:rsidRPr="000175ED">
      <w:rPr>
        <w:rFonts w:ascii="C39T30Lfz" w:hAnsi="C39T30Lfz"/>
        <w:kern w:val="14"/>
        <w:sz w:val="56"/>
      </w:rPr>
      <w:t></w:t>
    </w:r>
    <w:r w:rsidRPr="000175ED">
      <w:rPr>
        <w:rFonts w:ascii="C39T30Lfz" w:hAnsi="C39T30Lfz"/>
        <w:kern w:val="14"/>
        <w:sz w:val="56"/>
      </w:rPr>
      <w:t></w:t>
    </w:r>
    <w:r w:rsidRPr="000175ED">
      <w:rPr>
        <w:rFonts w:ascii="C39T30Lfz" w:hAnsi="C39T30Lfz"/>
        <w:kern w:val="14"/>
        <w:sz w:val="56"/>
      </w:rPr>
      <w:t></w:t>
    </w:r>
    <w:r w:rsidRPr="000175ED">
      <w:rPr>
        <w:rFonts w:ascii="C39T30Lfz" w:hAnsi="C39T30Lfz"/>
        <w:kern w:val="14"/>
        <w:sz w:val="56"/>
      </w:rPr>
      <w:t></w:t>
    </w:r>
    <w:r w:rsidRPr="000175ED">
      <w:rPr>
        <w:rFonts w:ascii="C39T30Lfz" w:hAnsi="C39T30Lfz"/>
        <w:kern w:val="14"/>
        <w:sz w:val="56"/>
      </w:rPr>
      <w:t></w:t>
    </w:r>
    <w:r w:rsidRPr="000175ED">
      <w:rPr>
        <w:rFonts w:ascii="C39T30Lfz" w:hAnsi="C39T30Lfz"/>
        <w:kern w:val="14"/>
        <w:sz w:val="56"/>
      </w:rPr>
      <w:t></w:t>
    </w:r>
    <w:r w:rsidRPr="000175E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3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EA7" w:rsidRPr="001075E9" w:rsidRDefault="00304EA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04EA7" w:rsidRDefault="00304EA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175ED" w:rsidRPr="00214207" w:rsidRDefault="000175ED" w:rsidP="000175ED">
      <w:pPr>
        <w:pStyle w:val="FootnoteText"/>
        <w:spacing w:after="240"/>
      </w:pPr>
      <w:r>
        <w:tab/>
      </w:r>
      <w:r w:rsidRPr="000175E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5ED" w:rsidRPr="000175ED" w:rsidRDefault="00C46FD4">
    <w:pPr>
      <w:pStyle w:val="Header"/>
    </w:pPr>
    <w:fldSimple w:instr=" TITLE  \* MERGEFORMAT ">
      <w:r>
        <w:t>ECE/TRANS/WP.29/GRE/2018/33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5ED" w:rsidRPr="000175ED" w:rsidRDefault="00C46FD4" w:rsidP="000175ED">
    <w:pPr>
      <w:pStyle w:val="Header"/>
      <w:jc w:val="right"/>
    </w:pPr>
    <w:fldSimple w:instr=" TITLE  \* MERGEFORMAT ">
      <w:r>
        <w:t>ECE/TRANS/WP.29/GRE/2018/33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A7"/>
    <w:rsid w:val="000175ED"/>
    <w:rsid w:val="000242A0"/>
    <w:rsid w:val="00033EE1"/>
    <w:rsid w:val="00042B72"/>
    <w:rsid w:val="000558BD"/>
    <w:rsid w:val="00057EF1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EA7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D6762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6FD4"/>
    <w:rsid w:val="00C60F0C"/>
    <w:rsid w:val="00C805C9"/>
    <w:rsid w:val="00C92939"/>
    <w:rsid w:val="00CA1679"/>
    <w:rsid w:val="00CB00F7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1679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29CFAB-333F-49BB-85DE-BC2BA321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175ED"/>
  </w:style>
  <w:style w:type="paragraph" w:customStyle="1" w:styleId="SingleTxtG">
    <w:name w:val="_ Single Txt_G"/>
    <w:basedOn w:val="Normal"/>
    <w:link w:val="SingleTxtGChar"/>
    <w:qFormat/>
    <w:rsid w:val="000175ED"/>
    <w:pPr>
      <w:spacing w:before="40" w:after="120"/>
      <w:ind w:left="1134" w:right="1134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HChG">
    <w:name w:val="_ H _Ch_G"/>
    <w:basedOn w:val="Normal"/>
    <w:next w:val="Normal"/>
    <w:link w:val="HChGChar"/>
    <w:qFormat/>
    <w:rsid w:val="000175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0175ED"/>
    <w:rPr>
      <w:rFonts w:eastAsia="MS Mincho"/>
      <w:b/>
      <w:sz w:val="28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0175E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0175ED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ECE/TRANS/WP.29/GRE/2018/33</vt:lpstr>
      <vt:lpstr>ECE/TRANS/WP.29/GRE/2018/33</vt:lpstr>
      <vt:lpstr>A/</vt:lpstr>
    </vt:vector>
  </TitlesOfParts>
  <Company>DCM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ECE/TRANS/WP.29/GRE/2018/33</dc:title>
  <dc:subject/>
  <dc:creator>Uliana ANTIPOVA</dc:creator>
  <cp:keywords/>
  <cp:lastModifiedBy>Benedicte Boudol</cp:lastModifiedBy>
  <cp:revision>2</cp:revision>
  <cp:lastPrinted>2018-08-10T08:58:00Z</cp:lastPrinted>
  <dcterms:created xsi:type="dcterms:W3CDTF">2018-09-05T15:03:00Z</dcterms:created>
  <dcterms:modified xsi:type="dcterms:W3CDTF">2018-09-05T15:03:00Z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