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008C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008C8" w:rsidP="00A008C8">
            <w:pPr>
              <w:jc w:val="right"/>
            </w:pPr>
            <w:r w:rsidRPr="00A008C8">
              <w:rPr>
                <w:sz w:val="40"/>
              </w:rPr>
              <w:t>ECE</w:t>
            </w:r>
            <w:r>
              <w:t>/TRANS/WP.29/GRE/2018/48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008C8" w:rsidP="00C97039">
            <w:pPr>
              <w:spacing w:before="240"/>
            </w:pPr>
            <w:proofErr w:type="spellStart"/>
            <w:r>
              <w:t>Distr</w:t>
            </w:r>
            <w:proofErr w:type="spellEnd"/>
            <w:r>
              <w:t xml:space="preserve">. </w:t>
            </w:r>
            <w:proofErr w:type="gramStart"/>
            <w:r>
              <w:t>générale</w:t>
            </w:r>
            <w:proofErr w:type="gramEnd"/>
          </w:p>
          <w:p w:rsidR="00A008C8" w:rsidRDefault="00A008C8" w:rsidP="00A008C8">
            <w:pPr>
              <w:spacing w:line="240" w:lineRule="exact"/>
            </w:pPr>
            <w:r>
              <w:t>10 août 2018</w:t>
            </w:r>
          </w:p>
          <w:p w:rsidR="00A008C8" w:rsidRDefault="00A008C8" w:rsidP="00A008C8">
            <w:pPr>
              <w:spacing w:line="240" w:lineRule="exact"/>
            </w:pPr>
            <w:r>
              <w:t>Français</w:t>
            </w:r>
          </w:p>
          <w:p w:rsidR="00A008C8" w:rsidRPr="00DB58B5" w:rsidRDefault="00C4390A" w:rsidP="00A008C8">
            <w:pPr>
              <w:spacing w:line="240" w:lineRule="exact"/>
            </w:pPr>
            <w:r>
              <w:t>Original </w:t>
            </w:r>
            <w:r w:rsidR="00A008C8">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710CF" w:rsidRPr="00125B7A" w:rsidRDefault="00F710CF" w:rsidP="00F710CF">
      <w:pPr>
        <w:spacing w:before="120" w:line="240" w:lineRule="auto"/>
        <w:rPr>
          <w:b/>
          <w:sz w:val="24"/>
          <w:szCs w:val="24"/>
        </w:rPr>
      </w:pPr>
      <w:r w:rsidRPr="00125B7A">
        <w:rPr>
          <w:b/>
          <w:bCs/>
          <w:sz w:val="24"/>
          <w:szCs w:val="24"/>
          <w:lang w:val="fr-FR"/>
        </w:rPr>
        <w:t xml:space="preserve">Forum mondial de l’harmonisation des Règlements </w:t>
      </w:r>
      <w:r w:rsidRPr="00125B7A">
        <w:rPr>
          <w:b/>
          <w:bCs/>
          <w:sz w:val="24"/>
          <w:szCs w:val="24"/>
          <w:lang w:val="fr-FR"/>
        </w:rPr>
        <w:br/>
        <w:t>concernant les véhicules</w:t>
      </w:r>
    </w:p>
    <w:p w:rsidR="00F710CF" w:rsidRPr="00525E6C" w:rsidRDefault="00F710CF" w:rsidP="00F710CF">
      <w:pPr>
        <w:spacing w:before="120" w:after="120" w:line="240" w:lineRule="auto"/>
        <w:rPr>
          <w:b/>
          <w:bCs/>
        </w:rPr>
      </w:pPr>
      <w:r>
        <w:rPr>
          <w:b/>
          <w:bCs/>
          <w:lang w:val="fr-FR"/>
        </w:rPr>
        <w:t>Groupe de travail de l’éclairage et de la signalisation lumineuse</w:t>
      </w:r>
    </w:p>
    <w:p w:rsidR="00F710CF" w:rsidRPr="00E04EC7" w:rsidRDefault="00F710CF" w:rsidP="00F710CF">
      <w:pPr>
        <w:spacing w:line="240" w:lineRule="auto"/>
        <w:ind w:right="1134"/>
        <w:rPr>
          <w:b/>
        </w:rPr>
      </w:pPr>
      <w:r>
        <w:rPr>
          <w:b/>
          <w:bCs/>
          <w:lang w:val="fr-FR"/>
        </w:rPr>
        <w:t>Quatre-vingtième session</w:t>
      </w:r>
    </w:p>
    <w:p w:rsidR="00F710CF" w:rsidRPr="00E04EC7" w:rsidRDefault="00F710CF" w:rsidP="00F710CF">
      <w:pPr>
        <w:spacing w:line="240" w:lineRule="auto"/>
        <w:ind w:right="1134"/>
      </w:pPr>
      <w:r>
        <w:rPr>
          <w:lang w:val="fr-FR"/>
        </w:rPr>
        <w:t>Genève, 23-26 octobre 2018</w:t>
      </w:r>
    </w:p>
    <w:p w:rsidR="00F710CF" w:rsidRPr="00525E6C" w:rsidRDefault="00F710CF" w:rsidP="00F710CF">
      <w:pPr>
        <w:spacing w:line="240" w:lineRule="auto"/>
        <w:ind w:right="1134"/>
        <w:rPr>
          <w:bCs/>
        </w:rPr>
      </w:pPr>
      <w:r>
        <w:rPr>
          <w:lang w:val="fr-FR"/>
        </w:rPr>
        <w:t>Point 5 de l’ordre du jour provisoire</w:t>
      </w:r>
    </w:p>
    <w:p w:rsidR="00F710CF" w:rsidRPr="00B46671" w:rsidRDefault="00F710CF" w:rsidP="00125B7A">
      <w:pPr>
        <w:spacing w:line="240" w:lineRule="auto"/>
        <w:ind w:right="1467"/>
        <w:rPr>
          <w:b/>
          <w:bCs/>
        </w:rPr>
      </w:pPr>
      <w:r w:rsidRPr="00B46671">
        <w:rPr>
          <w:b/>
          <w:lang w:val="fr-FR"/>
        </w:rPr>
        <w:t xml:space="preserve">Règlements ONU </w:t>
      </w:r>
      <w:r w:rsidR="00125B7A">
        <w:rPr>
          <w:b/>
          <w:lang w:val="fr-FR"/>
        </w:rPr>
        <w:t>Nos. </w:t>
      </w:r>
      <w:r w:rsidRPr="00B46671">
        <w:rPr>
          <w:b/>
          <w:lang w:val="fr-FR"/>
        </w:rPr>
        <w:t xml:space="preserve">37 (Lampes à incandescence), 99 (Sources </w:t>
      </w:r>
      <w:r w:rsidR="00125B7A">
        <w:rPr>
          <w:b/>
          <w:lang w:val="fr-FR"/>
        </w:rPr>
        <w:br/>
      </w:r>
      <w:r w:rsidRPr="00B46671">
        <w:rPr>
          <w:b/>
          <w:lang w:val="fr-FR"/>
        </w:rPr>
        <w:t xml:space="preserve">lumineuses à décharge), 128 (Sources lumineuses à diodes </w:t>
      </w:r>
      <w:r w:rsidR="00125B7A">
        <w:rPr>
          <w:b/>
          <w:lang w:val="fr-FR"/>
        </w:rPr>
        <w:br/>
      </w:r>
      <w:r w:rsidRPr="00B46671">
        <w:rPr>
          <w:b/>
          <w:lang w:val="fr-FR"/>
        </w:rPr>
        <w:t>électroluminescentes) et Résolution d</w:t>
      </w:r>
      <w:r>
        <w:rPr>
          <w:b/>
          <w:lang w:val="fr-FR"/>
        </w:rPr>
        <w:t>’</w:t>
      </w:r>
      <w:r w:rsidRPr="00B46671">
        <w:rPr>
          <w:b/>
          <w:lang w:val="fr-FR"/>
        </w:rPr>
        <w:t xml:space="preserve">ensemble sur une spécification </w:t>
      </w:r>
      <w:r w:rsidR="00125B7A">
        <w:rPr>
          <w:b/>
          <w:lang w:val="fr-FR"/>
        </w:rPr>
        <w:br/>
      </w:r>
      <w:r w:rsidRPr="00B46671">
        <w:rPr>
          <w:b/>
          <w:lang w:val="fr-FR"/>
        </w:rPr>
        <w:t>commune des catégories de sources lumineuses</w:t>
      </w:r>
    </w:p>
    <w:p w:rsidR="00F710CF" w:rsidRPr="00525E6C" w:rsidRDefault="00F710CF" w:rsidP="00125B7A">
      <w:pPr>
        <w:pStyle w:val="HChG"/>
      </w:pPr>
      <w:r>
        <w:rPr>
          <w:lang w:val="fr-FR"/>
        </w:rPr>
        <w:tab/>
      </w:r>
      <w:r>
        <w:rPr>
          <w:lang w:val="fr-FR"/>
        </w:rPr>
        <w:tab/>
        <w:t xml:space="preserve">Proposition d’amendement 3 à la Résolution d’ensemble </w:t>
      </w:r>
      <w:r w:rsidR="00125B7A">
        <w:rPr>
          <w:lang w:val="fr-FR"/>
        </w:rPr>
        <w:br/>
      </w:r>
      <w:r>
        <w:rPr>
          <w:lang w:val="fr-FR"/>
        </w:rPr>
        <w:t xml:space="preserve">sur une spécification commune des catégories </w:t>
      </w:r>
      <w:r w:rsidR="00125B7A">
        <w:rPr>
          <w:lang w:val="fr-FR"/>
        </w:rPr>
        <w:br/>
      </w:r>
      <w:r>
        <w:rPr>
          <w:lang w:val="fr-FR"/>
        </w:rPr>
        <w:t>de sources lumineuses</w:t>
      </w:r>
    </w:p>
    <w:p w:rsidR="00F710CF" w:rsidRPr="00525E6C" w:rsidRDefault="00125B7A" w:rsidP="00125B7A">
      <w:pPr>
        <w:pStyle w:val="H1G"/>
        <w:rPr>
          <w:szCs w:val="24"/>
        </w:rPr>
      </w:pPr>
      <w:r>
        <w:rPr>
          <w:lang w:val="fr-FR"/>
        </w:rPr>
        <w:tab/>
      </w:r>
      <w:r>
        <w:rPr>
          <w:lang w:val="fr-FR"/>
        </w:rPr>
        <w:tab/>
      </w:r>
      <w:r w:rsidR="00F710CF">
        <w:rPr>
          <w:lang w:val="fr-FR"/>
        </w:rPr>
        <w:t>Communication de l’expert du Groupe de travail «</w:t>
      </w:r>
      <w:r>
        <w:rPr>
          <w:lang w:val="fr-FR"/>
        </w:rPr>
        <w:t> </w:t>
      </w:r>
      <w:r w:rsidR="00F710CF">
        <w:rPr>
          <w:lang w:val="fr-FR"/>
        </w:rPr>
        <w:t>Bruxelles 1952</w:t>
      </w:r>
      <w:r>
        <w:rPr>
          <w:lang w:val="fr-FR"/>
        </w:rPr>
        <w:t> </w:t>
      </w:r>
      <w:r w:rsidR="00F710CF">
        <w:rPr>
          <w:lang w:val="fr-FR"/>
        </w:rPr>
        <w:t>» (GTB)</w:t>
      </w:r>
      <w:r w:rsidR="00F710CF" w:rsidRPr="00125B7A">
        <w:rPr>
          <w:b w:val="0"/>
          <w:sz w:val="20"/>
          <w:lang w:val="fr-FR"/>
        </w:rPr>
        <w:footnoteReference w:customMarkFollows="1" w:id="2"/>
        <w:t>*</w:t>
      </w:r>
      <w:r w:rsidR="00F710CF">
        <w:rPr>
          <w:lang w:val="fr-FR"/>
        </w:rPr>
        <w:t xml:space="preserve"> </w:t>
      </w:r>
    </w:p>
    <w:p w:rsidR="00F9573C" w:rsidRPr="008C56BA" w:rsidRDefault="00F710CF" w:rsidP="00125B7A">
      <w:pPr>
        <w:pStyle w:val="SingleTxtG"/>
        <w:ind w:firstLine="567"/>
        <w:rPr>
          <w:spacing w:val="-1"/>
          <w:lang w:val="fr-FR"/>
        </w:rPr>
      </w:pPr>
      <w:r w:rsidRPr="008C56BA">
        <w:rPr>
          <w:spacing w:val="-1"/>
          <w:lang w:val="fr-FR"/>
        </w:rPr>
        <w:t xml:space="preserve">Le texte ci-après, établi par l’expert du GTB, vise à modifier la catégorie de source lumineuse LR4 de la Résolution d’ensemble sur une spécification commune des catégories de sources lumineuses (R.E.5) (ECE/TRANS/WP.29/1127). Un amendement connexe au Règlement ONU </w:t>
      </w:r>
      <w:r w:rsidR="00C4390A" w:rsidRPr="008C56BA">
        <w:rPr>
          <w:spacing w:val="-1"/>
          <w:lang w:val="fr-FR"/>
        </w:rPr>
        <w:t>No.</w:t>
      </w:r>
      <w:r w:rsidR="008C56BA" w:rsidRPr="008C56BA">
        <w:rPr>
          <w:spacing w:val="-1"/>
          <w:lang w:val="fr-FR"/>
        </w:rPr>
        <w:t> </w:t>
      </w:r>
      <w:r w:rsidRPr="008C56BA">
        <w:rPr>
          <w:spacing w:val="-1"/>
          <w:lang w:val="fr-FR"/>
        </w:rPr>
        <w:t>128 est proposé dans le document ECE/TRANS/WP.29/GRE/2018/49. Les modifications qu’il est proposé d’apporter au texte actuel du Règlement figurent en caractères gras pour les ajouts et biffés pour les suppressions.</w:t>
      </w:r>
    </w:p>
    <w:p w:rsidR="00F710CF" w:rsidRPr="00525E6C" w:rsidRDefault="00F710CF" w:rsidP="008C56BA">
      <w:pPr>
        <w:pStyle w:val="HChG"/>
      </w:pPr>
      <w:r>
        <w:rPr>
          <w:lang w:val="fr-FR"/>
        </w:rPr>
        <w:br w:type="page"/>
      </w:r>
      <w:r>
        <w:rPr>
          <w:lang w:val="fr-FR"/>
        </w:rPr>
        <w:lastRenderedPageBreak/>
        <w:tab/>
        <w:t>I.</w:t>
      </w:r>
      <w:r>
        <w:rPr>
          <w:lang w:val="fr-FR"/>
        </w:rPr>
        <w:tab/>
        <w:t>Proposition</w:t>
      </w:r>
    </w:p>
    <w:p w:rsidR="00F710CF" w:rsidRPr="00E760F7" w:rsidRDefault="00F710CF" w:rsidP="008C56BA">
      <w:pPr>
        <w:pStyle w:val="SingleTxtG"/>
        <w:keepNext/>
      </w:pPr>
      <w:r>
        <w:rPr>
          <w:i/>
          <w:iCs/>
          <w:lang w:val="fr-FR"/>
        </w:rPr>
        <w:t>Tableau de situation</w:t>
      </w:r>
      <w:r>
        <w:rPr>
          <w:lang w:val="fr-FR"/>
        </w:rPr>
        <w:t>, modifier comme suit :</w:t>
      </w:r>
    </w:p>
    <w:p w:rsidR="00F710CF" w:rsidRPr="00E760F7" w:rsidRDefault="008C56BA" w:rsidP="00F710CF">
      <w:pPr>
        <w:keepNext/>
        <w:keepLines/>
        <w:tabs>
          <w:tab w:val="right" w:pos="851"/>
        </w:tabs>
        <w:spacing w:after="120" w:line="240" w:lineRule="auto"/>
        <w:ind w:left="1134" w:right="1134"/>
        <w:rPr>
          <w:b/>
        </w:rPr>
      </w:pPr>
      <w:r>
        <w:rPr>
          <w:lang w:val="fr-FR"/>
        </w:rPr>
        <w:t>« </w:t>
      </w:r>
      <w:r w:rsidR="00F710CF" w:rsidRPr="008C56BA">
        <w:rPr>
          <w:b/>
          <w:bCs/>
          <w:sz w:val="24"/>
          <w:szCs w:val="24"/>
          <w:lang w:val="fr-FR"/>
        </w:rPr>
        <w:t>Tableau de situation</w:t>
      </w:r>
    </w:p>
    <w:p w:rsidR="00F710CF" w:rsidRPr="00E760F7" w:rsidRDefault="00F710CF" w:rsidP="008C56BA">
      <w:pPr>
        <w:pStyle w:val="SingleTxtG"/>
        <w:ind w:firstLine="567"/>
      </w:pPr>
      <w:r>
        <w:rPr>
          <w:lang w:val="fr-FR"/>
        </w:rPr>
        <w:t xml:space="preserve">Le texte de la présente </w:t>
      </w:r>
      <w:r w:rsidR="00BB5FB4">
        <w:rPr>
          <w:lang w:val="fr-FR"/>
        </w:rPr>
        <w:t>R</w:t>
      </w:r>
      <w:r>
        <w:rPr>
          <w:lang w:val="fr-FR"/>
        </w:rPr>
        <w:t xml:space="preserve">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w:t>
      </w:r>
      <w:r w:rsidR="00BB5FB4">
        <w:rPr>
          <w:lang w:val="fr-FR"/>
        </w:rPr>
        <w:t>R</w:t>
      </w:r>
      <w:r>
        <w:rPr>
          <w:lang w:val="fr-FR"/>
        </w:rPr>
        <w:t>ésolution</w:t>
      </w:r>
      <w:r w:rsidR="008C56BA">
        <w:rPr>
          <w:lang w:val="fr-FR"/>
        </w:rPr>
        <w:t> </w:t>
      </w:r>
      <w:r>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1"/>
        <w:gridCol w:w="1246"/>
        <w:gridCol w:w="840"/>
        <w:gridCol w:w="2743"/>
        <w:gridCol w:w="3759"/>
      </w:tblGrid>
      <w:tr w:rsidR="0015107B" w:rsidRPr="00B406C0" w:rsidTr="0015107B">
        <w:tc>
          <w:tcPr>
            <w:tcW w:w="1051" w:type="dxa"/>
            <w:vMerge w:val="restart"/>
            <w:tcMar>
              <w:top w:w="0" w:type="dxa"/>
              <w:left w:w="57" w:type="dxa"/>
              <w:bottom w:w="0" w:type="dxa"/>
              <w:right w:w="57" w:type="dxa"/>
            </w:tcMar>
            <w:vAlign w:val="center"/>
          </w:tcPr>
          <w:p w:rsidR="00F710CF" w:rsidRPr="00B406C0" w:rsidRDefault="00F710CF" w:rsidP="00BB5FB4">
            <w:pPr>
              <w:spacing w:before="60" w:after="60" w:line="200" w:lineRule="exact"/>
              <w:ind w:left="57" w:right="57"/>
              <w:jc w:val="center"/>
              <w:rPr>
                <w:i/>
                <w:sz w:val="16"/>
                <w:szCs w:val="16"/>
              </w:rPr>
            </w:pPr>
            <w:r w:rsidRPr="00B406C0">
              <w:rPr>
                <w:i/>
                <w:iCs/>
                <w:sz w:val="16"/>
                <w:szCs w:val="16"/>
                <w:lang w:val="fr-FR"/>
              </w:rPr>
              <w:t xml:space="preserve">Version de la </w:t>
            </w:r>
            <w:r w:rsidR="00BB5FB4">
              <w:rPr>
                <w:i/>
                <w:iCs/>
                <w:sz w:val="16"/>
                <w:szCs w:val="16"/>
                <w:lang w:val="fr-FR"/>
              </w:rPr>
              <w:t>R</w:t>
            </w:r>
            <w:r w:rsidRPr="00B406C0">
              <w:rPr>
                <w:i/>
                <w:iCs/>
                <w:sz w:val="16"/>
                <w:szCs w:val="16"/>
                <w:lang w:val="fr-FR"/>
              </w:rPr>
              <w:t>ésolution</w:t>
            </w:r>
          </w:p>
        </w:tc>
        <w:tc>
          <w:tcPr>
            <w:tcW w:w="1246" w:type="dxa"/>
            <w:vMerge w:val="restart"/>
            <w:tcMar>
              <w:top w:w="0" w:type="dxa"/>
              <w:left w:w="57" w:type="dxa"/>
              <w:bottom w:w="0" w:type="dxa"/>
              <w:right w:w="57" w:type="dxa"/>
            </w:tcMar>
            <w:vAlign w:val="center"/>
          </w:tcPr>
          <w:p w:rsidR="00F710CF" w:rsidRPr="00B406C0" w:rsidRDefault="00F710CF" w:rsidP="00C81CEB">
            <w:pPr>
              <w:spacing w:before="60" w:after="60" w:line="200" w:lineRule="exact"/>
              <w:ind w:left="8" w:right="57"/>
              <w:jc w:val="center"/>
              <w:rPr>
                <w:i/>
                <w:sz w:val="16"/>
                <w:szCs w:val="16"/>
              </w:rPr>
            </w:pPr>
            <w:r w:rsidRPr="00B406C0">
              <w:rPr>
                <w:i/>
                <w:iCs/>
                <w:sz w:val="16"/>
                <w:szCs w:val="16"/>
                <w:lang w:val="fr-FR"/>
              </w:rPr>
              <w:t xml:space="preserve">Date d’entrée en vigueur </w:t>
            </w:r>
            <w:r w:rsidR="00C81CEB">
              <w:rPr>
                <w:i/>
                <w:iCs/>
                <w:sz w:val="16"/>
                <w:szCs w:val="16"/>
                <w:lang w:val="fr-FR"/>
              </w:rPr>
              <w:br/>
            </w:r>
            <w:r w:rsidRPr="00B406C0">
              <w:rPr>
                <w:i/>
                <w:iCs/>
                <w:sz w:val="16"/>
                <w:szCs w:val="16"/>
                <w:lang w:val="fr-FR"/>
              </w:rPr>
              <w:t>de</w:t>
            </w:r>
            <w:r w:rsidR="00E70D41">
              <w:rPr>
                <w:i/>
                <w:iCs/>
                <w:sz w:val="16"/>
                <w:szCs w:val="16"/>
                <w:lang w:val="fr-FR"/>
              </w:rPr>
              <w:t> </w:t>
            </w:r>
            <w:r w:rsidRPr="00B406C0">
              <w:rPr>
                <w:i/>
                <w:iCs/>
                <w:sz w:val="16"/>
                <w:szCs w:val="16"/>
                <w:lang w:val="fr-FR"/>
              </w:rPr>
              <w:t>la version</w:t>
            </w:r>
            <w:r w:rsidRPr="00E70D41">
              <w:rPr>
                <w:sz w:val="18"/>
                <w:szCs w:val="18"/>
                <w:lang w:val="fr-FR"/>
              </w:rPr>
              <w:t>*</w:t>
            </w:r>
          </w:p>
        </w:tc>
        <w:tc>
          <w:tcPr>
            <w:tcW w:w="3583" w:type="dxa"/>
            <w:gridSpan w:val="2"/>
            <w:tcMar>
              <w:top w:w="0" w:type="dxa"/>
              <w:left w:w="57" w:type="dxa"/>
              <w:bottom w:w="0" w:type="dxa"/>
              <w:right w:w="57" w:type="dxa"/>
            </w:tcMar>
            <w:vAlign w:val="center"/>
            <w:hideMark/>
          </w:tcPr>
          <w:p w:rsidR="00F710CF" w:rsidRPr="00B406C0" w:rsidRDefault="00F710CF" w:rsidP="00E70D41">
            <w:pPr>
              <w:spacing w:before="60" w:after="60" w:line="200" w:lineRule="exact"/>
              <w:ind w:left="57" w:right="57"/>
              <w:jc w:val="center"/>
              <w:rPr>
                <w:i/>
                <w:sz w:val="16"/>
                <w:szCs w:val="16"/>
              </w:rPr>
            </w:pPr>
            <w:r w:rsidRPr="00B406C0">
              <w:rPr>
                <w:i/>
                <w:iCs/>
                <w:sz w:val="16"/>
                <w:szCs w:val="16"/>
                <w:lang w:val="fr-FR"/>
              </w:rPr>
              <w:t>Adoptée par le WP.29</w:t>
            </w:r>
          </w:p>
        </w:tc>
        <w:tc>
          <w:tcPr>
            <w:tcW w:w="3759" w:type="dxa"/>
            <w:vMerge w:val="restart"/>
            <w:tcMar>
              <w:top w:w="0" w:type="dxa"/>
              <w:left w:w="57" w:type="dxa"/>
              <w:bottom w:w="0" w:type="dxa"/>
              <w:right w:w="57" w:type="dxa"/>
            </w:tcMar>
            <w:vAlign w:val="center"/>
          </w:tcPr>
          <w:p w:rsidR="00F710CF" w:rsidRPr="00B406C0" w:rsidRDefault="00F710CF" w:rsidP="00E70D41">
            <w:pPr>
              <w:spacing w:before="60" w:after="60" w:line="200" w:lineRule="exact"/>
              <w:ind w:left="57" w:right="57"/>
              <w:jc w:val="center"/>
              <w:rPr>
                <w:i/>
                <w:sz w:val="16"/>
                <w:szCs w:val="16"/>
              </w:rPr>
            </w:pPr>
            <w:r w:rsidRPr="00B406C0">
              <w:rPr>
                <w:i/>
                <w:iCs/>
                <w:sz w:val="16"/>
                <w:szCs w:val="16"/>
                <w:lang w:val="fr-FR"/>
              </w:rPr>
              <w:t>Observations</w:t>
            </w:r>
          </w:p>
        </w:tc>
      </w:tr>
      <w:tr w:rsidR="0015107B" w:rsidRPr="00B406C0" w:rsidTr="0015107B">
        <w:tc>
          <w:tcPr>
            <w:tcW w:w="1051" w:type="dxa"/>
            <w:vMerge/>
            <w:vAlign w:val="center"/>
            <w:hideMark/>
          </w:tcPr>
          <w:p w:rsidR="00F710CF" w:rsidRPr="00C81CEB" w:rsidRDefault="00F710CF" w:rsidP="00E70D41">
            <w:pPr>
              <w:spacing w:before="60" w:after="60" w:line="200" w:lineRule="exact"/>
              <w:ind w:left="57" w:right="57"/>
              <w:jc w:val="center"/>
              <w:rPr>
                <w:i/>
                <w:sz w:val="16"/>
                <w:szCs w:val="16"/>
              </w:rPr>
            </w:pPr>
          </w:p>
        </w:tc>
        <w:tc>
          <w:tcPr>
            <w:tcW w:w="1246" w:type="dxa"/>
            <w:vMerge/>
            <w:vAlign w:val="center"/>
            <w:hideMark/>
          </w:tcPr>
          <w:p w:rsidR="00F710CF" w:rsidRPr="00C81CEB" w:rsidRDefault="00F710CF" w:rsidP="00C81CEB">
            <w:pPr>
              <w:spacing w:before="60" w:after="60" w:line="200" w:lineRule="exact"/>
              <w:ind w:left="8" w:right="57"/>
              <w:jc w:val="center"/>
              <w:rPr>
                <w:i/>
                <w:sz w:val="16"/>
                <w:szCs w:val="16"/>
              </w:rPr>
            </w:pPr>
          </w:p>
        </w:tc>
        <w:tc>
          <w:tcPr>
            <w:tcW w:w="840" w:type="dxa"/>
            <w:tcMar>
              <w:top w:w="0" w:type="dxa"/>
              <w:left w:w="57" w:type="dxa"/>
              <w:bottom w:w="0" w:type="dxa"/>
              <w:right w:w="57" w:type="dxa"/>
            </w:tcMar>
            <w:vAlign w:val="center"/>
            <w:hideMark/>
          </w:tcPr>
          <w:p w:rsidR="00F710CF" w:rsidRPr="00B406C0" w:rsidRDefault="00F710CF" w:rsidP="00C81CEB">
            <w:pPr>
              <w:spacing w:before="60" w:after="60" w:line="200" w:lineRule="exact"/>
              <w:ind w:left="28" w:right="28"/>
              <w:jc w:val="center"/>
              <w:rPr>
                <w:i/>
                <w:sz w:val="16"/>
                <w:szCs w:val="16"/>
              </w:rPr>
            </w:pPr>
            <w:r w:rsidRPr="00B406C0">
              <w:rPr>
                <w:i/>
                <w:iCs/>
                <w:sz w:val="16"/>
                <w:szCs w:val="16"/>
                <w:lang w:val="fr-FR"/>
              </w:rPr>
              <w:t>Session n</w:t>
            </w:r>
            <w:r w:rsidRPr="00B406C0">
              <w:rPr>
                <w:i/>
                <w:iCs/>
                <w:sz w:val="16"/>
                <w:szCs w:val="16"/>
                <w:vertAlign w:val="superscript"/>
                <w:lang w:val="fr-FR"/>
              </w:rPr>
              <w:t>o</w:t>
            </w:r>
          </w:p>
        </w:tc>
        <w:tc>
          <w:tcPr>
            <w:tcW w:w="2743" w:type="dxa"/>
            <w:vAlign w:val="center"/>
            <w:hideMark/>
          </w:tcPr>
          <w:p w:rsidR="00F710CF" w:rsidRPr="00B406C0" w:rsidRDefault="00F710CF" w:rsidP="00E70D41">
            <w:pPr>
              <w:spacing w:before="60" w:after="60" w:line="200" w:lineRule="exact"/>
              <w:ind w:left="57" w:right="57"/>
              <w:jc w:val="center"/>
              <w:rPr>
                <w:i/>
                <w:sz w:val="16"/>
                <w:szCs w:val="16"/>
              </w:rPr>
            </w:pPr>
            <w:r w:rsidRPr="00B406C0">
              <w:rPr>
                <w:i/>
                <w:iCs/>
                <w:sz w:val="16"/>
                <w:szCs w:val="16"/>
                <w:lang w:val="fr-FR"/>
              </w:rPr>
              <w:t xml:space="preserve">Cote du document </w:t>
            </w:r>
            <w:r w:rsidR="00C81CEB">
              <w:rPr>
                <w:i/>
                <w:iCs/>
                <w:sz w:val="16"/>
                <w:szCs w:val="16"/>
                <w:lang w:val="fr-FR"/>
              </w:rPr>
              <w:br/>
            </w:r>
            <w:r w:rsidRPr="00B406C0">
              <w:rPr>
                <w:i/>
                <w:iCs/>
                <w:sz w:val="16"/>
                <w:szCs w:val="16"/>
                <w:lang w:val="fr-FR"/>
              </w:rPr>
              <w:t>portant modification</w:t>
            </w:r>
          </w:p>
        </w:tc>
        <w:tc>
          <w:tcPr>
            <w:tcW w:w="3759" w:type="dxa"/>
            <w:vMerge/>
            <w:vAlign w:val="center"/>
            <w:hideMark/>
          </w:tcPr>
          <w:p w:rsidR="00F710CF" w:rsidRPr="00B406C0" w:rsidRDefault="00F710CF" w:rsidP="00E70D41">
            <w:pPr>
              <w:spacing w:before="60" w:after="60" w:line="200" w:lineRule="exact"/>
              <w:ind w:left="57" w:right="57"/>
              <w:jc w:val="center"/>
              <w:rPr>
                <w:i/>
                <w:sz w:val="16"/>
                <w:szCs w:val="16"/>
              </w:rPr>
            </w:pPr>
          </w:p>
        </w:tc>
      </w:tr>
      <w:tr w:rsidR="0015107B" w:rsidRPr="00E760F7" w:rsidTr="0015107B">
        <w:tc>
          <w:tcPr>
            <w:tcW w:w="1051" w:type="dxa"/>
            <w:tcMar>
              <w:top w:w="0" w:type="dxa"/>
              <w:left w:w="57" w:type="dxa"/>
              <w:bottom w:w="0" w:type="dxa"/>
              <w:right w:w="57" w:type="dxa"/>
            </w:tcMar>
            <w:hideMark/>
          </w:tcPr>
          <w:p w:rsidR="00F710CF" w:rsidRPr="00E760F7" w:rsidRDefault="00F710CF" w:rsidP="00B406C0">
            <w:pPr>
              <w:spacing w:before="60" w:after="60" w:line="240" w:lineRule="auto"/>
              <w:ind w:left="57" w:right="57"/>
              <w:rPr>
                <w:sz w:val="18"/>
                <w:szCs w:val="18"/>
              </w:rPr>
            </w:pPr>
            <w:r>
              <w:rPr>
                <w:lang w:val="fr-FR"/>
              </w:rPr>
              <w:t>Original</w:t>
            </w:r>
          </w:p>
        </w:tc>
        <w:tc>
          <w:tcPr>
            <w:tcW w:w="1246" w:type="dxa"/>
            <w:tcMar>
              <w:top w:w="0" w:type="dxa"/>
              <w:left w:w="57" w:type="dxa"/>
              <w:bottom w:w="0" w:type="dxa"/>
              <w:right w:w="57" w:type="dxa"/>
            </w:tcMar>
            <w:hideMark/>
          </w:tcPr>
          <w:p w:rsidR="00F710CF" w:rsidRPr="00E760F7" w:rsidRDefault="00F710CF" w:rsidP="00C81CEB">
            <w:pPr>
              <w:spacing w:before="60" w:after="60" w:line="240" w:lineRule="auto"/>
              <w:ind w:left="8" w:right="57"/>
              <w:rPr>
                <w:sz w:val="18"/>
                <w:szCs w:val="18"/>
              </w:rPr>
            </w:pPr>
            <w:r>
              <w:rPr>
                <w:lang w:val="fr-FR"/>
              </w:rPr>
              <w:t>22 juin 2017</w:t>
            </w:r>
          </w:p>
        </w:tc>
        <w:tc>
          <w:tcPr>
            <w:tcW w:w="840" w:type="dxa"/>
            <w:tcMar>
              <w:top w:w="0" w:type="dxa"/>
              <w:left w:w="57" w:type="dxa"/>
              <w:bottom w:w="0" w:type="dxa"/>
              <w:right w:w="57" w:type="dxa"/>
            </w:tcMar>
            <w:hideMark/>
          </w:tcPr>
          <w:p w:rsidR="00F710CF" w:rsidRPr="00E760F7" w:rsidRDefault="00F710CF" w:rsidP="0015107B">
            <w:pPr>
              <w:spacing w:before="60" w:after="60" w:line="240" w:lineRule="auto"/>
              <w:ind w:left="28" w:right="28"/>
              <w:rPr>
                <w:sz w:val="18"/>
                <w:szCs w:val="18"/>
              </w:rPr>
            </w:pPr>
            <w:r>
              <w:rPr>
                <w:lang w:val="fr-FR"/>
              </w:rPr>
              <w:t>170</w:t>
            </w:r>
          </w:p>
        </w:tc>
        <w:tc>
          <w:tcPr>
            <w:tcW w:w="2743" w:type="dxa"/>
            <w:hideMark/>
          </w:tcPr>
          <w:p w:rsidR="00F710CF" w:rsidRPr="00E760F7" w:rsidRDefault="00F710CF" w:rsidP="00B406C0">
            <w:pPr>
              <w:spacing w:before="60" w:after="60" w:line="240" w:lineRule="auto"/>
              <w:ind w:left="57" w:right="57"/>
              <w:rPr>
                <w:sz w:val="18"/>
                <w:szCs w:val="18"/>
              </w:rPr>
            </w:pPr>
            <w:r>
              <w:rPr>
                <w:lang w:val="fr-FR"/>
              </w:rPr>
              <w:t>ECE/TRANS/WP.29/1127</w:t>
            </w:r>
          </w:p>
        </w:tc>
        <w:tc>
          <w:tcPr>
            <w:tcW w:w="3759" w:type="dxa"/>
            <w:shd w:val="clear" w:color="auto" w:fill="auto"/>
            <w:tcMar>
              <w:top w:w="0" w:type="dxa"/>
              <w:left w:w="57" w:type="dxa"/>
              <w:bottom w:w="0" w:type="dxa"/>
              <w:right w:w="57" w:type="dxa"/>
            </w:tcMar>
            <w:hideMark/>
          </w:tcPr>
          <w:p w:rsidR="00F710CF" w:rsidRPr="001829FC" w:rsidRDefault="00F710CF" w:rsidP="00B406C0">
            <w:pPr>
              <w:spacing w:before="60" w:after="60" w:line="240" w:lineRule="auto"/>
              <w:ind w:left="57" w:right="57"/>
              <w:rPr>
                <w:sz w:val="18"/>
                <w:szCs w:val="18"/>
              </w:rPr>
            </w:pPr>
            <w:r>
              <w:rPr>
                <w:lang w:val="fr-FR"/>
              </w:rPr>
              <w:t>Fondée sur l’annexe 1 des Règlements suivants</w:t>
            </w:r>
            <w:r w:rsidR="00E70D41">
              <w:rPr>
                <w:lang w:val="fr-FR"/>
              </w:rPr>
              <w:t> </w:t>
            </w:r>
            <w:r>
              <w:rPr>
                <w:lang w:val="fr-FR"/>
              </w:rPr>
              <w:t>:</w:t>
            </w:r>
          </w:p>
          <w:p w:rsidR="00F710CF" w:rsidRPr="00AA0D13" w:rsidRDefault="00E70D41" w:rsidP="00E70D41">
            <w:pPr>
              <w:pStyle w:val="ListParagraph"/>
              <w:spacing w:before="60" w:after="60" w:line="240" w:lineRule="auto"/>
              <w:ind w:left="284" w:right="57" w:hanging="227"/>
              <w:rPr>
                <w:sz w:val="18"/>
                <w:szCs w:val="18"/>
                <w:lang w:val="fr-CH"/>
              </w:rPr>
            </w:pPr>
            <w:r>
              <w:rPr>
                <w:lang w:val="fr-FR"/>
              </w:rPr>
              <w:t>•</w:t>
            </w:r>
            <w:r>
              <w:rPr>
                <w:lang w:val="fr-FR"/>
              </w:rPr>
              <w:tab/>
              <w:t>No. </w:t>
            </w:r>
            <w:r w:rsidR="00F710CF">
              <w:rPr>
                <w:lang w:val="fr-FR"/>
              </w:rPr>
              <w:t>37, jusqu’au complément 44 inclus</w:t>
            </w:r>
          </w:p>
          <w:p w:rsidR="00F710CF" w:rsidRPr="00AA0D13" w:rsidRDefault="00E70D41" w:rsidP="00E70D41">
            <w:pPr>
              <w:pStyle w:val="ListParagraph"/>
              <w:spacing w:before="60" w:after="60" w:line="240" w:lineRule="auto"/>
              <w:ind w:left="284" w:right="57" w:hanging="227"/>
              <w:rPr>
                <w:sz w:val="18"/>
                <w:szCs w:val="18"/>
                <w:lang w:val="fr-CH"/>
              </w:rPr>
            </w:pPr>
            <w:r>
              <w:rPr>
                <w:lang w:val="fr-FR"/>
              </w:rPr>
              <w:t>•</w:t>
            </w:r>
            <w:r>
              <w:rPr>
                <w:lang w:val="fr-FR"/>
              </w:rPr>
              <w:tab/>
              <w:t>No. </w:t>
            </w:r>
            <w:r w:rsidR="00F710CF">
              <w:rPr>
                <w:lang w:val="fr-FR"/>
              </w:rPr>
              <w:t>99, jusqu’au complément 11 inclus</w:t>
            </w:r>
          </w:p>
          <w:p w:rsidR="00F710CF" w:rsidRPr="00E70D41" w:rsidRDefault="00E70D41" w:rsidP="00E70D41">
            <w:pPr>
              <w:pStyle w:val="ListParagraph"/>
              <w:spacing w:before="60" w:after="60" w:line="240" w:lineRule="auto"/>
              <w:ind w:left="284" w:right="57" w:hanging="227"/>
              <w:rPr>
                <w:sz w:val="18"/>
                <w:szCs w:val="18"/>
                <w:lang w:val="fr-CH"/>
              </w:rPr>
            </w:pPr>
            <w:r>
              <w:rPr>
                <w:lang w:val="fr-FR"/>
              </w:rPr>
              <w:t>•</w:t>
            </w:r>
            <w:r>
              <w:rPr>
                <w:lang w:val="fr-FR"/>
              </w:rPr>
              <w:tab/>
              <w:t>No. </w:t>
            </w:r>
            <w:r w:rsidR="00F710CF">
              <w:rPr>
                <w:lang w:val="fr-FR"/>
              </w:rPr>
              <w:t>128, jusqu’au complément 5 inclus</w:t>
            </w:r>
          </w:p>
        </w:tc>
      </w:tr>
      <w:tr w:rsidR="0015107B" w:rsidRPr="00E760F7" w:rsidTr="0015107B">
        <w:tc>
          <w:tcPr>
            <w:tcW w:w="1051" w:type="dxa"/>
            <w:tcMar>
              <w:top w:w="0" w:type="dxa"/>
              <w:left w:w="57" w:type="dxa"/>
              <w:bottom w:w="0" w:type="dxa"/>
              <w:right w:w="57" w:type="dxa"/>
            </w:tcMar>
          </w:tcPr>
          <w:p w:rsidR="00F710CF" w:rsidRDefault="00F710CF" w:rsidP="00B406C0">
            <w:pPr>
              <w:spacing w:before="60" w:after="60" w:line="240" w:lineRule="auto"/>
              <w:ind w:left="57" w:right="57"/>
              <w:rPr>
                <w:sz w:val="18"/>
                <w:szCs w:val="18"/>
              </w:rPr>
            </w:pPr>
            <w:r>
              <w:rPr>
                <w:lang w:val="fr-FR"/>
              </w:rPr>
              <w:t>[2]</w:t>
            </w:r>
          </w:p>
        </w:tc>
        <w:tc>
          <w:tcPr>
            <w:tcW w:w="1246" w:type="dxa"/>
            <w:tcMar>
              <w:top w:w="0" w:type="dxa"/>
              <w:left w:w="57" w:type="dxa"/>
              <w:bottom w:w="0" w:type="dxa"/>
              <w:right w:w="57" w:type="dxa"/>
            </w:tcMar>
          </w:tcPr>
          <w:p w:rsidR="00F710CF" w:rsidRDefault="00F710CF" w:rsidP="00C81CEB">
            <w:pPr>
              <w:spacing w:before="60" w:after="60" w:line="240" w:lineRule="auto"/>
              <w:ind w:left="8" w:right="57"/>
              <w:rPr>
                <w:sz w:val="18"/>
                <w:szCs w:val="18"/>
              </w:rPr>
            </w:pPr>
            <w:r>
              <w:rPr>
                <w:lang w:val="fr-FR"/>
              </w:rPr>
              <w:t>[</w:t>
            </w:r>
            <w:proofErr w:type="gramStart"/>
            <w:r>
              <w:rPr>
                <w:lang w:val="fr-FR"/>
              </w:rPr>
              <w:t>xx</w:t>
            </w:r>
            <w:proofErr w:type="gramEnd"/>
            <w:r>
              <w:rPr>
                <w:lang w:val="fr-FR"/>
              </w:rPr>
              <w:t>-xx-2018]</w:t>
            </w:r>
          </w:p>
        </w:tc>
        <w:tc>
          <w:tcPr>
            <w:tcW w:w="840" w:type="dxa"/>
            <w:tcMar>
              <w:top w:w="0" w:type="dxa"/>
              <w:left w:w="57" w:type="dxa"/>
              <w:bottom w:w="0" w:type="dxa"/>
              <w:right w:w="57" w:type="dxa"/>
            </w:tcMar>
          </w:tcPr>
          <w:p w:rsidR="00F710CF" w:rsidRDefault="00F710CF" w:rsidP="0015107B">
            <w:pPr>
              <w:spacing w:before="60" w:after="60" w:line="240" w:lineRule="auto"/>
              <w:ind w:left="28" w:right="28"/>
              <w:rPr>
                <w:sz w:val="18"/>
                <w:szCs w:val="18"/>
              </w:rPr>
            </w:pPr>
            <w:r>
              <w:rPr>
                <w:lang w:val="fr-FR"/>
              </w:rPr>
              <w:t>[174]</w:t>
            </w:r>
          </w:p>
        </w:tc>
        <w:tc>
          <w:tcPr>
            <w:tcW w:w="2743" w:type="dxa"/>
          </w:tcPr>
          <w:p w:rsidR="00F710CF" w:rsidRDefault="00F710CF" w:rsidP="00B406C0">
            <w:pPr>
              <w:spacing w:before="60" w:after="60" w:line="240" w:lineRule="auto"/>
              <w:ind w:left="57" w:right="57"/>
              <w:rPr>
                <w:sz w:val="18"/>
                <w:szCs w:val="18"/>
              </w:rPr>
            </w:pPr>
            <w:r>
              <w:rPr>
                <w:lang w:val="fr-FR"/>
              </w:rPr>
              <w:t>[ECE/TRANS/WP.29/2018/32]</w:t>
            </w:r>
          </w:p>
        </w:tc>
        <w:tc>
          <w:tcPr>
            <w:tcW w:w="3759" w:type="dxa"/>
            <w:tcMar>
              <w:top w:w="0" w:type="dxa"/>
              <w:left w:w="57" w:type="dxa"/>
              <w:bottom w:w="0" w:type="dxa"/>
              <w:right w:w="57" w:type="dxa"/>
            </w:tcMar>
          </w:tcPr>
          <w:p w:rsidR="00F710CF" w:rsidRDefault="00F710CF" w:rsidP="0015107B">
            <w:pPr>
              <w:keepNext/>
              <w:spacing w:before="60" w:after="60" w:line="240" w:lineRule="auto"/>
              <w:ind w:left="57" w:right="57"/>
              <w:rPr>
                <w:sz w:val="18"/>
                <w:szCs w:val="18"/>
              </w:rPr>
            </w:pPr>
            <w:r>
              <w:rPr>
                <w:lang w:val="fr-FR"/>
              </w:rPr>
              <w:t>Détails modifiés aux pages</w:t>
            </w:r>
            <w:r w:rsidR="0015107B">
              <w:rPr>
                <w:lang w:val="fr-FR"/>
              </w:rPr>
              <w:t> </w:t>
            </w:r>
            <w:r>
              <w:rPr>
                <w:lang w:val="fr-FR"/>
              </w:rPr>
              <w:t>:</w:t>
            </w:r>
          </w:p>
          <w:p w:rsidR="00F710CF" w:rsidRDefault="00F710CF" w:rsidP="00B406C0">
            <w:pPr>
              <w:spacing w:before="60" w:after="60" w:line="240" w:lineRule="auto"/>
              <w:ind w:left="57" w:right="57"/>
              <w:rPr>
                <w:sz w:val="18"/>
                <w:szCs w:val="18"/>
              </w:rPr>
            </w:pPr>
            <w:r>
              <w:rPr>
                <w:lang w:val="fr-FR"/>
              </w:rPr>
              <w:t>C21W/2, H1/1, H3/1, H3/2, H4/4, H9/1, H11/2, H13/4, H14/1, H15/5, H20/3, H20/4, HIR2/1, HS6/1, P13W/3, P21W/1, P21/5W, P27/7W/3, PSX26W/3, R5W/1, R10W/1, T1.4W/1, W15/5W/1, W21/5W/1, WT21W/1</w:t>
            </w:r>
          </w:p>
        </w:tc>
      </w:tr>
      <w:tr w:rsidR="0015107B" w:rsidRPr="00E760F7" w:rsidTr="0015107B">
        <w:tc>
          <w:tcPr>
            <w:tcW w:w="1051" w:type="dxa"/>
            <w:tcMar>
              <w:top w:w="0" w:type="dxa"/>
              <w:left w:w="57" w:type="dxa"/>
              <w:bottom w:w="0" w:type="dxa"/>
              <w:right w:w="57" w:type="dxa"/>
            </w:tcMar>
          </w:tcPr>
          <w:p w:rsidR="00F710CF" w:rsidRPr="00D16D48" w:rsidRDefault="00F710CF" w:rsidP="00B406C0">
            <w:pPr>
              <w:spacing w:before="60" w:after="60" w:line="240" w:lineRule="auto"/>
              <w:ind w:left="57" w:right="57"/>
              <w:rPr>
                <w:sz w:val="18"/>
                <w:szCs w:val="18"/>
              </w:rPr>
            </w:pPr>
            <w:r>
              <w:rPr>
                <w:lang w:val="fr-FR"/>
              </w:rPr>
              <w:t>[3]</w:t>
            </w:r>
          </w:p>
        </w:tc>
        <w:tc>
          <w:tcPr>
            <w:tcW w:w="1246" w:type="dxa"/>
            <w:tcMar>
              <w:top w:w="0" w:type="dxa"/>
              <w:left w:w="57" w:type="dxa"/>
              <w:bottom w:w="0" w:type="dxa"/>
              <w:right w:w="57" w:type="dxa"/>
            </w:tcMar>
          </w:tcPr>
          <w:p w:rsidR="00F710CF" w:rsidRPr="00D16D48" w:rsidRDefault="00F710CF" w:rsidP="00C81CEB">
            <w:pPr>
              <w:spacing w:before="60" w:after="60" w:line="240" w:lineRule="auto"/>
              <w:ind w:left="8" w:right="57"/>
              <w:rPr>
                <w:sz w:val="18"/>
                <w:szCs w:val="18"/>
              </w:rPr>
            </w:pPr>
            <w:r>
              <w:rPr>
                <w:lang w:val="fr-FR"/>
              </w:rPr>
              <w:t>[</w:t>
            </w:r>
            <w:proofErr w:type="gramStart"/>
            <w:r>
              <w:rPr>
                <w:lang w:val="fr-FR"/>
              </w:rPr>
              <w:t>xx</w:t>
            </w:r>
            <w:proofErr w:type="gramEnd"/>
            <w:r>
              <w:rPr>
                <w:lang w:val="fr-FR"/>
              </w:rPr>
              <w:t>-xx-2018]</w:t>
            </w:r>
          </w:p>
        </w:tc>
        <w:tc>
          <w:tcPr>
            <w:tcW w:w="840" w:type="dxa"/>
            <w:tcMar>
              <w:top w:w="0" w:type="dxa"/>
              <w:left w:w="57" w:type="dxa"/>
              <w:bottom w:w="0" w:type="dxa"/>
              <w:right w:w="57" w:type="dxa"/>
            </w:tcMar>
          </w:tcPr>
          <w:p w:rsidR="00F710CF" w:rsidRPr="00D16D48" w:rsidRDefault="00F710CF" w:rsidP="0015107B">
            <w:pPr>
              <w:spacing w:before="60" w:after="60" w:line="240" w:lineRule="auto"/>
              <w:ind w:left="28" w:right="28"/>
              <w:rPr>
                <w:sz w:val="18"/>
                <w:szCs w:val="18"/>
              </w:rPr>
            </w:pPr>
            <w:r>
              <w:rPr>
                <w:lang w:val="fr-FR"/>
              </w:rPr>
              <w:t>[174]</w:t>
            </w:r>
          </w:p>
        </w:tc>
        <w:tc>
          <w:tcPr>
            <w:tcW w:w="2743" w:type="dxa"/>
          </w:tcPr>
          <w:p w:rsidR="00F710CF" w:rsidRPr="00D16D48" w:rsidRDefault="00F710CF" w:rsidP="00B406C0">
            <w:pPr>
              <w:spacing w:before="60" w:after="60" w:line="240" w:lineRule="auto"/>
              <w:ind w:left="57" w:right="57"/>
              <w:rPr>
                <w:sz w:val="18"/>
                <w:szCs w:val="18"/>
              </w:rPr>
            </w:pPr>
            <w:r>
              <w:rPr>
                <w:lang w:val="fr-FR"/>
              </w:rPr>
              <w:t>[ECE/TRANS/WP.29/2018/33/Rev.1]</w:t>
            </w:r>
          </w:p>
        </w:tc>
        <w:tc>
          <w:tcPr>
            <w:tcW w:w="3759" w:type="dxa"/>
            <w:tcMar>
              <w:top w:w="0" w:type="dxa"/>
              <w:left w:w="57" w:type="dxa"/>
              <w:bottom w:w="0" w:type="dxa"/>
              <w:right w:w="57" w:type="dxa"/>
            </w:tcMar>
          </w:tcPr>
          <w:p w:rsidR="00F710CF" w:rsidRPr="00D16D48" w:rsidRDefault="00F710CF" w:rsidP="00BB5FB4">
            <w:pPr>
              <w:spacing w:before="60" w:after="60" w:line="240" w:lineRule="auto"/>
              <w:ind w:left="57" w:right="57"/>
              <w:rPr>
                <w:sz w:val="18"/>
                <w:szCs w:val="18"/>
              </w:rPr>
            </w:pPr>
            <w:r>
              <w:rPr>
                <w:lang w:val="fr-FR"/>
              </w:rPr>
              <w:t xml:space="preserve">Introduction des nouvelles catégories de sources lumineuses d’éclairage avant à diodes électroluminescentes (DEL) L1A/6 et L1B/6 conjointement au complément [7] au Règlement </w:t>
            </w:r>
            <w:r w:rsidR="00BB5FB4">
              <w:rPr>
                <w:lang w:val="fr-FR"/>
              </w:rPr>
              <w:t>No. </w:t>
            </w:r>
            <w:r>
              <w:rPr>
                <w:lang w:val="fr-FR"/>
              </w:rPr>
              <w:t>128</w:t>
            </w:r>
          </w:p>
        </w:tc>
      </w:tr>
      <w:tr w:rsidR="0015107B" w:rsidRPr="00E760F7" w:rsidTr="0015107B">
        <w:tc>
          <w:tcPr>
            <w:tcW w:w="1051" w:type="dxa"/>
            <w:tcMar>
              <w:top w:w="0" w:type="dxa"/>
              <w:left w:w="57" w:type="dxa"/>
              <w:bottom w:w="0" w:type="dxa"/>
              <w:right w:w="57" w:type="dxa"/>
            </w:tcMar>
          </w:tcPr>
          <w:p w:rsidR="00F710CF" w:rsidRPr="0094012C" w:rsidRDefault="00F710CF" w:rsidP="00B406C0">
            <w:pPr>
              <w:spacing w:before="60" w:after="60" w:line="240" w:lineRule="auto"/>
              <w:ind w:left="57" w:right="57"/>
              <w:rPr>
                <w:b/>
                <w:sz w:val="18"/>
                <w:szCs w:val="18"/>
              </w:rPr>
            </w:pPr>
            <w:r>
              <w:rPr>
                <w:b/>
                <w:bCs/>
                <w:lang w:val="fr-FR"/>
              </w:rPr>
              <w:t>[4]</w:t>
            </w:r>
          </w:p>
        </w:tc>
        <w:tc>
          <w:tcPr>
            <w:tcW w:w="1246" w:type="dxa"/>
            <w:tcMar>
              <w:top w:w="0" w:type="dxa"/>
              <w:left w:w="57" w:type="dxa"/>
              <w:bottom w:w="0" w:type="dxa"/>
              <w:right w:w="57" w:type="dxa"/>
            </w:tcMar>
          </w:tcPr>
          <w:p w:rsidR="00F710CF" w:rsidRPr="0094012C" w:rsidRDefault="00F710CF" w:rsidP="00C81CEB">
            <w:pPr>
              <w:spacing w:before="60" w:after="60" w:line="240" w:lineRule="auto"/>
              <w:ind w:left="8" w:right="57"/>
              <w:rPr>
                <w:b/>
                <w:sz w:val="18"/>
                <w:szCs w:val="18"/>
              </w:rPr>
            </w:pPr>
            <w:r>
              <w:rPr>
                <w:b/>
                <w:bCs/>
                <w:lang w:val="fr-FR"/>
              </w:rPr>
              <w:t>[</w:t>
            </w:r>
            <w:proofErr w:type="gramStart"/>
            <w:r>
              <w:rPr>
                <w:b/>
                <w:bCs/>
                <w:lang w:val="fr-FR"/>
              </w:rPr>
              <w:t>xx</w:t>
            </w:r>
            <w:proofErr w:type="gramEnd"/>
            <w:r>
              <w:rPr>
                <w:b/>
                <w:bCs/>
                <w:lang w:val="fr-FR"/>
              </w:rPr>
              <w:t>-xx-2018]</w:t>
            </w:r>
          </w:p>
        </w:tc>
        <w:tc>
          <w:tcPr>
            <w:tcW w:w="840" w:type="dxa"/>
            <w:tcMar>
              <w:top w:w="0" w:type="dxa"/>
              <w:left w:w="57" w:type="dxa"/>
              <w:bottom w:w="0" w:type="dxa"/>
              <w:right w:w="57" w:type="dxa"/>
            </w:tcMar>
          </w:tcPr>
          <w:p w:rsidR="00F710CF" w:rsidRPr="0094012C" w:rsidRDefault="00F710CF" w:rsidP="0015107B">
            <w:pPr>
              <w:spacing w:before="60" w:after="60" w:line="240" w:lineRule="auto"/>
              <w:ind w:left="28" w:right="28"/>
              <w:rPr>
                <w:b/>
                <w:sz w:val="18"/>
                <w:szCs w:val="18"/>
              </w:rPr>
            </w:pPr>
            <w:r>
              <w:rPr>
                <w:b/>
                <w:bCs/>
                <w:lang w:val="fr-FR"/>
              </w:rPr>
              <w:t>[177]</w:t>
            </w:r>
          </w:p>
        </w:tc>
        <w:tc>
          <w:tcPr>
            <w:tcW w:w="2743" w:type="dxa"/>
          </w:tcPr>
          <w:p w:rsidR="00F710CF" w:rsidRPr="0094012C" w:rsidRDefault="00F710CF" w:rsidP="00B406C0">
            <w:pPr>
              <w:spacing w:before="60" w:after="60" w:line="240" w:lineRule="auto"/>
              <w:ind w:left="57" w:right="57"/>
              <w:rPr>
                <w:b/>
                <w:sz w:val="18"/>
                <w:szCs w:val="18"/>
              </w:rPr>
            </w:pPr>
            <w:r>
              <w:rPr>
                <w:b/>
                <w:bCs/>
                <w:lang w:val="fr-FR"/>
              </w:rPr>
              <w:t>[ECE/TRANS/WP.29/2019/xx]</w:t>
            </w:r>
          </w:p>
        </w:tc>
        <w:tc>
          <w:tcPr>
            <w:tcW w:w="3759" w:type="dxa"/>
            <w:tcMar>
              <w:top w:w="0" w:type="dxa"/>
              <w:left w:w="57" w:type="dxa"/>
              <w:bottom w:w="0" w:type="dxa"/>
              <w:right w:w="57" w:type="dxa"/>
            </w:tcMar>
          </w:tcPr>
          <w:p w:rsidR="00F710CF" w:rsidRPr="00E760F7" w:rsidRDefault="00F710CF" w:rsidP="00BB5FB4">
            <w:pPr>
              <w:spacing w:before="60" w:after="60" w:line="240" w:lineRule="auto"/>
              <w:ind w:left="57" w:right="57"/>
              <w:rPr>
                <w:b/>
                <w:sz w:val="18"/>
                <w:szCs w:val="18"/>
              </w:rPr>
            </w:pPr>
            <w:r>
              <w:rPr>
                <w:b/>
                <w:bCs/>
                <w:lang w:val="fr-FR"/>
              </w:rPr>
              <w:t xml:space="preserve">Modification des catégories de sources lumineuses LR4 conjointement au complément [8] au Règlement </w:t>
            </w:r>
            <w:r w:rsidR="00BB5FB4">
              <w:rPr>
                <w:b/>
                <w:bCs/>
                <w:lang w:val="fr-FR"/>
              </w:rPr>
              <w:t>No. </w:t>
            </w:r>
            <w:r>
              <w:rPr>
                <w:b/>
                <w:bCs/>
                <w:lang w:val="fr-FR"/>
              </w:rPr>
              <w:t>128</w:t>
            </w:r>
          </w:p>
        </w:tc>
      </w:tr>
    </w:tbl>
    <w:p w:rsidR="00F710CF" w:rsidRPr="004630AE" w:rsidRDefault="00F710CF" w:rsidP="00856961">
      <w:pPr>
        <w:spacing w:before="120" w:after="240" w:line="220" w:lineRule="exact"/>
        <w:ind w:firstLine="170"/>
        <w:rPr>
          <w:sz w:val="18"/>
          <w:szCs w:val="18"/>
        </w:rPr>
      </w:pPr>
      <w:r w:rsidRPr="004630AE">
        <w:rPr>
          <w:sz w:val="18"/>
          <w:szCs w:val="18"/>
          <w:lang w:val="fr-FR"/>
        </w:rPr>
        <w:t xml:space="preserve">* Date à laquelle le WP.29 a adopté l’amendement à la </w:t>
      </w:r>
      <w:r w:rsidR="00BB5FB4">
        <w:rPr>
          <w:sz w:val="18"/>
          <w:szCs w:val="18"/>
          <w:lang w:val="fr-FR"/>
        </w:rPr>
        <w:t>R</w:t>
      </w:r>
      <w:r w:rsidRPr="004630AE">
        <w:rPr>
          <w:sz w:val="18"/>
          <w:szCs w:val="18"/>
          <w:lang w:val="fr-FR"/>
        </w:rPr>
        <w:t>ésolution ou date d’entrée en vigueur d’un amendement au Règlement</w:t>
      </w:r>
      <w:r w:rsidR="00856961">
        <w:rPr>
          <w:sz w:val="18"/>
          <w:szCs w:val="18"/>
          <w:lang w:val="fr-FR"/>
        </w:rPr>
        <w:t> </w:t>
      </w:r>
      <w:r w:rsidR="004630AE">
        <w:rPr>
          <w:sz w:val="18"/>
          <w:szCs w:val="18"/>
          <w:lang w:val="fr-FR"/>
        </w:rPr>
        <w:t>No. </w:t>
      </w:r>
      <w:r w:rsidRPr="004630AE">
        <w:rPr>
          <w:sz w:val="18"/>
          <w:szCs w:val="18"/>
          <w:lang w:val="fr-FR"/>
        </w:rPr>
        <w:t xml:space="preserve">37, 99 ou 128, adopté par l’AC.1, à la même session du WP.29, conjointement à l’amendement à la </w:t>
      </w:r>
      <w:r w:rsidR="00BB5FB4">
        <w:rPr>
          <w:sz w:val="18"/>
          <w:szCs w:val="18"/>
          <w:lang w:val="fr-FR"/>
        </w:rPr>
        <w:t>R</w:t>
      </w:r>
      <w:r w:rsidRPr="004630AE">
        <w:rPr>
          <w:sz w:val="18"/>
          <w:szCs w:val="18"/>
          <w:lang w:val="fr-FR"/>
        </w:rPr>
        <w:t>ésolution.</w:t>
      </w:r>
    </w:p>
    <w:p w:rsidR="00F710CF" w:rsidRDefault="00856961" w:rsidP="00856961">
      <w:pPr>
        <w:pStyle w:val="SingleTxtG"/>
        <w:ind w:right="0"/>
        <w:jc w:val="right"/>
      </w:pPr>
      <w:r>
        <w:t> »</w:t>
      </w:r>
    </w:p>
    <w:p w:rsidR="00F710CF" w:rsidRDefault="00E30277" w:rsidP="00E30277">
      <w:pPr>
        <w:pStyle w:val="SingleTxtG"/>
      </w:pPr>
      <w:r>
        <w:rPr>
          <w:sz w:val="18"/>
        </w:rPr>
        <w:br w:type="page"/>
      </w:r>
      <w:r w:rsidR="00F710CF">
        <w:rPr>
          <w:i/>
          <w:iCs/>
          <w:lang w:val="fr-FR"/>
        </w:rPr>
        <w:lastRenderedPageBreak/>
        <w:t>Feuille LR4/2, tableau</w:t>
      </w:r>
      <w:r w:rsidR="00F710CF">
        <w:rPr>
          <w:lang w:val="fr-FR"/>
        </w:rPr>
        <w:t>, ajouter une note de bas de page 10 et modifier comme suit</w:t>
      </w:r>
      <w:r>
        <w:rPr>
          <w:lang w:val="fr-FR"/>
        </w:rPr>
        <w:t> </w:t>
      </w:r>
      <w:r w:rsidR="00F710CF">
        <w:rPr>
          <w:lang w:val="fr-FR"/>
        </w:rPr>
        <w:t>:</w:t>
      </w:r>
    </w:p>
    <w:p w:rsidR="00F710CF" w:rsidRDefault="00E30277" w:rsidP="00E30277">
      <w:pPr>
        <w:pStyle w:val="SingleTxtG"/>
        <w:rPr>
          <w:lang w:val="fr-FR"/>
        </w:rPr>
      </w:pPr>
      <w:r>
        <w:rPr>
          <w:lang w:val="fr-FR"/>
        </w:rPr>
        <w:t>« </w:t>
      </w: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38"/>
        <w:gridCol w:w="1893"/>
        <w:gridCol w:w="1609"/>
        <w:gridCol w:w="1607"/>
        <w:gridCol w:w="1607"/>
        <w:gridCol w:w="1585"/>
      </w:tblGrid>
      <w:tr w:rsidR="006A268F" w:rsidRPr="006A268F" w:rsidTr="00BB7AFE">
        <w:trPr>
          <w:tblHeader/>
        </w:trPr>
        <w:tc>
          <w:tcPr>
            <w:tcW w:w="9617" w:type="dxa"/>
            <w:gridSpan w:val="6"/>
            <w:shd w:val="clear" w:color="auto" w:fill="auto"/>
            <w:noWrap/>
            <w:vAlign w:val="bottom"/>
            <w:hideMark/>
          </w:tcPr>
          <w:p w:rsidR="006A268F" w:rsidRPr="006A268F" w:rsidRDefault="006A268F" w:rsidP="00DB0099">
            <w:pPr>
              <w:spacing w:before="80" w:after="80" w:line="240" w:lineRule="auto"/>
              <w:ind w:right="113"/>
              <w:jc w:val="center"/>
              <w:rPr>
                <w:i/>
                <w:sz w:val="16"/>
              </w:rPr>
            </w:pPr>
            <w:r w:rsidRPr="006A268F">
              <w:rPr>
                <w:i/>
                <w:sz w:val="16"/>
                <w:lang w:val="fr-FR"/>
              </w:rPr>
              <w:t>Caractéristiques électriques et photométriques</w:t>
            </w:r>
            <w:r w:rsidRPr="005F1A47">
              <w:rPr>
                <w:sz w:val="18"/>
                <w:szCs w:val="18"/>
                <w:vertAlign w:val="superscript"/>
                <w:lang w:val="fr-FR"/>
              </w:rPr>
              <w:t>5</w:t>
            </w:r>
          </w:p>
        </w:tc>
      </w:tr>
      <w:tr w:rsidR="006A268F" w:rsidRPr="006A268F" w:rsidTr="00BB7AFE">
        <w:tblPrEx>
          <w:tblCellMar>
            <w:left w:w="56" w:type="dxa"/>
            <w:right w:w="56" w:type="dxa"/>
          </w:tblCellMar>
          <w:tblLook w:val="0000" w:firstRow="0" w:lastRow="0" w:firstColumn="0" w:lastColumn="0" w:noHBand="0" w:noVBand="0"/>
        </w:tblPrEx>
        <w:tc>
          <w:tcPr>
            <w:tcW w:w="1336" w:type="dxa"/>
            <w:vMerge w:val="restart"/>
            <w:shd w:val="clear" w:color="auto" w:fill="auto"/>
            <w:vAlign w:val="center"/>
          </w:tcPr>
          <w:p w:rsidR="00F710CF" w:rsidRPr="006A268F" w:rsidRDefault="00F710CF" w:rsidP="00DB0099">
            <w:pPr>
              <w:spacing w:before="40" w:after="120" w:line="240" w:lineRule="auto"/>
              <w:ind w:right="113"/>
              <w:rPr>
                <w:bCs/>
              </w:rPr>
            </w:pPr>
            <w:r w:rsidRPr="006A268F">
              <w:rPr>
                <w:lang w:val="fr-FR"/>
              </w:rPr>
              <w:t>Valeurs nominales</w:t>
            </w:r>
          </w:p>
        </w:tc>
        <w:tc>
          <w:tcPr>
            <w:tcW w:w="1889" w:type="dxa"/>
            <w:shd w:val="clear" w:color="auto" w:fill="auto"/>
          </w:tcPr>
          <w:p w:rsidR="00F710CF" w:rsidRPr="006A268F" w:rsidRDefault="00F710CF" w:rsidP="00DB0099">
            <w:pPr>
              <w:spacing w:before="40" w:after="120" w:line="240" w:lineRule="auto"/>
              <w:ind w:right="113"/>
              <w:rPr>
                <w:bCs/>
                <w:lang w:eastAsia="it-IT"/>
              </w:rPr>
            </w:pPr>
          </w:p>
        </w:tc>
        <w:tc>
          <w:tcPr>
            <w:tcW w:w="1605" w:type="dxa"/>
            <w:shd w:val="clear" w:color="auto" w:fill="auto"/>
          </w:tcPr>
          <w:p w:rsidR="00F710CF" w:rsidRPr="00DB0099" w:rsidRDefault="00F710CF" w:rsidP="00DB0099">
            <w:pPr>
              <w:spacing w:before="40" w:after="120" w:line="240" w:lineRule="auto"/>
              <w:ind w:right="113"/>
              <w:rPr>
                <w:bCs/>
                <w:i/>
                <w:sz w:val="16"/>
                <w:szCs w:val="16"/>
              </w:rPr>
            </w:pPr>
            <w:r w:rsidRPr="00DB0099">
              <w:rPr>
                <w:i/>
                <w:iCs/>
                <w:sz w:val="16"/>
                <w:szCs w:val="16"/>
                <w:lang w:val="fr-FR"/>
              </w:rPr>
              <w:t>Fonction mineure</w:t>
            </w:r>
          </w:p>
        </w:tc>
        <w:tc>
          <w:tcPr>
            <w:tcW w:w="1603" w:type="dxa"/>
            <w:shd w:val="clear" w:color="auto" w:fill="auto"/>
          </w:tcPr>
          <w:p w:rsidR="00F710CF" w:rsidRPr="00DB0099" w:rsidRDefault="00F710CF" w:rsidP="00DB0099">
            <w:pPr>
              <w:spacing w:before="40" w:after="120" w:line="240" w:lineRule="auto"/>
              <w:ind w:right="113"/>
              <w:rPr>
                <w:bCs/>
                <w:i/>
                <w:sz w:val="16"/>
                <w:szCs w:val="16"/>
              </w:rPr>
            </w:pPr>
            <w:r w:rsidRPr="00DB0099">
              <w:rPr>
                <w:i/>
                <w:iCs/>
                <w:sz w:val="16"/>
                <w:szCs w:val="16"/>
                <w:lang w:val="fr-FR"/>
              </w:rPr>
              <w:t>Fonction majeure</w:t>
            </w:r>
          </w:p>
        </w:tc>
        <w:tc>
          <w:tcPr>
            <w:tcW w:w="1603" w:type="dxa"/>
            <w:shd w:val="clear" w:color="auto" w:fill="auto"/>
          </w:tcPr>
          <w:p w:rsidR="00F710CF" w:rsidRPr="00DB0099" w:rsidRDefault="00F710CF" w:rsidP="00DB0099">
            <w:pPr>
              <w:spacing w:before="40" w:after="120" w:line="240" w:lineRule="auto"/>
              <w:ind w:right="113"/>
              <w:rPr>
                <w:bCs/>
                <w:i/>
                <w:sz w:val="16"/>
                <w:szCs w:val="16"/>
              </w:rPr>
            </w:pPr>
            <w:r w:rsidRPr="00DB0099">
              <w:rPr>
                <w:i/>
                <w:iCs/>
                <w:sz w:val="16"/>
                <w:szCs w:val="16"/>
                <w:lang w:val="fr-FR"/>
              </w:rPr>
              <w:t>Fonction mineure</w:t>
            </w:r>
          </w:p>
        </w:tc>
        <w:tc>
          <w:tcPr>
            <w:tcW w:w="1581" w:type="dxa"/>
            <w:shd w:val="clear" w:color="auto" w:fill="auto"/>
          </w:tcPr>
          <w:p w:rsidR="00F710CF" w:rsidRPr="00DB0099" w:rsidRDefault="00F710CF" w:rsidP="00DB0099">
            <w:pPr>
              <w:spacing w:before="40" w:after="120" w:line="240" w:lineRule="auto"/>
              <w:ind w:right="113"/>
              <w:rPr>
                <w:bCs/>
                <w:i/>
                <w:sz w:val="16"/>
                <w:szCs w:val="16"/>
              </w:rPr>
            </w:pPr>
            <w:r w:rsidRPr="00DB0099">
              <w:rPr>
                <w:i/>
                <w:iCs/>
                <w:sz w:val="16"/>
                <w:szCs w:val="16"/>
                <w:lang w:val="fr-FR"/>
              </w:rPr>
              <w:t>Fonction majeure</w:t>
            </w:r>
          </w:p>
        </w:tc>
      </w:tr>
      <w:tr w:rsidR="006A268F" w:rsidRPr="006A268F" w:rsidTr="00BB7AFE">
        <w:tblPrEx>
          <w:tblCellMar>
            <w:left w:w="56" w:type="dxa"/>
            <w:right w:w="56" w:type="dxa"/>
          </w:tblCellMar>
          <w:tblLook w:val="0000" w:firstRow="0" w:lastRow="0" w:firstColumn="0" w:lastColumn="0" w:noHBand="0" w:noVBand="0"/>
        </w:tblPrEx>
        <w:tc>
          <w:tcPr>
            <w:tcW w:w="1336" w:type="dxa"/>
            <w:vMerge/>
            <w:shd w:val="clear" w:color="auto" w:fill="auto"/>
            <w:vAlign w:val="center"/>
          </w:tcPr>
          <w:p w:rsidR="00F710CF" w:rsidRPr="006A268F" w:rsidRDefault="00F710CF" w:rsidP="00DB0099">
            <w:pPr>
              <w:spacing w:before="40" w:after="120" w:line="240" w:lineRule="auto"/>
              <w:ind w:right="113"/>
              <w:rPr>
                <w:bCs/>
                <w:lang w:eastAsia="it-IT"/>
              </w:rPr>
            </w:pPr>
          </w:p>
        </w:tc>
        <w:tc>
          <w:tcPr>
            <w:tcW w:w="1889" w:type="dxa"/>
            <w:shd w:val="clear" w:color="auto" w:fill="auto"/>
          </w:tcPr>
          <w:p w:rsidR="00F710CF" w:rsidRPr="006A268F" w:rsidRDefault="00F710CF" w:rsidP="00DB0099">
            <w:pPr>
              <w:spacing w:before="40" w:after="120" w:line="240" w:lineRule="auto"/>
              <w:ind w:right="113"/>
              <w:rPr>
                <w:bCs/>
              </w:rPr>
            </w:pPr>
            <w:r w:rsidRPr="006A268F">
              <w:rPr>
                <w:lang w:val="fr-FR"/>
              </w:rPr>
              <w:t>Volts</w:t>
            </w:r>
          </w:p>
        </w:tc>
        <w:tc>
          <w:tcPr>
            <w:tcW w:w="3208" w:type="dxa"/>
            <w:gridSpan w:val="2"/>
            <w:shd w:val="clear" w:color="auto" w:fill="auto"/>
          </w:tcPr>
          <w:p w:rsidR="00F710CF" w:rsidRPr="006A268F" w:rsidRDefault="00F710CF" w:rsidP="000F3FB6">
            <w:pPr>
              <w:spacing w:before="40" w:after="120" w:line="240" w:lineRule="auto"/>
              <w:ind w:right="113"/>
              <w:jc w:val="center"/>
              <w:rPr>
                <w:bCs/>
              </w:rPr>
            </w:pPr>
            <w:r w:rsidRPr="006A268F">
              <w:rPr>
                <w:lang w:val="fr-FR"/>
              </w:rPr>
              <w:t>12</w:t>
            </w:r>
          </w:p>
        </w:tc>
        <w:tc>
          <w:tcPr>
            <w:tcW w:w="3184" w:type="dxa"/>
            <w:gridSpan w:val="2"/>
            <w:shd w:val="clear" w:color="auto" w:fill="auto"/>
          </w:tcPr>
          <w:p w:rsidR="00F710CF" w:rsidRPr="006A268F" w:rsidRDefault="00F710CF" w:rsidP="000F3FB6">
            <w:pPr>
              <w:spacing w:before="40" w:after="120" w:line="240" w:lineRule="auto"/>
              <w:ind w:right="113"/>
              <w:jc w:val="center"/>
              <w:rPr>
                <w:bCs/>
              </w:rPr>
            </w:pPr>
            <w:r w:rsidRPr="006A268F">
              <w:rPr>
                <w:lang w:val="fr-FR"/>
              </w:rPr>
              <w:t>12</w:t>
            </w:r>
          </w:p>
        </w:tc>
      </w:tr>
      <w:tr w:rsidR="006A268F" w:rsidRPr="006A268F" w:rsidTr="00BB7AFE">
        <w:tblPrEx>
          <w:tblCellMar>
            <w:left w:w="56" w:type="dxa"/>
            <w:right w:w="56" w:type="dxa"/>
          </w:tblCellMar>
          <w:tblLook w:val="0000" w:firstRow="0" w:lastRow="0" w:firstColumn="0" w:lastColumn="0" w:noHBand="0" w:noVBand="0"/>
        </w:tblPrEx>
        <w:tc>
          <w:tcPr>
            <w:tcW w:w="1336" w:type="dxa"/>
            <w:vMerge/>
            <w:shd w:val="clear" w:color="auto" w:fill="auto"/>
            <w:vAlign w:val="center"/>
          </w:tcPr>
          <w:p w:rsidR="00F710CF" w:rsidRPr="006A268F" w:rsidRDefault="00F710CF" w:rsidP="00DB0099">
            <w:pPr>
              <w:spacing w:before="40" w:after="120" w:line="240" w:lineRule="auto"/>
              <w:ind w:right="113"/>
              <w:rPr>
                <w:bCs/>
                <w:lang w:val="it-IT" w:eastAsia="it-IT"/>
              </w:rPr>
            </w:pPr>
          </w:p>
        </w:tc>
        <w:tc>
          <w:tcPr>
            <w:tcW w:w="1889" w:type="dxa"/>
            <w:shd w:val="clear" w:color="auto" w:fill="auto"/>
          </w:tcPr>
          <w:p w:rsidR="00F710CF" w:rsidRPr="006A268F" w:rsidRDefault="00F710CF" w:rsidP="00DB0099">
            <w:pPr>
              <w:spacing w:before="40" w:after="120" w:line="240" w:lineRule="auto"/>
              <w:ind w:right="113"/>
              <w:rPr>
                <w:bCs/>
              </w:rPr>
            </w:pPr>
            <w:r w:rsidRPr="006A268F">
              <w:rPr>
                <w:lang w:val="fr-FR"/>
              </w:rPr>
              <w:t>Watts</w:t>
            </w:r>
          </w:p>
        </w:tc>
        <w:tc>
          <w:tcPr>
            <w:tcW w:w="1605" w:type="dxa"/>
            <w:shd w:val="clear" w:color="auto" w:fill="auto"/>
          </w:tcPr>
          <w:p w:rsidR="00F710CF" w:rsidRPr="006A268F" w:rsidRDefault="00F710CF" w:rsidP="000F3FB6">
            <w:pPr>
              <w:spacing w:before="40" w:after="120" w:line="240" w:lineRule="auto"/>
              <w:ind w:right="113"/>
              <w:jc w:val="center"/>
              <w:rPr>
                <w:bCs/>
              </w:rPr>
            </w:pPr>
            <w:r w:rsidRPr="006A268F">
              <w:rPr>
                <w:lang w:val="fr-FR"/>
              </w:rPr>
              <w:t>0,75</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3</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0,75</w:t>
            </w:r>
          </w:p>
        </w:tc>
        <w:tc>
          <w:tcPr>
            <w:tcW w:w="1581" w:type="dxa"/>
            <w:shd w:val="clear" w:color="auto" w:fill="auto"/>
          </w:tcPr>
          <w:p w:rsidR="00F710CF" w:rsidRPr="006A268F" w:rsidRDefault="00F710CF" w:rsidP="000F3FB6">
            <w:pPr>
              <w:spacing w:before="40" w:after="120" w:line="240" w:lineRule="auto"/>
              <w:ind w:right="113"/>
              <w:jc w:val="center"/>
              <w:rPr>
                <w:bCs/>
              </w:rPr>
            </w:pPr>
            <w:r w:rsidRPr="006A268F">
              <w:rPr>
                <w:lang w:val="fr-FR"/>
              </w:rPr>
              <w:t>3</w:t>
            </w:r>
          </w:p>
        </w:tc>
      </w:tr>
      <w:tr w:rsidR="006A268F" w:rsidRPr="006A268F" w:rsidTr="00BB7AFE">
        <w:tblPrEx>
          <w:tblCellMar>
            <w:left w:w="56" w:type="dxa"/>
            <w:right w:w="56" w:type="dxa"/>
          </w:tblCellMar>
          <w:tblLook w:val="0000" w:firstRow="0" w:lastRow="0" w:firstColumn="0" w:lastColumn="0" w:noHBand="0" w:noVBand="0"/>
        </w:tblPrEx>
        <w:tc>
          <w:tcPr>
            <w:tcW w:w="1336" w:type="dxa"/>
            <w:vMerge w:val="restart"/>
            <w:shd w:val="clear" w:color="auto" w:fill="auto"/>
            <w:vAlign w:val="center"/>
          </w:tcPr>
          <w:p w:rsidR="00F710CF" w:rsidRPr="006A268F" w:rsidRDefault="00F710CF" w:rsidP="00DB0099">
            <w:pPr>
              <w:spacing w:before="40" w:after="120" w:line="240" w:lineRule="auto"/>
              <w:ind w:right="113"/>
              <w:rPr>
                <w:bCs/>
              </w:rPr>
            </w:pPr>
            <w:r w:rsidRPr="006A268F">
              <w:rPr>
                <w:lang w:val="fr-FR"/>
              </w:rPr>
              <w:t>Objectif</w:t>
            </w:r>
            <w:r w:rsidR="005F1A47">
              <w:rPr>
                <w:lang w:val="fr-FR"/>
              </w:rPr>
              <w:br/>
            </w:r>
            <w:r w:rsidRPr="006A268F">
              <w:rPr>
                <w:lang w:val="fr-FR"/>
              </w:rPr>
              <w:t>Valeurs</w:t>
            </w:r>
            <w:r w:rsidR="005F1A47" w:rsidRPr="005F1A47">
              <w:rPr>
                <w:i/>
                <w:sz w:val="18"/>
                <w:szCs w:val="18"/>
                <w:vertAlign w:val="superscript"/>
                <w:lang w:val="fr-FR"/>
              </w:rPr>
              <w:t>6</w:t>
            </w:r>
          </w:p>
        </w:tc>
        <w:tc>
          <w:tcPr>
            <w:tcW w:w="1889" w:type="dxa"/>
            <w:shd w:val="clear" w:color="auto" w:fill="auto"/>
          </w:tcPr>
          <w:p w:rsidR="00F710CF" w:rsidRPr="006A268F" w:rsidRDefault="00F710CF" w:rsidP="00DB0099">
            <w:pPr>
              <w:spacing w:before="40" w:after="120" w:line="240" w:lineRule="auto"/>
              <w:ind w:right="113"/>
              <w:rPr>
                <w:bCs/>
              </w:rPr>
            </w:pPr>
            <w:r w:rsidRPr="006A268F">
              <w:rPr>
                <w:lang w:val="fr-FR"/>
              </w:rPr>
              <w:t xml:space="preserve">Watts </w:t>
            </w:r>
            <w:r w:rsidR="005F1A47">
              <w:rPr>
                <w:lang w:val="fr-FR"/>
              </w:rPr>
              <w:br/>
            </w:r>
            <w:r w:rsidRPr="006A268F">
              <w:rPr>
                <w:lang w:val="fr-FR"/>
              </w:rPr>
              <w:t>(à 13,5 V en courant continu)</w:t>
            </w:r>
          </w:p>
        </w:tc>
        <w:tc>
          <w:tcPr>
            <w:tcW w:w="1605" w:type="dxa"/>
            <w:shd w:val="clear" w:color="auto" w:fill="auto"/>
          </w:tcPr>
          <w:p w:rsidR="00F710CF" w:rsidRPr="006A268F" w:rsidRDefault="00F710CF" w:rsidP="000F3FB6">
            <w:pPr>
              <w:spacing w:before="40" w:after="120" w:line="240" w:lineRule="auto"/>
              <w:ind w:right="113"/>
              <w:jc w:val="center"/>
              <w:rPr>
                <w:bCs/>
              </w:rPr>
            </w:pPr>
            <w:r w:rsidRPr="006A268F">
              <w:rPr>
                <w:lang w:val="fr-FR"/>
              </w:rPr>
              <w:t>1,0 max</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3,5 max</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1,0 max</w:t>
            </w:r>
          </w:p>
        </w:tc>
        <w:tc>
          <w:tcPr>
            <w:tcW w:w="1581" w:type="dxa"/>
            <w:shd w:val="clear" w:color="auto" w:fill="auto"/>
          </w:tcPr>
          <w:p w:rsidR="00F710CF" w:rsidRPr="006A268F" w:rsidRDefault="00F710CF" w:rsidP="000F3FB6">
            <w:pPr>
              <w:spacing w:before="40" w:after="120" w:line="240" w:lineRule="auto"/>
              <w:ind w:right="113"/>
              <w:jc w:val="center"/>
              <w:rPr>
                <w:bCs/>
              </w:rPr>
            </w:pPr>
            <w:r w:rsidRPr="006A268F">
              <w:rPr>
                <w:lang w:val="fr-FR"/>
              </w:rPr>
              <w:t>3,5 max</w:t>
            </w:r>
          </w:p>
        </w:tc>
      </w:tr>
      <w:tr w:rsidR="006A268F" w:rsidRPr="006A268F" w:rsidTr="00BB7AFE">
        <w:tblPrEx>
          <w:tblCellMar>
            <w:left w:w="56" w:type="dxa"/>
            <w:right w:w="56" w:type="dxa"/>
          </w:tblCellMar>
          <w:tblLook w:val="0000" w:firstRow="0" w:lastRow="0" w:firstColumn="0" w:lastColumn="0" w:noHBand="0" w:noVBand="0"/>
        </w:tblPrEx>
        <w:tc>
          <w:tcPr>
            <w:tcW w:w="1336" w:type="dxa"/>
            <w:vMerge/>
            <w:shd w:val="clear" w:color="auto" w:fill="auto"/>
          </w:tcPr>
          <w:p w:rsidR="00F710CF" w:rsidRPr="006A268F" w:rsidRDefault="00F710CF" w:rsidP="00DB0099">
            <w:pPr>
              <w:spacing w:before="40" w:after="120" w:line="240" w:lineRule="auto"/>
              <w:ind w:right="113"/>
              <w:rPr>
                <w:bCs/>
                <w:lang w:val="fr-FR" w:eastAsia="it-IT"/>
              </w:rPr>
            </w:pPr>
          </w:p>
        </w:tc>
        <w:tc>
          <w:tcPr>
            <w:tcW w:w="1889" w:type="dxa"/>
            <w:shd w:val="clear" w:color="auto" w:fill="auto"/>
          </w:tcPr>
          <w:p w:rsidR="00F710CF" w:rsidRPr="006A268F" w:rsidRDefault="00F710CF" w:rsidP="00DB0099">
            <w:pPr>
              <w:spacing w:before="40" w:after="120" w:line="240" w:lineRule="auto"/>
              <w:ind w:right="113"/>
              <w:rPr>
                <w:bCs/>
              </w:rPr>
            </w:pPr>
            <w:r w:rsidRPr="006A268F">
              <w:rPr>
                <w:lang w:val="fr-FR"/>
              </w:rPr>
              <w:t xml:space="preserve">Flux lumineux </w:t>
            </w:r>
            <w:r w:rsidR="005F1A47">
              <w:rPr>
                <w:lang w:val="fr-FR"/>
              </w:rPr>
              <w:br/>
            </w:r>
            <w:r w:rsidRPr="006A268F">
              <w:rPr>
                <w:lang w:val="fr-FR"/>
              </w:rPr>
              <w:t>(en lm à 13,5 V en courant continu)</w:t>
            </w:r>
          </w:p>
        </w:tc>
        <w:tc>
          <w:tcPr>
            <w:tcW w:w="1605" w:type="dxa"/>
            <w:shd w:val="clear" w:color="auto" w:fill="auto"/>
          </w:tcPr>
          <w:p w:rsidR="00F710CF" w:rsidRPr="006A268F" w:rsidRDefault="00F710CF" w:rsidP="000F3FB6">
            <w:pPr>
              <w:spacing w:before="40" w:after="120" w:line="240" w:lineRule="auto"/>
              <w:ind w:right="113"/>
              <w:jc w:val="center"/>
              <w:rPr>
                <w:bCs/>
              </w:rPr>
            </w:pPr>
            <w:r w:rsidRPr="006A268F">
              <w:rPr>
                <w:lang w:val="fr-FR"/>
              </w:rPr>
              <w:t xml:space="preserve">6 </w:t>
            </w:r>
            <w:r w:rsidR="0055402E">
              <w:rPr>
                <w:lang w:val="fr-FR"/>
              </w:rPr>
              <w:sym w:font="Symbol" w:char="F0B1"/>
            </w:r>
            <w:r w:rsidRPr="006A268F">
              <w:rPr>
                <w:lang w:val="fr-FR"/>
              </w:rPr>
              <w:t xml:space="preserve"> 20</w:t>
            </w:r>
            <w:r w:rsidR="0055402E">
              <w:rPr>
                <w:lang w:val="fr-FR"/>
              </w:rPr>
              <w:t> </w:t>
            </w:r>
            <w:r w:rsidRPr="006A268F">
              <w:rPr>
                <w:lang w:val="fr-FR"/>
              </w:rPr>
              <w:t>%</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 xml:space="preserve">80 </w:t>
            </w:r>
            <w:r w:rsidR="0055402E">
              <w:rPr>
                <w:lang w:val="fr-FR"/>
              </w:rPr>
              <w:sym w:font="Symbol" w:char="F0B1"/>
            </w:r>
            <w:r w:rsidR="0055402E">
              <w:rPr>
                <w:lang w:val="fr-FR"/>
              </w:rPr>
              <w:t xml:space="preserve"> 20 </w:t>
            </w:r>
            <w:r w:rsidRPr="006A268F">
              <w:rPr>
                <w:lang w:val="fr-FR"/>
              </w:rPr>
              <w:t>%</w:t>
            </w:r>
            <w:r w:rsidRPr="0055402E">
              <w:rPr>
                <w:i/>
                <w:sz w:val="18"/>
                <w:szCs w:val="18"/>
                <w:vertAlign w:val="superscript"/>
                <w:lang w:val="fr-FR"/>
              </w:rPr>
              <w:t>7</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 xml:space="preserve">6 </w:t>
            </w:r>
            <w:r w:rsidR="0055402E">
              <w:rPr>
                <w:lang w:val="fr-FR"/>
              </w:rPr>
              <w:sym w:font="Symbol" w:char="F0B1"/>
            </w:r>
            <w:r w:rsidR="0055402E">
              <w:rPr>
                <w:lang w:val="fr-FR"/>
              </w:rPr>
              <w:t xml:space="preserve"> 10 </w:t>
            </w:r>
            <w:r w:rsidRPr="006A268F">
              <w:rPr>
                <w:lang w:val="fr-FR"/>
              </w:rPr>
              <w:t>%</w:t>
            </w:r>
            <w:r w:rsidRPr="0055402E">
              <w:rPr>
                <w:b/>
                <w:i/>
                <w:sz w:val="18"/>
                <w:szCs w:val="18"/>
                <w:vertAlign w:val="superscript"/>
                <w:lang w:val="fr-FR"/>
              </w:rPr>
              <w:t>10</w:t>
            </w:r>
          </w:p>
        </w:tc>
        <w:tc>
          <w:tcPr>
            <w:tcW w:w="1581" w:type="dxa"/>
            <w:shd w:val="clear" w:color="auto" w:fill="auto"/>
          </w:tcPr>
          <w:p w:rsidR="00F710CF" w:rsidRPr="006A268F" w:rsidRDefault="00F710CF" w:rsidP="000F3FB6">
            <w:pPr>
              <w:spacing w:before="40" w:after="120" w:line="240" w:lineRule="auto"/>
              <w:ind w:right="113"/>
              <w:jc w:val="center"/>
              <w:rPr>
                <w:bCs/>
              </w:rPr>
            </w:pPr>
            <w:r w:rsidRPr="006A268F">
              <w:rPr>
                <w:lang w:val="fr-FR"/>
              </w:rPr>
              <w:t>8</w:t>
            </w:r>
            <w:r w:rsidR="0055402E">
              <w:rPr>
                <w:lang w:val="fr-FR"/>
              </w:rPr>
              <w:t xml:space="preserve">0 </w:t>
            </w:r>
            <w:r w:rsidR="00DB0099">
              <w:rPr>
                <w:lang w:val="fr-FR"/>
              </w:rPr>
              <w:sym w:font="Symbol" w:char="F0B1"/>
            </w:r>
            <w:r w:rsidR="0055402E">
              <w:rPr>
                <w:lang w:val="fr-FR"/>
              </w:rPr>
              <w:t xml:space="preserve"> 10 </w:t>
            </w:r>
            <w:r w:rsidRPr="006A268F">
              <w:rPr>
                <w:lang w:val="fr-FR"/>
              </w:rPr>
              <w:t>%</w:t>
            </w:r>
            <w:r w:rsidRPr="0055402E">
              <w:rPr>
                <w:i/>
                <w:sz w:val="18"/>
                <w:szCs w:val="18"/>
                <w:vertAlign w:val="superscript"/>
                <w:lang w:val="fr-FR"/>
              </w:rPr>
              <w:t>8</w:t>
            </w:r>
          </w:p>
        </w:tc>
      </w:tr>
      <w:tr w:rsidR="006A268F" w:rsidRPr="006A268F" w:rsidTr="00BB7AFE">
        <w:tblPrEx>
          <w:tblCellMar>
            <w:left w:w="56" w:type="dxa"/>
            <w:right w:w="56" w:type="dxa"/>
          </w:tblCellMar>
          <w:tblLook w:val="0000" w:firstRow="0" w:lastRow="0" w:firstColumn="0" w:lastColumn="0" w:noHBand="0" w:noVBand="0"/>
        </w:tblPrEx>
        <w:tc>
          <w:tcPr>
            <w:tcW w:w="1336" w:type="dxa"/>
            <w:vMerge/>
            <w:shd w:val="clear" w:color="auto" w:fill="auto"/>
          </w:tcPr>
          <w:p w:rsidR="00F710CF" w:rsidRPr="006A268F" w:rsidRDefault="00F710CF" w:rsidP="00DB0099">
            <w:pPr>
              <w:spacing w:before="40" w:after="120" w:line="240" w:lineRule="auto"/>
              <w:ind w:right="113"/>
              <w:rPr>
                <w:bCs/>
                <w:lang w:val="fr-FR" w:eastAsia="it-IT"/>
              </w:rPr>
            </w:pPr>
          </w:p>
        </w:tc>
        <w:tc>
          <w:tcPr>
            <w:tcW w:w="1889" w:type="dxa"/>
            <w:shd w:val="clear" w:color="auto" w:fill="auto"/>
          </w:tcPr>
          <w:p w:rsidR="00F710CF" w:rsidRPr="006A268F" w:rsidRDefault="00F710CF" w:rsidP="00DB0099">
            <w:pPr>
              <w:spacing w:before="40" w:after="120" w:line="240" w:lineRule="auto"/>
              <w:ind w:right="113"/>
              <w:rPr>
                <w:bCs/>
              </w:rPr>
            </w:pPr>
            <w:r w:rsidRPr="006A268F">
              <w:rPr>
                <w:lang w:val="fr-FR"/>
              </w:rPr>
              <w:t xml:space="preserve">Flux lumineux </w:t>
            </w:r>
            <w:r w:rsidR="005F1A47">
              <w:rPr>
                <w:lang w:val="fr-FR"/>
              </w:rPr>
              <w:br/>
            </w:r>
            <w:r w:rsidRPr="006A268F">
              <w:rPr>
                <w:lang w:val="fr-FR"/>
              </w:rPr>
              <w:t>(en lm à 9 V en courant continu)</w:t>
            </w:r>
          </w:p>
        </w:tc>
        <w:tc>
          <w:tcPr>
            <w:tcW w:w="1605" w:type="dxa"/>
            <w:shd w:val="clear" w:color="auto" w:fill="auto"/>
          </w:tcPr>
          <w:p w:rsidR="00F710CF" w:rsidRPr="006A268F" w:rsidRDefault="00F710CF" w:rsidP="000F3FB6">
            <w:pPr>
              <w:spacing w:before="40" w:after="120" w:line="240" w:lineRule="auto"/>
              <w:ind w:right="113"/>
              <w:jc w:val="center"/>
              <w:rPr>
                <w:bCs/>
              </w:rPr>
            </w:pPr>
            <w:r w:rsidRPr="006A268F">
              <w:rPr>
                <w:lang w:val="fr-FR"/>
              </w:rPr>
              <w:t>1,5 min</w:t>
            </w:r>
          </w:p>
        </w:tc>
        <w:tc>
          <w:tcPr>
            <w:tcW w:w="1603" w:type="dxa"/>
            <w:shd w:val="clear" w:color="auto" w:fill="auto"/>
          </w:tcPr>
          <w:p w:rsidR="00F710CF" w:rsidRPr="006A268F" w:rsidRDefault="00F710CF" w:rsidP="000F3FB6">
            <w:pPr>
              <w:spacing w:before="40" w:after="120" w:line="240" w:lineRule="auto"/>
              <w:ind w:right="113"/>
              <w:jc w:val="center"/>
              <w:rPr>
                <w:bCs/>
              </w:rPr>
            </w:pPr>
            <w:r w:rsidRPr="006A268F">
              <w:rPr>
                <w:lang w:val="fr-FR"/>
              </w:rPr>
              <w:t>19 min</w:t>
            </w:r>
          </w:p>
        </w:tc>
        <w:tc>
          <w:tcPr>
            <w:tcW w:w="1603" w:type="dxa"/>
            <w:shd w:val="clear" w:color="auto" w:fill="auto"/>
          </w:tcPr>
          <w:p w:rsidR="00F710CF" w:rsidRPr="006A268F" w:rsidRDefault="00F710CF" w:rsidP="000F3FB6">
            <w:pPr>
              <w:spacing w:before="40" w:after="120" w:line="240" w:lineRule="auto"/>
              <w:ind w:right="113"/>
              <w:jc w:val="center"/>
              <w:rPr>
                <w:bCs/>
                <w:lang w:val="it-IT" w:eastAsia="it-IT"/>
              </w:rPr>
            </w:pPr>
          </w:p>
        </w:tc>
        <w:tc>
          <w:tcPr>
            <w:tcW w:w="1581" w:type="dxa"/>
            <w:shd w:val="clear" w:color="auto" w:fill="auto"/>
          </w:tcPr>
          <w:p w:rsidR="00F710CF" w:rsidRPr="006A268F" w:rsidRDefault="00F710CF" w:rsidP="000F3FB6">
            <w:pPr>
              <w:spacing w:before="40" w:after="120" w:line="240" w:lineRule="auto"/>
              <w:ind w:right="113"/>
              <w:jc w:val="center"/>
              <w:rPr>
                <w:bCs/>
                <w:lang w:val="it-IT" w:eastAsia="it-IT"/>
              </w:rPr>
            </w:pPr>
          </w:p>
        </w:tc>
      </w:tr>
    </w:tbl>
    <w:p w:rsidR="00F710CF" w:rsidRPr="00DB0099" w:rsidRDefault="00F710CF" w:rsidP="00DB0099">
      <w:pPr>
        <w:suppressAutoHyphens w:val="0"/>
        <w:spacing w:before="120" w:line="220" w:lineRule="exact"/>
        <w:ind w:left="170" w:hanging="170"/>
        <w:rPr>
          <w:sz w:val="18"/>
          <w:szCs w:val="18"/>
        </w:rPr>
      </w:pPr>
      <w:r w:rsidRPr="00DB0099">
        <w:rPr>
          <w:sz w:val="18"/>
          <w:szCs w:val="18"/>
          <w:vertAlign w:val="superscript"/>
          <w:lang w:val="fr-FR"/>
        </w:rPr>
        <w:t>1</w:t>
      </w:r>
      <w:r w:rsidRPr="00DB0099">
        <w:rPr>
          <w:sz w:val="18"/>
          <w:szCs w:val="18"/>
          <w:lang w:val="fr-FR"/>
        </w:rPr>
        <w:tab/>
        <w:t>Le plan de référence est le plan déterminé par les points de contact de l’assemblage culot/douille.</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2</w:t>
      </w:r>
      <w:r w:rsidRPr="00DB0099">
        <w:rPr>
          <w:sz w:val="18"/>
          <w:szCs w:val="18"/>
          <w:lang w:val="fr-FR"/>
        </w:rPr>
        <w:tab/>
        <w:t>L’axe de référence est perpendiculaire au plan de référence et passe par le centre de la baïonnette.</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3</w:t>
      </w:r>
      <w:r w:rsidRPr="00DB0099">
        <w:rPr>
          <w:sz w:val="18"/>
          <w:szCs w:val="18"/>
          <w:lang w:val="fr-FR"/>
        </w:rPr>
        <w:tab/>
        <w:t>Zone d’émission de la lumière : à contrôler au moyen du gabarit de positionnement (fig. 2).</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4</w:t>
      </w:r>
      <w:r w:rsidRPr="00DB0099">
        <w:rPr>
          <w:sz w:val="18"/>
          <w:szCs w:val="18"/>
          <w:lang w:val="fr-FR"/>
        </w:rPr>
        <w:tab/>
        <w:t>Un espace libre minimal de 5 mm doit être assuré tout autour de la source lumineuse pour la convection.</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5</w:t>
      </w:r>
      <w:r w:rsidRPr="00DB0099">
        <w:rPr>
          <w:sz w:val="18"/>
          <w:szCs w:val="18"/>
          <w:lang w:val="fr-FR"/>
        </w:rPr>
        <w:tab/>
        <w:t>La lumière émise doit être rouge.</w:t>
      </w:r>
    </w:p>
    <w:p w:rsidR="00F710CF" w:rsidRPr="00DB0099" w:rsidRDefault="00F710CF" w:rsidP="00DB0099">
      <w:pPr>
        <w:suppressAutoHyphens w:val="0"/>
        <w:spacing w:line="220" w:lineRule="exact"/>
        <w:ind w:left="170" w:hanging="170"/>
        <w:rPr>
          <w:noProof/>
          <w:sz w:val="18"/>
          <w:szCs w:val="18"/>
        </w:rPr>
      </w:pPr>
      <w:r w:rsidRPr="00DB0099">
        <w:rPr>
          <w:sz w:val="18"/>
          <w:szCs w:val="18"/>
          <w:vertAlign w:val="superscript"/>
          <w:lang w:val="fr-FR"/>
        </w:rPr>
        <w:t>6</w:t>
      </w:r>
      <w:r w:rsidRPr="00DB0099">
        <w:rPr>
          <w:sz w:val="18"/>
          <w:szCs w:val="18"/>
          <w:lang w:val="fr-FR"/>
        </w:rPr>
        <w:tab/>
        <w:t xml:space="preserve">Après fonctionnement en continu pendant 30 min à 23 </w:t>
      </w:r>
      <w:r w:rsidR="00396A6D">
        <w:rPr>
          <w:lang w:val="fr-FR"/>
        </w:rPr>
        <w:sym w:font="Symbol" w:char="F0B1"/>
      </w:r>
      <w:r w:rsidRPr="00DB0099">
        <w:rPr>
          <w:sz w:val="18"/>
          <w:szCs w:val="18"/>
          <w:lang w:val="fr-FR"/>
        </w:rPr>
        <w:t xml:space="preserve"> 2,5 °C. </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7</w:t>
      </w:r>
      <w:r w:rsidRPr="00DB0099">
        <w:rPr>
          <w:sz w:val="18"/>
          <w:szCs w:val="18"/>
          <w:lang w:val="fr-FR"/>
        </w:rPr>
        <w:tab/>
        <w:t>La valeur mesurée doit se situer entre 100 et 70 % de la valeur mesurée après 1 min.</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8</w:t>
      </w:r>
      <w:r w:rsidRPr="00DB0099">
        <w:rPr>
          <w:sz w:val="18"/>
          <w:szCs w:val="18"/>
          <w:lang w:val="fr-FR"/>
        </w:rPr>
        <w:tab/>
        <w:t>La valeur mesurée doit se situer entre 85 et 75 % de la valeur mesurée après 1 min.</w:t>
      </w:r>
    </w:p>
    <w:p w:rsidR="00F710CF" w:rsidRPr="00DB0099" w:rsidRDefault="00F710CF" w:rsidP="00DB0099">
      <w:pPr>
        <w:suppressAutoHyphens w:val="0"/>
        <w:spacing w:line="220" w:lineRule="exact"/>
        <w:ind w:left="170" w:hanging="170"/>
        <w:rPr>
          <w:sz w:val="18"/>
          <w:szCs w:val="18"/>
        </w:rPr>
      </w:pPr>
      <w:r w:rsidRPr="00DB0099">
        <w:rPr>
          <w:sz w:val="18"/>
          <w:szCs w:val="18"/>
          <w:vertAlign w:val="superscript"/>
          <w:lang w:val="fr-FR"/>
        </w:rPr>
        <w:t>9</w:t>
      </w:r>
      <w:r w:rsidRPr="00DB0099">
        <w:rPr>
          <w:sz w:val="18"/>
          <w:szCs w:val="18"/>
          <w:lang w:val="fr-FR"/>
        </w:rPr>
        <w:tab/>
        <w:t>Longueur du centre lumineux.</w:t>
      </w:r>
    </w:p>
    <w:p w:rsidR="00F710CF" w:rsidRPr="00DB0099" w:rsidRDefault="00F710CF" w:rsidP="00DB0099">
      <w:pPr>
        <w:suppressAutoHyphens w:val="0"/>
        <w:spacing w:after="240" w:line="220" w:lineRule="exact"/>
        <w:ind w:left="170" w:hanging="170"/>
        <w:rPr>
          <w:b/>
          <w:sz w:val="18"/>
          <w:szCs w:val="18"/>
        </w:rPr>
      </w:pPr>
      <w:r w:rsidRPr="00DB0099">
        <w:rPr>
          <w:sz w:val="18"/>
          <w:szCs w:val="18"/>
          <w:vertAlign w:val="superscript"/>
          <w:lang w:val="fr-FR"/>
        </w:rPr>
        <w:t>10</w:t>
      </w:r>
      <w:r w:rsidRPr="00DB0099">
        <w:rPr>
          <w:sz w:val="18"/>
          <w:szCs w:val="18"/>
          <w:lang w:val="fr-FR"/>
        </w:rPr>
        <w:tab/>
      </w:r>
      <w:r w:rsidRPr="00DB0099">
        <w:rPr>
          <w:b/>
          <w:bCs/>
          <w:sz w:val="18"/>
          <w:szCs w:val="18"/>
          <w:lang w:val="fr-FR"/>
        </w:rPr>
        <w:t xml:space="preserve">La valeur mesurée doit se situer entre 100 et </w:t>
      </w:r>
      <w:r w:rsidR="000F3FB6">
        <w:rPr>
          <w:b/>
          <w:bCs/>
          <w:sz w:val="18"/>
          <w:szCs w:val="18"/>
          <w:lang w:val="fr-FR"/>
        </w:rPr>
        <w:t>8</w:t>
      </w:r>
      <w:r w:rsidRPr="00DB0099">
        <w:rPr>
          <w:b/>
          <w:bCs/>
          <w:sz w:val="18"/>
          <w:szCs w:val="18"/>
          <w:lang w:val="fr-FR"/>
        </w:rPr>
        <w:t>0 % de la valeur mesurée après 1 min.</w:t>
      </w:r>
      <w:r w:rsidR="000F3FB6" w:rsidRPr="000F3FB6">
        <w:rPr>
          <w:bCs/>
          <w:sz w:val="18"/>
          <w:szCs w:val="18"/>
          <w:lang w:val="fr-FR"/>
        </w:rPr>
        <w:t> ».</w:t>
      </w:r>
    </w:p>
    <w:p w:rsidR="00F710CF" w:rsidRDefault="00F710CF" w:rsidP="00396A6D">
      <w:pPr>
        <w:pStyle w:val="HChG"/>
      </w:pPr>
      <w:r>
        <w:rPr>
          <w:lang w:val="fr-FR"/>
        </w:rPr>
        <w:tab/>
        <w:t>II.</w:t>
      </w:r>
      <w:r>
        <w:rPr>
          <w:lang w:val="fr-FR"/>
        </w:rPr>
        <w:tab/>
        <w:t>Justification</w:t>
      </w:r>
    </w:p>
    <w:p w:rsidR="00F710CF" w:rsidRPr="00B46671" w:rsidRDefault="00F710CF" w:rsidP="00396A6D">
      <w:pPr>
        <w:pStyle w:val="SingleTxtG"/>
        <w:rPr>
          <w:bCs/>
        </w:rPr>
      </w:pPr>
      <w:r w:rsidRPr="00B46671">
        <w:rPr>
          <w:bCs/>
        </w:rPr>
        <w:t>1.</w:t>
      </w:r>
      <w:r w:rsidRPr="00B46671">
        <w:rPr>
          <w:bCs/>
        </w:rPr>
        <w:tab/>
      </w:r>
      <w:r w:rsidRPr="000F3FB6">
        <w:rPr>
          <w:spacing w:val="-1"/>
          <w:lang w:val="fr-FR"/>
        </w:rPr>
        <w:t xml:space="preserve">Les modifications qu’il est proposé d’apporter à l’annexe 4 du Règlement ONU </w:t>
      </w:r>
      <w:r w:rsidR="00396A6D" w:rsidRPr="000F3FB6">
        <w:rPr>
          <w:spacing w:val="-1"/>
          <w:lang w:val="fr-FR"/>
        </w:rPr>
        <w:t>No. </w:t>
      </w:r>
      <w:r w:rsidRPr="000F3FB6">
        <w:rPr>
          <w:spacing w:val="-1"/>
          <w:lang w:val="fr-FR"/>
        </w:rPr>
        <w:t>128 en ce qui concerne le rapport de 1</w:t>
      </w:r>
      <w:r w:rsidR="00396A6D" w:rsidRPr="000F3FB6">
        <w:rPr>
          <w:spacing w:val="-1"/>
          <w:lang w:val="fr-FR"/>
        </w:rPr>
        <w:t> </w:t>
      </w:r>
      <w:r w:rsidRPr="000F3FB6">
        <w:rPr>
          <w:spacing w:val="-1"/>
          <w:lang w:val="fr-FR"/>
        </w:rPr>
        <w:t>min/30 min (ECE/TRANS/WP.29/GRE/2018/49) auraient une incidence sur les prescriptions applicables aux sources lumineuses étalons de la catégorie LR4, ce qui n’était pas prévu. Par conséquent, la fiche de la catégorie LR4 doit être modifiée afin de conserver les prescriptions actuelles applicables aux sources lumineuses étalons de cette catégorie</w:t>
      </w:r>
      <w:r w:rsidR="00396A6D" w:rsidRPr="000F3FB6">
        <w:rPr>
          <w:spacing w:val="-1"/>
          <w:lang w:val="fr-FR"/>
        </w:rPr>
        <w:t>.</w:t>
      </w:r>
    </w:p>
    <w:p w:rsidR="00F710CF" w:rsidRDefault="00F710CF" w:rsidP="00396A6D">
      <w:pPr>
        <w:pStyle w:val="SingleTxtG"/>
        <w:rPr>
          <w:lang w:val="fr-FR"/>
        </w:rPr>
      </w:pPr>
      <w:r w:rsidRPr="00B46671">
        <w:rPr>
          <w:bCs/>
        </w:rPr>
        <w:t>2.</w:t>
      </w:r>
      <w:r w:rsidRPr="00B46671">
        <w:rPr>
          <w:bCs/>
        </w:rPr>
        <w:tab/>
      </w:r>
      <w:r w:rsidRPr="00B46671">
        <w:rPr>
          <w:lang w:val="fr-FR"/>
        </w:rPr>
        <w:t>Le GTB propose d</w:t>
      </w:r>
      <w:r>
        <w:rPr>
          <w:lang w:val="fr-FR"/>
        </w:rPr>
        <w:t>’</w:t>
      </w:r>
      <w:r w:rsidRPr="00B46671">
        <w:rPr>
          <w:lang w:val="fr-FR"/>
        </w:rPr>
        <w:t xml:space="preserve">ajouter une note de bas de page à la fiche LR4/2 pour veiller à ce que les prescriptions techniques </w:t>
      </w:r>
      <w:r>
        <w:rPr>
          <w:lang w:val="fr-FR"/>
        </w:rPr>
        <w:t xml:space="preserve">pertinentes </w:t>
      </w:r>
      <w:r w:rsidRPr="00B46671">
        <w:rPr>
          <w:lang w:val="fr-FR"/>
        </w:rPr>
        <w:t>restent inchangées et ne soient pas affectées par les modifications proposées à l</w:t>
      </w:r>
      <w:r>
        <w:rPr>
          <w:lang w:val="fr-FR"/>
        </w:rPr>
        <w:t>’</w:t>
      </w:r>
      <w:r w:rsidRPr="00B46671">
        <w:rPr>
          <w:lang w:val="fr-FR"/>
        </w:rPr>
        <w:t xml:space="preserve">annexe 4 du Règlement ONU </w:t>
      </w:r>
      <w:r w:rsidR="00396A6D">
        <w:rPr>
          <w:lang w:val="fr-FR"/>
        </w:rPr>
        <w:t>No. </w:t>
      </w:r>
      <w:r w:rsidRPr="00B46671">
        <w:rPr>
          <w:lang w:val="fr-FR"/>
        </w:rPr>
        <w:t>128.</w:t>
      </w:r>
    </w:p>
    <w:p w:rsidR="00F710CF" w:rsidRPr="00F710CF" w:rsidRDefault="00F710CF" w:rsidP="00F710CF">
      <w:pPr>
        <w:pStyle w:val="SingleTxtG"/>
        <w:spacing w:before="240" w:after="0"/>
        <w:jc w:val="center"/>
        <w:rPr>
          <w:u w:val="single"/>
        </w:rPr>
      </w:pPr>
      <w:r>
        <w:rPr>
          <w:u w:val="single"/>
        </w:rPr>
        <w:tab/>
      </w:r>
      <w:r>
        <w:rPr>
          <w:u w:val="single"/>
        </w:rPr>
        <w:tab/>
      </w:r>
      <w:r>
        <w:rPr>
          <w:u w:val="single"/>
        </w:rPr>
        <w:tab/>
      </w:r>
    </w:p>
    <w:sectPr w:rsidR="00F710CF" w:rsidRPr="00F710CF" w:rsidSect="00A008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D2" w:rsidRDefault="006E5BD2" w:rsidP="00F95C08">
      <w:pPr>
        <w:spacing w:line="240" w:lineRule="auto"/>
      </w:pPr>
    </w:p>
  </w:endnote>
  <w:endnote w:type="continuationSeparator" w:id="0">
    <w:p w:rsidR="006E5BD2" w:rsidRPr="00AC3823" w:rsidRDefault="006E5BD2" w:rsidP="00AC3823">
      <w:pPr>
        <w:pStyle w:val="Footer"/>
      </w:pPr>
    </w:p>
  </w:endnote>
  <w:endnote w:type="continuationNotice" w:id="1">
    <w:p w:rsidR="006E5BD2" w:rsidRDefault="006E5B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C8" w:rsidRPr="00A008C8" w:rsidRDefault="00A008C8" w:rsidP="00A008C8">
    <w:pPr>
      <w:pStyle w:val="Footer"/>
      <w:tabs>
        <w:tab w:val="right" w:pos="9638"/>
      </w:tabs>
    </w:pPr>
    <w:r w:rsidRPr="00A008C8">
      <w:rPr>
        <w:b/>
        <w:sz w:val="18"/>
      </w:rPr>
      <w:fldChar w:fldCharType="begin"/>
    </w:r>
    <w:r w:rsidRPr="00A008C8">
      <w:rPr>
        <w:b/>
        <w:sz w:val="18"/>
      </w:rPr>
      <w:instrText xml:space="preserve"> PAGE  \* MERGEFORMAT </w:instrText>
    </w:r>
    <w:r w:rsidRPr="00A008C8">
      <w:rPr>
        <w:b/>
        <w:sz w:val="18"/>
      </w:rPr>
      <w:fldChar w:fldCharType="separate"/>
    </w:r>
    <w:r w:rsidR="00FD42CB">
      <w:rPr>
        <w:b/>
        <w:noProof/>
        <w:sz w:val="18"/>
      </w:rPr>
      <w:t>2</w:t>
    </w:r>
    <w:r w:rsidRPr="00A008C8">
      <w:rPr>
        <w:b/>
        <w:sz w:val="18"/>
      </w:rPr>
      <w:fldChar w:fldCharType="end"/>
    </w:r>
    <w:r>
      <w:rPr>
        <w:b/>
        <w:sz w:val="18"/>
      </w:rPr>
      <w:tab/>
    </w:r>
    <w:r>
      <w:t>GE.18-13189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C8" w:rsidRPr="00A008C8" w:rsidRDefault="00A008C8" w:rsidP="00A008C8">
    <w:pPr>
      <w:pStyle w:val="Footer"/>
      <w:tabs>
        <w:tab w:val="right" w:pos="9638"/>
      </w:tabs>
      <w:rPr>
        <w:b/>
        <w:sz w:val="18"/>
      </w:rPr>
    </w:pPr>
    <w:r>
      <w:t>GE.18-13189</w:t>
    </w:r>
    <w:r>
      <w:tab/>
    </w:r>
    <w:r w:rsidRPr="00A008C8">
      <w:rPr>
        <w:b/>
        <w:sz w:val="18"/>
      </w:rPr>
      <w:fldChar w:fldCharType="begin"/>
    </w:r>
    <w:r w:rsidRPr="00A008C8">
      <w:rPr>
        <w:b/>
        <w:sz w:val="18"/>
      </w:rPr>
      <w:instrText xml:space="preserve"> PAGE  \* MERGEFORMAT </w:instrText>
    </w:r>
    <w:r w:rsidRPr="00A008C8">
      <w:rPr>
        <w:b/>
        <w:sz w:val="18"/>
      </w:rPr>
      <w:fldChar w:fldCharType="separate"/>
    </w:r>
    <w:r w:rsidR="00FD42CB">
      <w:rPr>
        <w:b/>
        <w:noProof/>
        <w:sz w:val="18"/>
      </w:rPr>
      <w:t>3</w:t>
    </w:r>
    <w:r w:rsidRPr="00A008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008C8" w:rsidRDefault="00A008C8" w:rsidP="00A008C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13189  (</w:t>
    </w:r>
    <w:proofErr w:type="gramEnd"/>
    <w:r>
      <w:rPr>
        <w:sz w:val="20"/>
      </w:rPr>
      <w:t>F)    290818    100918</w:t>
    </w:r>
    <w:r>
      <w:rPr>
        <w:sz w:val="20"/>
      </w:rPr>
      <w:br/>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sidRPr="00A008C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D2" w:rsidRPr="00AC3823" w:rsidRDefault="006E5BD2" w:rsidP="00AC3823">
      <w:pPr>
        <w:pStyle w:val="Footer"/>
        <w:tabs>
          <w:tab w:val="right" w:pos="2155"/>
        </w:tabs>
        <w:spacing w:after="80" w:line="240" w:lineRule="atLeast"/>
        <w:ind w:left="680"/>
        <w:rPr>
          <w:u w:val="single"/>
        </w:rPr>
      </w:pPr>
      <w:r>
        <w:rPr>
          <w:u w:val="single"/>
        </w:rPr>
        <w:tab/>
      </w:r>
    </w:p>
  </w:footnote>
  <w:footnote w:type="continuationSeparator" w:id="0">
    <w:p w:rsidR="006E5BD2" w:rsidRPr="00AC3823" w:rsidRDefault="006E5BD2" w:rsidP="00AC3823">
      <w:pPr>
        <w:pStyle w:val="Footer"/>
        <w:tabs>
          <w:tab w:val="right" w:pos="2155"/>
        </w:tabs>
        <w:spacing w:after="80" w:line="240" w:lineRule="atLeast"/>
        <w:ind w:left="680"/>
        <w:rPr>
          <w:u w:val="single"/>
        </w:rPr>
      </w:pPr>
      <w:r>
        <w:rPr>
          <w:u w:val="single"/>
        </w:rPr>
        <w:tab/>
      </w:r>
    </w:p>
  </w:footnote>
  <w:footnote w:type="continuationNotice" w:id="1">
    <w:p w:rsidR="006E5BD2" w:rsidRPr="00AC3823" w:rsidRDefault="006E5BD2">
      <w:pPr>
        <w:spacing w:line="240" w:lineRule="auto"/>
        <w:rPr>
          <w:sz w:val="2"/>
          <w:szCs w:val="2"/>
        </w:rPr>
      </w:pPr>
    </w:p>
  </w:footnote>
  <w:footnote w:id="2">
    <w:p w:rsidR="00F710CF" w:rsidRPr="00706101" w:rsidRDefault="00F710CF" w:rsidP="00F710CF">
      <w:pPr>
        <w:pStyle w:val="FootnoteText"/>
      </w:pPr>
      <w:r>
        <w:rPr>
          <w:lang w:val="fr-FR"/>
        </w:rPr>
        <w:tab/>
        <w:t>*</w:t>
      </w:r>
      <w:r>
        <w:rPr>
          <w:lang w:val="fr-FR"/>
        </w:rPr>
        <w:tab/>
        <w:t>Conformément au programme de travail du Comité des transports intérieurs pour la période 2018</w:t>
      </w:r>
      <w:r w:rsidR="00C4390A">
        <w:rPr>
          <w:lang w:val="fr-FR"/>
        </w:rPr>
        <w:noBreakHyphen/>
      </w:r>
      <w:r>
        <w:rPr>
          <w:lang w:val="fr-FR"/>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C8" w:rsidRPr="00A008C8" w:rsidRDefault="001B5581">
    <w:pPr>
      <w:pStyle w:val="Header"/>
    </w:pPr>
    <w:r>
      <w:fldChar w:fldCharType="begin"/>
    </w:r>
    <w:r>
      <w:instrText xml:space="preserve"> TITLE  \* MERGEFORMAT </w:instrText>
    </w:r>
    <w:r>
      <w:fldChar w:fldCharType="separate"/>
    </w:r>
    <w:r w:rsidR="00BB5FB4">
      <w:t>ECE/TRANS/WP.29/GRE/2018/48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C8" w:rsidRPr="00A008C8" w:rsidRDefault="001B5581" w:rsidP="00A008C8">
    <w:pPr>
      <w:pStyle w:val="Header"/>
      <w:jc w:val="right"/>
    </w:pPr>
    <w:r>
      <w:fldChar w:fldCharType="begin"/>
    </w:r>
    <w:r>
      <w:instrText xml:space="preserve"> TITLE  \* MERGEFORMAT </w:instrText>
    </w:r>
    <w:r>
      <w:fldChar w:fldCharType="separate"/>
    </w:r>
    <w:r w:rsidR="00BB5FB4">
      <w:t>ECE/TRANS/WP.29/GRE/2018/48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D2"/>
    <w:rsid w:val="00017F94"/>
    <w:rsid w:val="00023842"/>
    <w:rsid w:val="000334F9"/>
    <w:rsid w:val="00045FEB"/>
    <w:rsid w:val="0007796D"/>
    <w:rsid w:val="000B7790"/>
    <w:rsid w:val="000F3FB6"/>
    <w:rsid w:val="00111F2F"/>
    <w:rsid w:val="00125B7A"/>
    <w:rsid w:val="0014365E"/>
    <w:rsid w:val="00143C66"/>
    <w:rsid w:val="0015107B"/>
    <w:rsid w:val="00176178"/>
    <w:rsid w:val="001B5581"/>
    <w:rsid w:val="001F525A"/>
    <w:rsid w:val="00223272"/>
    <w:rsid w:val="0024779E"/>
    <w:rsid w:val="00257168"/>
    <w:rsid w:val="002744B8"/>
    <w:rsid w:val="002832AC"/>
    <w:rsid w:val="002D7C93"/>
    <w:rsid w:val="00305801"/>
    <w:rsid w:val="003916DE"/>
    <w:rsid w:val="00396A6D"/>
    <w:rsid w:val="00421996"/>
    <w:rsid w:val="00441C3B"/>
    <w:rsid w:val="00446FE5"/>
    <w:rsid w:val="00452396"/>
    <w:rsid w:val="004630AE"/>
    <w:rsid w:val="004837D8"/>
    <w:rsid w:val="004E2EED"/>
    <w:rsid w:val="004E468C"/>
    <w:rsid w:val="005505B7"/>
    <w:rsid w:val="0055402E"/>
    <w:rsid w:val="00573BE5"/>
    <w:rsid w:val="00586ED3"/>
    <w:rsid w:val="00596AA9"/>
    <w:rsid w:val="005F1A47"/>
    <w:rsid w:val="006A268F"/>
    <w:rsid w:val="006E5BD2"/>
    <w:rsid w:val="0071601D"/>
    <w:rsid w:val="007A62E6"/>
    <w:rsid w:val="007F20FA"/>
    <w:rsid w:val="0080684C"/>
    <w:rsid w:val="00856961"/>
    <w:rsid w:val="00871C75"/>
    <w:rsid w:val="008776DC"/>
    <w:rsid w:val="008C56BA"/>
    <w:rsid w:val="009446C0"/>
    <w:rsid w:val="009705C8"/>
    <w:rsid w:val="009C1CF4"/>
    <w:rsid w:val="009F6B74"/>
    <w:rsid w:val="00A008C8"/>
    <w:rsid w:val="00A3029F"/>
    <w:rsid w:val="00A30353"/>
    <w:rsid w:val="00AC3823"/>
    <w:rsid w:val="00AE323C"/>
    <w:rsid w:val="00AF0CB5"/>
    <w:rsid w:val="00B00181"/>
    <w:rsid w:val="00B00B0D"/>
    <w:rsid w:val="00B406C0"/>
    <w:rsid w:val="00B45F2E"/>
    <w:rsid w:val="00B765F7"/>
    <w:rsid w:val="00BA0CA9"/>
    <w:rsid w:val="00BB5FB4"/>
    <w:rsid w:val="00BB7AFE"/>
    <w:rsid w:val="00C02897"/>
    <w:rsid w:val="00C4390A"/>
    <w:rsid w:val="00C81CEB"/>
    <w:rsid w:val="00C97039"/>
    <w:rsid w:val="00D3439C"/>
    <w:rsid w:val="00DB0099"/>
    <w:rsid w:val="00DB1831"/>
    <w:rsid w:val="00DD3BFD"/>
    <w:rsid w:val="00DF6678"/>
    <w:rsid w:val="00E0299A"/>
    <w:rsid w:val="00E30277"/>
    <w:rsid w:val="00E70D41"/>
    <w:rsid w:val="00E85C74"/>
    <w:rsid w:val="00EA6547"/>
    <w:rsid w:val="00EF2E22"/>
    <w:rsid w:val="00F35BAF"/>
    <w:rsid w:val="00F660DF"/>
    <w:rsid w:val="00F710CF"/>
    <w:rsid w:val="00F94664"/>
    <w:rsid w:val="00F9573C"/>
    <w:rsid w:val="00F95C08"/>
    <w:rsid w:val="00FD42CB"/>
    <w:rsid w:val="00FF79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27A052-7D3E-4705-8D5A-304977A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F710CF"/>
    <w:rPr>
      <w:rFonts w:ascii="Times New Roman" w:eastAsiaTheme="minorHAnsi" w:hAnsi="Times New Roman" w:cs="Times New Roman"/>
      <w:b/>
      <w:sz w:val="28"/>
      <w:szCs w:val="20"/>
      <w:lang w:eastAsia="en-US"/>
    </w:rPr>
  </w:style>
  <w:style w:type="character" w:customStyle="1" w:styleId="H1GChar">
    <w:name w:val="_ H_1_G Char"/>
    <w:link w:val="H1G"/>
    <w:rsid w:val="00F710CF"/>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F710CF"/>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ECE/TRANS/WP.29/GRE/2018/48</vt:lpstr>
      <vt:lpstr>ECE/TRANS/WP.29/GRE/2018/48</vt:lpstr>
    </vt:vector>
  </TitlesOfParts>
  <Company>DCM</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ECE/TRANS/WP.29/GRE/2018/48</dc:title>
  <dc:subject/>
  <dc:creator>Nath VITTOZ</dc:creator>
  <cp:keywords/>
  <cp:lastModifiedBy>Benedicte Boudol</cp:lastModifiedBy>
  <cp:revision>2</cp:revision>
  <cp:lastPrinted>2018-09-10T06:54:00Z</cp:lastPrinted>
  <dcterms:created xsi:type="dcterms:W3CDTF">2018-09-10T07:30:00Z</dcterms:created>
  <dcterms:modified xsi:type="dcterms:W3CDTF">2018-09-10T07:30:00Z</dcterms:modified>
</cp:coreProperties>
</file>