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7277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7277F" w:rsidP="0077277F">
            <w:pPr>
              <w:jc w:val="right"/>
            </w:pPr>
            <w:r w:rsidRPr="0077277F">
              <w:rPr>
                <w:sz w:val="40"/>
              </w:rPr>
              <w:t>ECE</w:t>
            </w:r>
            <w:r>
              <w:t>/TRANS/WP.29/GRPE/2018/15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7277F" w:rsidP="00C97039">
            <w:pPr>
              <w:spacing w:before="240"/>
            </w:pPr>
            <w:r>
              <w:t>Distr. générale</w:t>
            </w:r>
          </w:p>
          <w:p w:rsidR="0077277F" w:rsidRDefault="0077277F" w:rsidP="0077277F">
            <w:pPr>
              <w:spacing w:line="240" w:lineRule="exact"/>
            </w:pPr>
            <w:r>
              <w:t>26 mars 2018</w:t>
            </w:r>
          </w:p>
          <w:p w:rsidR="0077277F" w:rsidRDefault="0077277F" w:rsidP="0077277F">
            <w:pPr>
              <w:spacing w:line="240" w:lineRule="exact"/>
            </w:pPr>
            <w:r>
              <w:t>Français</w:t>
            </w:r>
          </w:p>
          <w:p w:rsidR="0077277F" w:rsidRPr="00DB58B5" w:rsidRDefault="0077277F" w:rsidP="0077277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7277F" w:rsidRPr="003F6251" w:rsidRDefault="0077277F" w:rsidP="003F6251">
      <w:pPr>
        <w:spacing w:before="120" w:after="120"/>
        <w:rPr>
          <w:rFonts w:eastAsia="Times New Roman"/>
          <w:sz w:val="24"/>
          <w:szCs w:val="24"/>
        </w:rPr>
      </w:pPr>
      <w:r w:rsidRPr="003F6251">
        <w:rPr>
          <w:b/>
          <w:bCs/>
          <w:sz w:val="24"/>
          <w:szCs w:val="24"/>
        </w:rPr>
        <w:t>Forum mondial de l’</w:t>
      </w:r>
      <w:r w:rsidR="00C454F3">
        <w:rPr>
          <w:b/>
          <w:bCs/>
          <w:sz w:val="24"/>
          <w:szCs w:val="24"/>
        </w:rPr>
        <w:t>harmonisation</w:t>
      </w:r>
      <w:r w:rsidR="00C454F3">
        <w:rPr>
          <w:b/>
          <w:bCs/>
          <w:sz w:val="24"/>
          <w:szCs w:val="24"/>
        </w:rPr>
        <w:br/>
      </w:r>
      <w:r w:rsidR="003F6251">
        <w:rPr>
          <w:b/>
          <w:bCs/>
          <w:sz w:val="24"/>
          <w:szCs w:val="24"/>
        </w:rPr>
        <w:t>des Règlements</w:t>
      </w:r>
      <w:r w:rsidR="00C454F3">
        <w:rPr>
          <w:b/>
          <w:bCs/>
          <w:sz w:val="24"/>
          <w:szCs w:val="24"/>
        </w:rPr>
        <w:t xml:space="preserve"> </w:t>
      </w:r>
      <w:r w:rsidRPr="003F6251">
        <w:rPr>
          <w:b/>
          <w:bCs/>
          <w:sz w:val="24"/>
          <w:szCs w:val="24"/>
        </w:rPr>
        <w:t xml:space="preserve">concernant les véhicules </w:t>
      </w:r>
    </w:p>
    <w:p w:rsidR="0077277F" w:rsidRPr="00A250BD" w:rsidRDefault="0077277F" w:rsidP="0077277F">
      <w:pPr>
        <w:rPr>
          <w:rFonts w:eastAsia="Times New Roman"/>
          <w:b/>
          <w:bCs/>
        </w:rPr>
      </w:pPr>
      <w:r>
        <w:rPr>
          <w:b/>
          <w:bCs/>
        </w:rPr>
        <w:t xml:space="preserve">Groupe de travail de la pollution et de l’énergie </w:t>
      </w:r>
    </w:p>
    <w:p w:rsidR="0077277F" w:rsidRPr="00A250BD" w:rsidRDefault="0077277F" w:rsidP="003F6251">
      <w:pPr>
        <w:spacing w:before="120"/>
        <w:rPr>
          <w:rFonts w:eastAsia="Times New Roman"/>
          <w:b/>
        </w:rPr>
      </w:pPr>
      <w:r>
        <w:rPr>
          <w:b/>
        </w:rPr>
        <w:t>Soixante-dix-septième session</w:t>
      </w:r>
    </w:p>
    <w:p w:rsidR="0077277F" w:rsidRPr="00A250BD" w:rsidRDefault="0077277F" w:rsidP="003F6251">
      <w:pPr>
        <w:rPr>
          <w:rFonts w:eastAsia="Times New Roman"/>
        </w:rPr>
      </w:pPr>
      <w:r>
        <w:t>Genève, 6-8 juin 2018</w:t>
      </w:r>
    </w:p>
    <w:p w:rsidR="0077277F" w:rsidRPr="00A250BD" w:rsidRDefault="0077277F" w:rsidP="0077277F">
      <w:pPr>
        <w:rPr>
          <w:rFonts w:eastAsia="Times New Roman"/>
          <w:bCs/>
        </w:rPr>
      </w:pPr>
      <w:r>
        <w:rPr>
          <w:bCs/>
        </w:rPr>
        <w:t>Point 3 a) de l’ordre du jour provisoire</w:t>
      </w:r>
    </w:p>
    <w:p w:rsidR="0077277F" w:rsidRPr="00A250BD" w:rsidRDefault="0077277F" w:rsidP="0077277F">
      <w:pPr>
        <w:rPr>
          <w:rFonts w:eastAsia="Times New Roman"/>
          <w:b/>
          <w:bCs/>
        </w:rPr>
      </w:pPr>
      <w:r>
        <w:rPr>
          <w:b/>
        </w:rPr>
        <w:t>Véhicules légers : Règlements n</w:t>
      </w:r>
      <w:r>
        <w:rPr>
          <w:b/>
          <w:vertAlign w:val="superscript"/>
        </w:rPr>
        <w:t>os</w:t>
      </w:r>
      <w:r w:rsidR="003F6251">
        <w:rPr>
          <w:b/>
        </w:rPr>
        <w:t> 68 (Mesure de la vitesse</w:t>
      </w:r>
      <w:r w:rsidR="00CE6B6A">
        <w:rPr>
          <w:b/>
        </w:rPr>
        <w:t xml:space="preserve"> maximale</w:t>
      </w:r>
      <w:r w:rsidR="00CE6B6A">
        <w:rPr>
          <w:b/>
        </w:rPr>
        <w:br/>
      </w:r>
      <w:r>
        <w:rPr>
          <w:b/>
        </w:rPr>
        <w:t xml:space="preserve">des véhicules à </w:t>
      </w:r>
      <w:r w:rsidR="003F6251">
        <w:rPr>
          <w:b/>
        </w:rPr>
        <w:t>moteur, y compris les véhicules</w:t>
      </w:r>
      <w:r w:rsidR="00CE6B6A">
        <w:rPr>
          <w:b/>
        </w:rPr>
        <w:t xml:space="preserve"> électriques purs),</w:t>
      </w:r>
      <w:r w:rsidR="00CE6B6A">
        <w:rPr>
          <w:b/>
        </w:rPr>
        <w:br/>
      </w:r>
      <w:r>
        <w:rPr>
          <w:b/>
        </w:rPr>
        <w:t>83 (Émi</w:t>
      </w:r>
      <w:r w:rsidR="003F6251">
        <w:rPr>
          <w:b/>
        </w:rPr>
        <w:t>ssions polluantes des véhicules</w:t>
      </w:r>
      <w:r w:rsidR="00CE6B6A">
        <w:rPr>
          <w:b/>
        </w:rPr>
        <w:t xml:space="preserve"> </w:t>
      </w:r>
      <w:r>
        <w:rPr>
          <w:b/>
        </w:rPr>
        <w:t>des catégories M</w:t>
      </w:r>
      <w:r>
        <w:rPr>
          <w:b/>
          <w:vertAlign w:val="subscript"/>
        </w:rPr>
        <w:t>1</w:t>
      </w:r>
      <w:r>
        <w:rPr>
          <w:b/>
        </w:rPr>
        <w:t xml:space="preserve"> et N</w:t>
      </w:r>
      <w:r>
        <w:rPr>
          <w:b/>
          <w:vertAlign w:val="subscript"/>
        </w:rPr>
        <w:t>1</w:t>
      </w:r>
      <w:r w:rsidR="00CE6B6A">
        <w:rPr>
          <w:b/>
        </w:rPr>
        <w:t>),</w:t>
      </w:r>
      <w:r w:rsidR="00CE6B6A">
        <w:rPr>
          <w:b/>
        </w:rPr>
        <w:br/>
      </w:r>
      <w:r>
        <w:rPr>
          <w:b/>
        </w:rPr>
        <w:t>101 (Émissions de CO</w:t>
      </w:r>
      <w:r>
        <w:rPr>
          <w:b/>
          <w:vertAlign w:val="subscript"/>
        </w:rPr>
        <w:t>2</w:t>
      </w:r>
      <w:r w:rsidR="00CE6B6A">
        <w:rPr>
          <w:b/>
        </w:rPr>
        <w:t>/consommation de carburant)</w:t>
      </w:r>
      <w:r w:rsidR="00CE6B6A">
        <w:rPr>
          <w:b/>
        </w:rPr>
        <w:br/>
      </w:r>
      <w:r>
        <w:rPr>
          <w:b/>
        </w:rPr>
        <w:t>et 103 (Dispositifs antipollution de remplacement)</w:t>
      </w:r>
    </w:p>
    <w:p w:rsidR="0077277F" w:rsidRPr="00A250BD" w:rsidRDefault="0077277F" w:rsidP="003F6251">
      <w:pPr>
        <w:pStyle w:val="HChG"/>
        <w:rPr>
          <w:rFonts w:eastAsia="Times New Roman"/>
        </w:rPr>
      </w:pPr>
      <w:r>
        <w:tab/>
      </w:r>
      <w:r>
        <w:tab/>
        <w:t>Proposition de nouveau complément aux séries 06 et 07 d’amendements au Règlement</w:t>
      </w:r>
      <w:r w:rsidR="00CE6B6A">
        <w:t xml:space="preserve"> </w:t>
      </w:r>
      <w:r>
        <w:t>ONU</w:t>
      </w:r>
      <w:r w:rsidR="00CE6B6A">
        <w:t xml:space="preserve"> </w:t>
      </w:r>
      <w:r>
        <w:t>n</w:t>
      </w:r>
      <w:r w:rsidRPr="00CE6B6A">
        <w:rPr>
          <w:vertAlign w:val="superscript"/>
        </w:rPr>
        <w:t>o</w:t>
      </w:r>
      <w:r w:rsidR="00CE6B6A">
        <w:t> </w:t>
      </w:r>
      <w:r>
        <w:t>83 (Émissions polluantes des véhicules des catégories M</w:t>
      </w:r>
      <w:r>
        <w:rPr>
          <w:vertAlign w:val="subscript"/>
        </w:rPr>
        <w:t>1</w:t>
      </w:r>
      <w:r>
        <w:t xml:space="preserve"> et N</w:t>
      </w:r>
      <w:r>
        <w:rPr>
          <w:vertAlign w:val="subscript"/>
        </w:rPr>
        <w:t>1</w:t>
      </w:r>
      <w:r>
        <w:t>)</w:t>
      </w:r>
    </w:p>
    <w:p w:rsidR="0077277F" w:rsidRPr="00A250BD" w:rsidRDefault="0077277F" w:rsidP="003F6251">
      <w:pPr>
        <w:pStyle w:val="H1G"/>
        <w:rPr>
          <w:rFonts w:eastAsia="Times New Roman"/>
        </w:rPr>
      </w:pPr>
      <w:r>
        <w:tab/>
      </w:r>
      <w:r>
        <w:tab/>
        <w:t>Communication de l’expert de l’Organisation internati</w:t>
      </w:r>
      <w:r w:rsidR="00CE6B6A">
        <w:t>onale</w:t>
      </w:r>
      <w:r w:rsidR="00CE6B6A">
        <w:br/>
      </w:r>
      <w:r>
        <w:t>des constructeurs d’automobiles</w:t>
      </w:r>
      <w:r w:rsidRPr="00C454F3">
        <w:rPr>
          <w:rFonts w:eastAsia="Times New Roman"/>
          <w:b w:val="0"/>
          <w:sz w:val="20"/>
          <w:lang w:val="fr-FR"/>
        </w:rPr>
        <w:footnoteReference w:customMarkFollows="1" w:id="2"/>
        <w:t>*</w:t>
      </w:r>
    </w:p>
    <w:p w:rsidR="0077277F" w:rsidRPr="00A250BD" w:rsidRDefault="0077277F" w:rsidP="003F6251">
      <w:pPr>
        <w:pStyle w:val="SingleTxtG"/>
        <w:ind w:firstLine="567"/>
        <w:rPr>
          <w:rFonts w:eastAsia="Times New Roman"/>
        </w:rPr>
      </w:pPr>
      <w:r>
        <w:t xml:space="preserve">Le texte ci-après, établi par l’expert de l’Organisation internationale des constructeurs d’automobiles (OICA), vise à adapter les dispositions du Règlement ONU </w:t>
      </w:r>
      <w:r w:rsidR="003F6251">
        <w:rPr>
          <w:rFonts w:eastAsia="MS Mincho"/>
        </w:rPr>
        <w:t>n</w:t>
      </w:r>
      <w:r w:rsidR="003F6251">
        <w:rPr>
          <w:rFonts w:eastAsia="MS Mincho"/>
          <w:vertAlign w:val="superscript"/>
        </w:rPr>
        <w:t>o</w:t>
      </w:r>
      <w:r w:rsidR="003F6251">
        <w:t> </w:t>
      </w:r>
      <w:r>
        <w:t xml:space="preserve">83 de sorte à permettre l’utilisation de coefficients de régénération Ki et de facteurs de détérioration (DF) sur la base de la procédure WLTP ainsi que le recours aux essais de contrôle concernant les systèmes d’autodiagnostic (OBD). </w:t>
      </w:r>
      <w:r>
        <w:rPr>
          <w:szCs w:val="23"/>
        </w:rPr>
        <w:t>Les modifications qu’il est proposé d’apporter au texte actuel du Règlement sont signalées en caractères gras pour les ajouts ou biffés pour les suppressions.</w:t>
      </w:r>
    </w:p>
    <w:p w:rsidR="0077277F" w:rsidRPr="00A250BD" w:rsidRDefault="0077277F" w:rsidP="003F6251">
      <w:pPr>
        <w:pStyle w:val="HChG"/>
        <w:rPr>
          <w:rFonts w:eastAsia="Times New Roman"/>
        </w:rPr>
      </w:pPr>
      <w:r>
        <w:br w:type="page"/>
      </w:r>
      <w:r>
        <w:lastRenderedPageBreak/>
        <w:tab/>
      </w:r>
      <w:r>
        <w:tab/>
        <w:t>I.</w:t>
      </w:r>
      <w:r>
        <w:tab/>
        <w:t>Proposition</w:t>
      </w:r>
    </w:p>
    <w:p w:rsidR="0077277F" w:rsidRPr="00A250BD" w:rsidRDefault="0077277F" w:rsidP="003F6251">
      <w:pPr>
        <w:pStyle w:val="SingleTxtG"/>
        <w:rPr>
          <w:rFonts w:eastAsia="Times New Roman"/>
        </w:rPr>
      </w:pPr>
      <w:r w:rsidRPr="003F6251">
        <w:rPr>
          <w:i/>
        </w:rPr>
        <w:t xml:space="preserve">Ajouter un nouveau paragraphe 14, </w:t>
      </w:r>
      <w:r w:rsidRPr="003F6251">
        <w:t>libellé comme suit</w:t>
      </w:r>
      <w:r>
        <w:t xml:space="preserve"> : </w:t>
      </w:r>
    </w:p>
    <w:p w:rsidR="0077277F" w:rsidRPr="00A250BD" w:rsidRDefault="0077277F" w:rsidP="003F6251">
      <w:pPr>
        <w:pStyle w:val="SingleTxtG"/>
        <w:kinsoku/>
        <w:overflowPunct/>
        <w:autoSpaceDE/>
        <w:autoSpaceDN/>
        <w:adjustRightInd/>
        <w:snapToGrid/>
        <w:spacing w:line="240" w:lineRule="auto"/>
        <w:ind w:left="2268" w:hanging="1134"/>
        <w:rPr>
          <w:rFonts w:eastAsia="Times New Roman"/>
          <w:b/>
        </w:rPr>
      </w:pPr>
      <w:r w:rsidRPr="003E3C7A">
        <w:t>« </w:t>
      </w:r>
      <w:r w:rsidR="00CE6B6A">
        <w:rPr>
          <w:b/>
        </w:rPr>
        <w:t>14.</w:t>
      </w:r>
      <w:r>
        <w:rPr>
          <w:b/>
        </w:rPr>
        <w:tab/>
        <w:t>Autres procédures</w:t>
      </w:r>
    </w:p>
    <w:p w:rsidR="0077277F" w:rsidRPr="00A250BD" w:rsidRDefault="0077277F" w:rsidP="003F6251">
      <w:pPr>
        <w:pStyle w:val="SingleTxtG"/>
        <w:kinsoku/>
        <w:overflowPunct/>
        <w:autoSpaceDE/>
        <w:autoSpaceDN/>
        <w:adjustRightInd/>
        <w:snapToGrid/>
        <w:spacing w:line="240" w:lineRule="auto"/>
        <w:ind w:left="2268" w:hanging="1134"/>
        <w:rPr>
          <w:rFonts w:eastAsia="Times New Roman"/>
          <w:b/>
        </w:rPr>
      </w:pPr>
      <w:r>
        <w:rPr>
          <w:b/>
        </w:rPr>
        <w:t>14.1</w:t>
      </w:r>
      <w:r>
        <w:rPr>
          <w:b/>
        </w:rPr>
        <w:tab/>
        <w:t>Autre procédure applicable aux dispositifs à régénération discontinue</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Le constructeur peut utiliser les résultats obtenus au moyen de la procédure WLTP décrite à l’appendice 1 de l’annexe 6 du RTM</w:t>
      </w:r>
      <w:r w:rsidR="00CE6B6A">
        <w:rPr>
          <w:b/>
        </w:rPr>
        <w:t xml:space="preserve"> </w:t>
      </w:r>
      <w:r>
        <w:rPr>
          <w:b/>
        </w:rPr>
        <w:t>ONU n</w:t>
      </w:r>
      <w:r w:rsidRPr="00CE6B6A">
        <w:rPr>
          <w:b/>
          <w:vertAlign w:val="superscript"/>
        </w:rPr>
        <w:t>o</w:t>
      </w:r>
      <w:r>
        <w:rPr>
          <w:b/>
        </w:rPr>
        <w:t> 15 tel que modifié par l’amendement 4, au lieu de la procédure énoncée à l’annexe 13 du présent Règlement.</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Dans ce cas, les dispositions additionnelles suivantes s’appliquent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a)</w:t>
      </w:r>
      <w:r>
        <w:rPr>
          <w:b/>
        </w:rPr>
        <w:tab/>
        <w:t>Si le constructeur en fait la demande, et sous réserve de l’accord de l’autorité compétente, la phase Extra High peut être exclue pour déterminer le coefficient de régénération Ki dans le cas des véhicules des classes 2 et 3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b)</w:t>
      </w:r>
      <w:r>
        <w:rPr>
          <w:b/>
        </w:rPr>
        <w:tab/>
        <w:t>Au lieu de la condition définie au paragraphe 7.1.4.2 du présent Règlement, le critère à retenir doit être fondé sur la masse d’essai WLTP, comme suit : la masse d’essai de chaque véhicule de la famille doit être inférieure ou égale à la masse d’essai du véhicule utilisé pour l’essai de contrôle de Ki plus 250 kg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c)</w:t>
      </w:r>
      <w:r>
        <w:rPr>
          <w:b/>
        </w:rPr>
        <w:tab/>
        <w:t>Les facteurs Ki additifs ou multiplicatifs sont valides et doivent être appliqués en conséquence.</w:t>
      </w:r>
    </w:p>
    <w:p w:rsidR="0077277F" w:rsidRPr="00A250BD" w:rsidRDefault="0077277F" w:rsidP="003E3C7A">
      <w:pPr>
        <w:pStyle w:val="SingleTxtG"/>
        <w:kinsoku/>
        <w:overflowPunct/>
        <w:autoSpaceDE/>
        <w:autoSpaceDN/>
        <w:adjustRightInd/>
        <w:snapToGrid/>
        <w:spacing w:line="240" w:lineRule="auto"/>
        <w:ind w:left="2268" w:hanging="1134"/>
        <w:rPr>
          <w:rFonts w:eastAsia="Times New Roman"/>
          <w:b/>
        </w:rPr>
      </w:pPr>
      <w:r>
        <w:rPr>
          <w:b/>
        </w:rPr>
        <w:t>14.2</w:t>
      </w:r>
      <w:r>
        <w:rPr>
          <w:b/>
        </w:rPr>
        <w:tab/>
        <w:t>Autre procédure applicable à l’essai du type V</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Aux fins de l’essai de durabilité, il est possible d’utiliser, au lieu des paramètres de résistance à l’avancement sur route, de masse inertielle et de ceux du cycle d’essai du type I définis dans le présent Règlement, les paramètres correspondants issus de la procédure d’essai WLTP, conformément au RTM</w:t>
      </w:r>
      <w:r w:rsidR="00CE6B6A">
        <w:rPr>
          <w:b/>
        </w:rPr>
        <w:t xml:space="preserve"> </w:t>
      </w:r>
      <w:r>
        <w:rPr>
          <w:b/>
        </w:rPr>
        <w:t>ONU n</w:t>
      </w:r>
      <w:r w:rsidRPr="00CE6B6A">
        <w:rPr>
          <w:b/>
          <w:vertAlign w:val="superscript"/>
        </w:rPr>
        <w:t>o</w:t>
      </w:r>
      <w:r>
        <w:rPr>
          <w:b/>
        </w:rPr>
        <w:t> 15 tel que modifié par l’amendement 4.</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Dans ce cas, les dispositions additionnelles suivantes s’appliquent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a)</w:t>
      </w:r>
      <w:r>
        <w:rPr>
          <w:b/>
        </w:rPr>
        <w:tab/>
        <w:t xml:space="preserve">Au paragraphe 2.3.1.7 de l’annexe 9 du présent Règlement, les renvois aux essais du type I doivent être compris comme étant des renvois aux essais du type 1 décrits dans le </w:t>
      </w:r>
      <w:r w:rsidRPr="007E0FAC">
        <w:rPr>
          <w:b/>
        </w:rPr>
        <w:t>RTM</w:t>
      </w:r>
      <w:r w:rsidR="00CE6B6A">
        <w:rPr>
          <w:b/>
        </w:rPr>
        <w:t xml:space="preserve"> </w:t>
      </w:r>
      <w:r w:rsidRPr="007E0FAC">
        <w:rPr>
          <w:b/>
        </w:rPr>
        <w:t>ONU n</w:t>
      </w:r>
      <w:r w:rsidRPr="00CE6B6A">
        <w:rPr>
          <w:b/>
          <w:vertAlign w:val="superscript"/>
        </w:rPr>
        <w:t>o</w:t>
      </w:r>
      <w:r w:rsidRPr="007E0FAC">
        <w:rPr>
          <w:b/>
        </w:rPr>
        <w:t> 15 tel que modifié par l</w:t>
      </w:r>
      <w:r>
        <w:rPr>
          <w:b/>
        </w:rPr>
        <w:t>’</w:t>
      </w:r>
      <w:r w:rsidRPr="007E0FAC">
        <w:rPr>
          <w:b/>
        </w:rPr>
        <w:t>amendement 4</w:t>
      </w:r>
      <w:r>
        <w:rPr>
          <w:b/>
        </w:rPr>
        <w: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b)</w:t>
      </w:r>
      <w:r>
        <w:rPr>
          <w:b/>
        </w:rPr>
        <w:tab/>
        <w:t xml:space="preserve">Au paragraphe 2.3.2.6 de l’annexe 9 du présent Règlement, les renvois aux essais du type I doivent être compris comme étant des renvois aux essais du type 1 décrits dans le </w:t>
      </w:r>
      <w:r w:rsidR="00CE6B6A">
        <w:rPr>
          <w:b/>
        </w:rPr>
        <w:t xml:space="preserve">RTM </w:t>
      </w:r>
      <w:r w:rsidRPr="007E0FAC">
        <w:rPr>
          <w:b/>
        </w:rPr>
        <w:t>ONU n</w:t>
      </w:r>
      <w:r w:rsidRPr="00CE6B6A">
        <w:rPr>
          <w:b/>
          <w:vertAlign w:val="superscript"/>
        </w:rPr>
        <w:t>o</w:t>
      </w:r>
      <w:r w:rsidRPr="007E0FAC">
        <w:rPr>
          <w:b/>
        </w:rPr>
        <w:t> 15 tel que modifié par l</w:t>
      </w:r>
      <w:r>
        <w:rPr>
          <w:b/>
        </w:rPr>
        <w:t>’</w:t>
      </w:r>
      <w:r w:rsidRPr="007E0FAC">
        <w:rPr>
          <w:b/>
        </w:rPr>
        <w:t>amendement 4</w:t>
      </w:r>
      <w:r>
        <w:rPr>
          <w:b/>
        </w:rPr>
        <w: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c)</w:t>
      </w:r>
      <w:r>
        <w:rPr>
          <w:b/>
        </w:rPr>
        <w:tab/>
        <w:t xml:space="preserve">Au paragraphe 3.1 de l’annexe 9 du présent Règlement, les renvois aux essais du type I doivent être compris comme étant des renvois aux essais du type 1 décrits dans le </w:t>
      </w:r>
      <w:r w:rsidR="00CE6B6A">
        <w:rPr>
          <w:b/>
        </w:rPr>
        <w:t xml:space="preserve">RTM </w:t>
      </w:r>
      <w:r w:rsidRPr="007E0FAC">
        <w:rPr>
          <w:b/>
        </w:rPr>
        <w:t>ONU n</w:t>
      </w:r>
      <w:r w:rsidRPr="00CE6B6A">
        <w:rPr>
          <w:b/>
          <w:vertAlign w:val="superscript"/>
        </w:rPr>
        <w:t>o</w:t>
      </w:r>
      <w:r w:rsidRPr="007E0FAC">
        <w:rPr>
          <w:b/>
        </w:rPr>
        <w:t> 15 tel que modifié par l</w:t>
      </w:r>
      <w:r>
        <w:rPr>
          <w:b/>
        </w:rPr>
        <w:t>’</w:t>
      </w:r>
      <w:r w:rsidRPr="007E0FAC">
        <w:rPr>
          <w:b/>
        </w:rPr>
        <w:t>amendement 4</w:t>
      </w:r>
      <w:r>
        <w:rPr>
          <w:b/>
        </w:rPr>
        <w: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d)</w:t>
      </w:r>
      <w:r>
        <w:rPr>
          <w:b/>
        </w:rPr>
        <w:tab/>
        <w:t xml:space="preserve">Au paragraphe 6.3.1.2 de l’annexe 9 du présent Règlement, le renvoi aux méthodes décrites à l’appendice 7 de l’annexe 4a doit être compris comme étant un renvoi à l’annexe 4 du </w:t>
      </w:r>
      <w:r w:rsidRPr="007E0FAC">
        <w:rPr>
          <w:b/>
        </w:rPr>
        <w:t>RTM</w:t>
      </w:r>
      <w:r w:rsidR="00CE6B6A">
        <w:rPr>
          <w:b/>
        </w:rPr>
        <w:t xml:space="preserve"> </w:t>
      </w:r>
      <w:r w:rsidRPr="007E0FAC">
        <w:rPr>
          <w:b/>
        </w:rPr>
        <w:t>ONU n</w:t>
      </w:r>
      <w:r w:rsidRPr="00CE6B6A">
        <w:rPr>
          <w:b/>
          <w:vertAlign w:val="superscript"/>
        </w:rPr>
        <w:t>o</w:t>
      </w:r>
      <w:r w:rsidRPr="007E0FAC">
        <w:rPr>
          <w:b/>
        </w:rPr>
        <w:t> 15 tel que modifié par l</w:t>
      </w:r>
      <w:r>
        <w:rPr>
          <w:b/>
        </w:rPr>
        <w:t>’</w:t>
      </w:r>
      <w:r w:rsidRPr="007E0FAC">
        <w:rPr>
          <w:b/>
        </w:rPr>
        <w:t>amendement 4</w:t>
      </w:r>
      <w:r>
        <w:rPr>
          <w:b/>
        </w:rPr>
        <w: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e)</w:t>
      </w:r>
      <w:r>
        <w:rPr>
          <w:b/>
        </w:rPr>
        <w:tab/>
        <w:t xml:space="preserve">Au paragraphe 6.3.1.4 de l’annexe 9 du présent Règlement, le renvoi à l’annexe 4a doit être compris comme étant un renvoi à l’annexe 4 du </w:t>
      </w:r>
      <w:r w:rsidRPr="007E0FAC">
        <w:rPr>
          <w:b/>
        </w:rPr>
        <w:t>RTM</w:t>
      </w:r>
      <w:r w:rsidR="00CE6B6A">
        <w:rPr>
          <w:b/>
        </w:rPr>
        <w:t xml:space="preserve"> </w:t>
      </w:r>
      <w:r w:rsidRPr="007E0FAC">
        <w:rPr>
          <w:b/>
        </w:rPr>
        <w:t>ONU n</w:t>
      </w:r>
      <w:r w:rsidRPr="00CE6B6A">
        <w:rPr>
          <w:b/>
          <w:vertAlign w:val="superscript"/>
        </w:rPr>
        <w:t>o</w:t>
      </w:r>
      <w:r w:rsidRPr="007E0FAC">
        <w:rPr>
          <w:b/>
        </w:rPr>
        <w:t> 15 tel que modifié par l</w:t>
      </w:r>
      <w:r>
        <w:rPr>
          <w:b/>
        </w:rPr>
        <w:t>’</w:t>
      </w:r>
      <w:r w:rsidRPr="007E0FAC">
        <w:rPr>
          <w:b/>
        </w:rPr>
        <w:t>amendement 4</w:t>
      </w:r>
      <w:r>
        <w:rPr>
          <w:b/>
        </w:rPr>
        <w:t>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f)</w:t>
      </w:r>
      <w:r>
        <w:rPr>
          <w:b/>
        </w:rPr>
        <w:tab/>
        <w:t xml:space="preserve">Les coefficients de résistance à l’avancement sur route qui doivent être utilisés sont ceux qui correspondent aux véhicules L. S’il n’existe pas de coefficient pour les véhicules L ou si la </w:t>
      </w:r>
      <w:r w:rsidRPr="005348E4">
        <w:rPr>
          <w:b/>
        </w:rPr>
        <w:t xml:space="preserve">résistance </w:t>
      </w:r>
      <w:r>
        <w:rPr>
          <w:b/>
        </w:rPr>
        <w:t xml:space="preserve">totale </w:t>
      </w:r>
      <w:r w:rsidRPr="005348E4">
        <w:rPr>
          <w:b/>
        </w:rPr>
        <w:t>à l</w:t>
      </w:r>
      <w:r>
        <w:rPr>
          <w:b/>
        </w:rPr>
        <w:t>’</w:t>
      </w:r>
      <w:r w:rsidRPr="005348E4">
        <w:rPr>
          <w:b/>
        </w:rPr>
        <w:t xml:space="preserve">avancement </w:t>
      </w:r>
      <w:r>
        <w:rPr>
          <w:b/>
        </w:rPr>
        <w:t>du véhicule H à 80</w:t>
      </w:r>
      <w:r w:rsidR="00CE6B6A">
        <w:rPr>
          <w:b/>
        </w:rPr>
        <w:t> </w:t>
      </w:r>
      <w:r>
        <w:rPr>
          <w:b/>
        </w:rPr>
        <w:t xml:space="preserve">km/h est supérieure à la </w:t>
      </w:r>
      <w:r w:rsidRPr="005348E4">
        <w:rPr>
          <w:b/>
        </w:rPr>
        <w:t xml:space="preserve">résistance </w:t>
      </w:r>
      <w:r>
        <w:rPr>
          <w:b/>
        </w:rPr>
        <w:t xml:space="preserve">totale </w:t>
      </w:r>
      <w:r w:rsidRPr="005348E4">
        <w:rPr>
          <w:b/>
        </w:rPr>
        <w:t>à l</w:t>
      </w:r>
      <w:r>
        <w:rPr>
          <w:b/>
        </w:rPr>
        <w:t>’</w:t>
      </w:r>
      <w:r w:rsidRPr="005348E4">
        <w:rPr>
          <w:b/>
        </w:rPr>
        <w:t xml:space="preserve">avancement </w:t>
      </w:r>
      <w:r>
        <w:rPr>
          <w:b/>
        </w:rPr>
        <w:t xml:space="preserve">du véhicule L à 80 km/h + 5 %, il faut utiliser le </w:t>
      </w:r>
      <w:r>
        <w:rPr>
          <w:b/>
        </w:rPr>
        <w:lastRenderedPageBreak/>
        <w:t>coefficient de résistance à l’avancement sur route du véhicule H ; Les coefficients correspondant aux véhicules L et H sont définis au point 4.2.1.1.2 de l’annexe 4 du RTM</w:t>
      </w:r>
      <w:r w:rsidR="00CE6B6A">
        <w:rPr>
          <w:b/>
        </w:rPr>
        <w:t xml:space="preserve"> </w:t>
      </w:r>
      <w:r>
        <w:rPr>
          <w:b/>
        </w:rPr>
        <w:t>ONU n</w:t>
      </w:r>
      <w:r w:rsidRPr="00CE6B6A">
        <w:rPr>
          <w:b/>
          <w:vertAlign w:val="superscript"/>
        </w:rPr>
        <w:t>o</w:t>
      </w:r>
      <w:r>
        <w:rPr>
          <w:b/>
        </w:rPr>
        <w:t> 15 tel que modifié par l’amendement 4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g)</w:t>
      </w:r>
      <w:r>
        <w:rPr>
          <w:b/>
        </w:rPr>
        <w:tab/>
        <w:t>Pour les véhicules des classes 2 et 3, il doit être fait usage de l’ensemble des quatre phases de la procédure d’essai WLTC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h)</w:t>
      </w:r>
      <w:r>
        <w:rPr>
          <w:b/>
        </w:rPr>
        <w:tab/>
        <w:t>Les facteurs de détérioration DF additifs ou multiplicatifs sont valides et doivent être appliqués en conséquence.</w:t>
      </w:r>
    </w:p>
    <w:p w:rsidR="0077277F" w:rsidRPr="00A250BD" w:rsidRDefault="0077277F" w:rsidP="003E3C7A">
      <w:pPr>
        <w:pStyle w:val="SingleTxtG"/>
        <w:kinsoku/>
        <w:overflowPunct/>
        <w:autoSpaceDE/>
        <w:autoSpaceDN/>
        <w:adjustRightInd/>
        <w:snapToGrid/>
        <w:spacing w:line="240" w:lineRule="auto"/>
        <w:ind w:left="2268" w:hanging="1134"/>
        <w:rPr>
          <w:rFonts w:eastAsia="Times New Roman"/>
          <w:b/>
        </w:rPr>
      </w:pPr>
      <w:r>
        <w:rPr>
          <w:b/>
        </w:rPr>
        <w:t>14.3</w:t>
      </w:r>
      <w:r>
        <w:rPr>
          <w:b/>
        </w:rPr>
        <w:tab/>
        <w:t>Autre procédure applicable à l’essai du type VI</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 xml:space="preserve">Il est possible d’utiliser, au lieu des coefficients de résistance à l’avancement sur route et de la classe de masse inertielle définis à l’appendice 7 de l’annexe 4a du présent Règlement, les coefficients de résistance à l’avancement sur route et la masse d’essai issus de la procédure d’essai WLTP décrits à l’annexe 4 du </w:t>
      </w:r>
      <w:r w:rsidRPr="007E0FAC">
        <w:rPr>
          <w:b/>
        </w:rPr>
        <w:t>RTM</w:t>
      </w:r>
      <w:r w:rsidR="00CE6B6A">
        <w:rPr>
          <w:b/>
        </w:rPr>
        <w:t xml:space="preserve"> </w:t>
      </w:r>
      <w:r w:rsidRPr="007E0FAC">
        <w:rPr>
          <w:b/>
        </w:rPr>
        <w:t>ONU n</w:t>
      </w:r>
      <w:r w:rsidRPr="00C454F3">
        <w:rPr>
          <w:b/>
          <w:vertAlign w:val="superscript"/>
        </w:rPr>
        <w:t>o</w:t>
      </w:r>
      <w:r w:rsidRPr="007E0FAC">
        <w:rPr>
          <w:b/>
        </w:rPr>
        <w:t> 15 tel que modifié par l</w:t>
      </w:r>
      <w:r>
        <w:rPr>
          <w:b/>
        </w:rPr>
        <w:t>’</w:t>
      </w:r>
      <w:r w:rsidRPr="007E0FAC">
        <w:rPr>
          <w:b/>
        </w:rPr>
        <w:t>amendement 4</w:t>
      </w:r>
      <w:r>
        <w:rPr>
          <w:b/>
        </w:rPr>
        <w:t>.</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Dans ce cas, la disposition additionnelle suivante s’applique :</w:t>
      </w:r>
    </w:p>
    <w:p w:rsidR="0077277F" w:rsidRPr="00A250BD" w:rsidRDefault="00CE6B6A" w:rsidP="00CE6B6A">
      <w:pPr>
        <w:pStyle w:val="SingleTxtG"/>
        <w:kinsoku/>
        <w:overflowPunct/>
        <w:autoSpaceDE/>
        <w:autoSpaceDN/>
        <w:adjustRightInd/>
        <w:snapToGrid/>
        <w:spacing w:line="240" w:lineRule="auto"/>
        <w:ind w:left="2268"/>
        <w:rPr>
          <w:rFonts w:eastAsia="Times New Roman"/>
          <w:b/>
        </w:rPr>
      </w:pPr>
      <w:r>
        <w:rPr>
          <w:b/>
        </w:rPr>
        <w:tab/>
      </w:r>
      <w:r w:rsidR="0077277F">
        <w:rPr>
          <w:b/>
        </w:rPr>
        <w:t xml:space="preserve">Les coefficients de résistance à l’avancement sur route qui doivent être utilisés sont ceux qui correspondent aux véhicules L. </w:t>
      </w:r>
      <w:r w:rsidR="0077277F" w:rsidRPr="005348E4">
        <w:rPr>
          <w:b/>
        </w:rPr>
        <w:t>S</w:t>
      </w:r>
      <w:r w:rsidR="0077277F">
        <w:rPr>
          <w:b/>
        </w:rPr>
        <w:t>’</w:t>
      </w:r>
      <w:r w:rsidR="0077277F" w:rsidRPr="005348E4">
        <w:rPr>
          <w:b/>
        </w:rPr>
        <w:t>i</w:t>
      </w:r>
      <w:r w:rsidR="0077277F">
        <w:rPr>
          <w:b/>
        </w:rPr>
        <w:t>l n’existe pas d</w:t>
      </w:r>
      <w:r w:rsidR="0077277F" w:rsidRPr="005348E4">
        <w:rPr>
          <w:b/>
        </w:rPr>
        <w:t>e coefficient pour les véhicules L</w:t>
      </w:r>
      <w:r w:rsidR="0077277F">
        <w:rPr>
          <w:b/>
        </w:rPr>
        <w:t>, il faut utiliser le coefficient de résistance à l’avancement sur route pour les véhicules H. Les coefficients correspondant aux véhicules L et H sont définis au point 4.2.1.1.2 de la sous-annexe 4 de l’annexe XXI. Le banc à rouleaux doit être réglé pour simuler le fonctionnement d’un véhicule sur route à -7 °C. Ce réglage peut être fondé sur une détermination de la courbe de résistance à l’avancement sur route à -7 °C. À défaut, la résistance à l’avancement déterminée peut être ajustée pour une diminution de 10</w:t>
      </w:r>
      <w:r>
        <w:rPr>
          <w:b/>
        </w:rPr>
        <w:t> </w:t>
      </w:r>
      <w:r w:rsidR="0077277F">
        <w:rPr>
          <w:b/>
        </w:rPr>
        <w:t>% de la décélération en roue libre. Le service technique peut approuver l’utilisation d’autres méthodes de détermination de la résistance à l’avancement.</w:t>
      </w:r>
    </w:p>
    <w:p w:rsidR="0077277F" w:rsidRPr="00A250BD" w:rsidRDefault="0077277F" w:rsidP="003E3C7A">
      <w:pPr>
        <w:pStyle w:val="SingleTxtG"/>
        <w:kinsoku/>
        <w:overflowPunct/>
        <w:autoSpaceDE/>
        <w:autoSpaceDN/>
        <w:adjustRightInd/>
        <w:snapToGrid/>
        <w:spacing w:line="240" w:lineRule="auto"/>
        <w:ind w:left="2268" w:hanging="1134"/>
        <w:rPr>
          <w:rFonts w:eastAsia="Times New Roman"/>
          <w:b/>
        </w:rPr>
      </w:pPr>
      <w:r>
        <w:rPr>
          <w:b/>
        </w:rPr>
        <w:t>14.4</w:t>
      </w:r>
      <w:r>
        <w:rPr>
          <w:b/>
        </w:rPr>
        <w:tab/>
        <w:t>Autre procédure applicable à l’essai du système OBD</w:t>
      </w:r>
    </w:p>
    <w:p w:rsidR="0077277F" w:rsidRPr="00A250BD" w:rsidRDefault="003E3C7A" w:rsidP="00CE6B6A">
      <w:pPr>
        <w:pStyle w:val="SingleTxtG"/>
        <w:kinsoku/>
        <w:overflowPunct/>
        <w:autoSpaceDE/>
        <w:autoSpaceDN/>
        <w:adjustRightInd/>
        <w:snapToGrid/>
        <w:spacing w:line="240" w:lineRule="auto"/>
        <w:ind w:left="2268"/>
        <w:rPr>
          <w:rFonts w:eastAsia="Times New Roman"/>
          <w:b/>
        </w:rPr>
      </w:pPr>
      <w:r>
        <w:rPr>
          <w:b/>
        </w:rPr>
        <w:tab/>
      </w:r>
      <w:r w:rsidR="0077277F">
        <w:rPr>
          <w:b/>
        </w:rPr>
        <w:t>Il est possible d’appliquer, au lieu des prescriptions du cycle d’essai du type I figurant dans le présent Règlement, les prescriptions du cycle d’essai du type I figurant à l’annexe 6 du RTM</w:t>
      </w:r>
      <w:r w:rsidR="00CE6B6A">
        <w:rPr>
          <w:b/>
        </w:rPr>
        <w:t xml:space="preserve"> </w:t>
      </w:r>
      <w:r w:rsidR="0077277F">
        <w:rPr>
          <w:b/>
        </w:rPr>
        <w:t>ONU n</w:t>
      </w:r>
      <w:r w:rsidR="0077277F" w:rsidRPr="00CE6B6A">
        <w:rPr>
          <w:b/>
          <w:vertAlign w:val="superscript"/>
        </w:rPr>
        <w:t>o</w:t>
      </w:r>
      <w:r w:rsidR="0077277F">
        <w:rPr>
          <w:b/>
        </w:rPr>
        <w:t xml:space="preserve"> 15 tel que </w:t>
      </w:r>
      <w:r w:rsidR="0077277F" w:rsidRPr="003E3C7A">
        <w:rPr>
          <w:rFonts w:eastAsia="Times New Roman"/>
          <w:b/>
        </w:rPr>
        <w:t>modifié</w:t>
      </w:r>
      <w:r w:rsidR="0077277F">
        <w:rPr>
          <w:b/>
        </w:rPr>
        <w:t xml:space="preserve"> par l’amendement 4.</w:t>
      </w:r>
    </w:p>
    <w:p w:rsidR="0077277F" w:rsidRPr="00A250BD" w:rsidRDefault="003E3C7A" w:rsidP="00CE6B6A">
      <w:pPr>
        <w:pStyle w:val="SingleTxtG"/>
        <w:kinsoku/>
        <w:overflowPunct/>
        <w:autoSpaceDE/>
        <w:autoSpaceDN/>
        <w:adjustRightInd/>
        <w:snapToGrid/>
        <w:spacing w:line="240" w:lineRule="auto"/>
        <w:ind w:left="2268"/>
        <w:rPr>
          <w:rFonts w:eastAsia="Times New Roman"/>
          <w:b/>
        </w:rPr>
      </w:pPr>
      <w:r>
        <w:rPr>
          <w:b/>
        </w:rPr>
        <w:tab/>
      </w:r>
      <w:r w:rsidR="0077277F">
        <w:rPr>
          <w:b/>
        </w:rPr>
        <w:t>Dans ce cas, la disposition additionnelle suivante s’applique :</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 xml:space="preserve">Au paragraphe 2.1.3 de l’appendice 1 de l’annexe 11 du présent Règlement, le renvoi au cycle d’essai du type I doit être compris comme un renvoi au cycle d’essai du type I décrit dans le </w:t>
      </w:r>
      <w:r w:rsidRPr="007E0FAC">
        <w:rPr>
          <w:b/>
        </w:rPr>
        <w:t>RTM</w:t>
      </w:r>
      <w:r w:rsidR="00CE6B6A">
        <w:rPr>
          <w:b/>
        </w:rPr>
        <w:t xml:space="preserve"> </w:t>
      </w:r>
      <w:r w:rsidRPr="007E0FAC">
        <w:rPr>
          <w:b/>
        </w:rPr>
        <w:t>ONU n</w:t>
      </w:r>
      <w:r w:rsidRPr="00CE6B6A">
        <w:rPr>
          <w:b/>
          <w:vertAlign w:val="superscript"/>
        </w:rPr>
        <w:t>o</w:t>
      </w:r>
      <w:r w:rsidRPr="007E0FAC">
        <w:rPr>
          <w:b/>
        </w:rPr>
        <w:t> 15 tel que modifié par l</w:t>
      </w:r>
      <w:r>
        <w:rPr>
          <w:b/>
        </w:rPr>
        <w:t>’</w:t>
      </w:r>
      <w:r w:rsidRPr="007E0FAC">
        <w:rPr>
          <w:b/>
        </w:rPr>
        <w:t>amendement 4</w:t>
      </w:r>
      <w:r>
        <w:rPr>
          <w:b/>
        </w:rPr>
        <w:t>, pour chaque défaillance à vérifier.</w:t>
      </w:r>
    </w:p>
    <w:p w:rsidR="0077277F" w:rsidRPr="00A250BD" w:rsidRDefault="0077277F" w:rsidP="00CE6B6A">
      <w:pPr>
        <w:pStyle w:val="SingleTxtG"/>
        <w:kinsoku/>
        <w:overflowPunct/>
        <w:autoSpaceDE/>
        <w:autoSpaceDN/>
        <w:adjustRightInd/>
        <w:snapToGrid/>
        <w:spacing w:line="240" w:lineRule="auto"/>
        <w:ind w:left="2268"/>
        <w:rPr>
          <w:rFonts w:eastAsia="Times New Roman"/>
          <w:b/>
        </w:rPr>
      </w:pPr>
      <w:r>
        <w:rPr>
          <w:b/>
        </w:rPr>
        <w:tab/>
        <w:t>Pour les véhicules des classes 2 et 3, il doit être fait usage de l’ensemble des quatre</w:t>
      </w:r>
      <w:r w:rsidR="00CE6B6A">
        <w:rPr>
          <w:b/>
        </w:rPr>
        <w:t xml:space="preserve"> </w:t>
      </w:r>
      <w:r>
        <w:rPr>
          <w:b/>
        </w:rPr>
        <w:t>phases de la procédure d’essai WLTC.</w:t>
      </w:r>
    </w:p>
    <w:p w:rsidR="0077277F" w:rsidRPr="00A250BD" w:rsidRDefault="0077277F" w:rsidP="003F6251">
      <w:pPr>
        <w:pStyle w:val="SingleTxtG"/>
        <w:kinsoku/>
        <w:overflowPunct/>
        <w:autoSpaceDE/>
        <w:autoSpaceDN/>
        <w:adjustRightInd/>
        <w:snapToGrid/>
        <w:spacing w:line="240" w:lineRule="auto"/>
        <w:ind w:left="2268"/>
        <w:rPr>
          <w:rFonts w:eastAsia="Times New Roman"/>
          <w:b/>
        </w:rPr>
      </w:pPr>
      <w:r>
        <w:rPr>
          <w:b/>
        </w:rPr>
        <w:t>L’emploi de cycles de préconditionnement supplémentaires ou d’autres méthodes de préconditionnement doit être signalé dans le dossier d’homologation de type.</w:t>
      </w:r>
    </w:p>
    <w:p w:rsidR="0077277F" w:rsidRPr="00A250BD" w:rsidRDefault="0077277F" w:rsidP="003E3C7A">
      <w:pPr>
        <w:pStyle w:val="SingleTxtG"/>
        <w:kinsoku/>
        <w:overflowPunct/>
        <w:autoSpaceDE/>
        <w:autoSpaceDN/>
        <w:adjustRightInd/>
        <w:snapToGrid/>
        <w:spacing w:line="240" w:lineRule="auto"/>
        <w:ind w:left="2268" w:hanging="1134"/>
        <w:rPr>
          <w:rFonts w:eastAsia="Times New Roman"/>
          <w:b/>
        </w:rPr>
      </w:pPr>
      <w:r>
        <w:rPr>
          <w:b/>
        </w:rPr>
        <w:t>14.4.1</w:t>
      </w:r>
      <w:r>
        <w:rPr>
          <w:b/>
        </w:rPr>
        <w:tab/>
        <w:t>Le cycle d’essai du type I auquel il est fait référence au paragraphe 3.3.3.2 de l’annexe 11 doit être compris comme étant identique à celui qui aura été appliqué pendant au moins deux cycles consécutifs après l’introduction des ratés d’allumage conformément au paragraphe 6.3.1.2 de l’appendice 1 de l’annexe 11.</w:t>
      </w:r>
    </w:p>
    <w:p w:rsidR="0077277F" w:rsidRPr="00A250BD" w:rsidRDefault="0077277F" w:rsidP="003E3C7A">
      <w:pPr>
        <w:pStyle w:val="SingleTxtG"/>
        <w:kinsoku/>
        <w:overflowPunct/>
        <w:autoSpaceDE/>
        <w:autoSpaceDN/>
        <w:adjustRightInd/>
        <w:snapToGrid/>
        <w:spacing w:line="240" w:lineRule="auto"/>
        <w:ind w:left="2268" w:hanging="1134"/>
        <w:rPr>
          <w:rFonts w:eastAsia="Times New Roman"/>
          <w:b/>
        </w:rPr>
      </w:pPr>
      <w:r>
        <w:rPr>
          <w:b/>
        </w:rPr>
        <w:t>14.4.2</w:t>
      </w:r>
      <w:r>
        <w:rPr>
          <w:b/>
        </w:rPr>
        <w:tab/>
        <w:t>Le paragraphe 6.2.2 de l’appendice 1 de l’annexe 11 doit être compris comme se lisant ainsi :</w:t>
      </w:r>
    </w:p>
    <w:p w:rsidR="0077277F" w:rsidRPr="00A250BD" w:rsidRDefault="00DF1A3C" w:rsidP="003E3C7A">
      <w:pPr>
        <w:pStyle w:val="SingleTxtG"/>
        <w:kinsoku/>
        <w:overflowPunct/>
        <w:autoSpaceDE/>
        <w:autoSpaceDN/>
        <w:adjustRightInd/>
        <w:snapToGrid/>
        <w:spacing w:line="240" w:lineRule="auto"/>
        <w:ind w:left="2268"/>
        <w:rPr>
          <w:rFonts w:eastAsia="Times New Roman"/>
        </w:rPr>
      </w:pPr>
      <w:r>
        <w:rPr>
          <w:b/>
        </w:rPr>
        <w:t>“</w:t>
      </w:r>
      <w:r w:rsidR="0077277F">
        <w:rPr>
          <w:b/>
        </w:rPr>
        <w:t>À la demande du constructeur, d’autres méthodes de préconditionnement ou des méthodes additionnelles peuvent être utilisées.</w:t>
      </w:r>
      <w:r>
        <w:rPr>
          <w:b/>
        </w:rPr>
        <w:t>”</w:t>
      </w:r>
      <w:r w:rsidR="0077277F">
        <w:rPr>
          <w:b/>
        </w:rPr>
        <w:t> </w:t>
      </w:r>
      <w:r w:rsidR="0077277F" w:rsidRPr="00A06240">
        <w:t>».</w:t>
      </w:r>
    </w:p>
    <w:p w:rsidR="0077277F" w:rsidRPr="00A250BD" w:rsidRDefault="003F6251" w:rsidP="003F6251">
      <w:pPr>
        <w:pStyle w:val="HChG"/>
        <w:rPr>
          <w:rFonts w:eastAsia="Times New Roman"/>
        </w:rPr>
      </w:pPr>
      <w:r>
        <w:tab/>
      </w:r>
      <w:r w:rsidR="0077277F">
        <w:t>II.</w:t>
      </w:r>
      <w:r w:rsidR="0077277F">
        <w:tab/>
        <w:t>Justification</w:t>
      </w:r>
    </w:p>
    <w:p w:rsidR="0077277F" w:rsidRPr="00A250BD" w:rsidRDefault="0077277F" w:rsidP="003F6251">
      <w:pPr>
        <w:pStyle w:val="SingleTxtG"/>
        <w:rPr>
          <w:rFonts w:eastAsia="Times New Roman"/>
        </w:rPr>
      </w:pPr>
      <w:r>
        <w:t>1.</w:t>
      </w:r>
      <w:r>
        <w:tab/>
        <w:t>L’influence des différents cycles d’essai sur les coefficients est limitée ; en outre, la procédure WLTP donne les conditions d’essai les plus récentes et les plus fiables.</w:t>
      </w:r>
    </w:p>
    <w:p w:rsidR="0077277F" w:rsidRPr="00A250BD" w:rsidRDefault="0077277F" w:rsidP="003F6251">
      <w:pPr>
        <w:pStyle w:val="SingleTxtG"/>
        <w:rPr>
          <w:rFonts w:eastAsia="Times New Roman"/>
        </w:rPr>
      </w:pPr>
      <w:r>
        <w:t>2.</w:t>
      </w:r>
      <w:r>
        <w:tab/>
        <w:t>L’homologation par un constructeur d’un véhicule conformément à la procédure WLTP permet d’alléger considérablement les essais si les résultats de cette procédure peuvent aussi être utilisés aux fins d’homologations en</w:t>
      </w:r>
      <w:r w:rsidR="003E3C7A">
        <w:t xml:space="preserve"> application des Règlements ONU </w:t>
      </w:r>
      <w:r>
        <w:t>n</w:t>
      </w:r>
      <w:r>
        <w:rPr>
          <w:vertAlign w:val="superscript"/>
        </w:rPr>
        <w:t>os</w:t>
      </w:r>
      <w:r>
        <w:t> 83 et 101.</w:t>
      </w:r>
    </w:p>
    <w:p w:rsidR="0077277F" w:rsidRPr="0077277F" w:rsidRDefault="0077277F" w:rsidP="0077277F">
      <w:pPr>
        <w:pStyle w:val="SingleTxtG"/>
        <w:spacing w:before="240" w:after="0"/>
        <w:jc w:val="center"/>
        <w:rPr>
          <w:rFonts w:eastAsia="Times New Roman"/>
          <w:u w:val="single"/>
        </w:rPr>
      </w:pPr>
      <w:r>
        <w:rPr>
          <w:u w:val="single"/>
        </w:rPr>
        <w:tab/>
      </w:r>
      <w:r>
        <w:rPr>
          <w:u w:val="single"/>
        </w:rPr>
        <w:tab/>
      </w:r>
      <w:r>
        <w:rPr>
          <w:u w:val="single"/>
        </w:rPr>
        <w:tab/>
      </w:r>
    </w:p>
    <w:p w:rsidR="00F9573C" w:rsidRDefault="00F9573C" w:rsidP="00AF0CB5"/>
    <w:sectPr w:rsidR="00F9573C" w:rsidSect="007727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59" w:rsidRDefault="005F0659" w:rsidP="00F95C08">
      <w:pPr>
        <w:spacing w:line="240" w:lineRule="auto"/>
      </w:pPr>
    </w:p>
  </w:endnote>
  <w:endnote w:type="continuationSeparator" w:id="0">
    <w:p w:rsidR="005F0659" w:rsidRPr="00AC3823" w:rsidRDefault="005F0659" w:rsidP="00AC3823">
      <w:pPr>
        <w:pStyle w:val="Footer"/>
      </w:pPr>
    </w:p>
  </w:endnote>
  <w:endnote w:type="continuationNotice" w:id="1">
    <w:p w:rsidR="005F0659" w:rsidRDefault="005F06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7F" w:rsidRPr="0077277F" w:rsidRDefault="0077277F" w:rsidP="0077277F">
    <w:pPr>
      <w:pStyle w:val="Footer"/>
      <w:tabs>
        <w:tab w:val="right" w:pos="9638"/>
      </w:tabs>
    </w:pPr>
    <w:r w:rsidRPr="0077277F">
      <w:rPr>
        <w:b/>
        <w:sz w:val="18"/>
      </w:rPr>
      <w:fldChar w:fldCharType="begin"/>
    </w:r>
    <w:r w:rsidRPr="0077277F">
      <w:rPr>
        <w:b/>
        <w:sz w:val="18"/>
      </w:rPr>
      <w:instrText xml:space="preserve"> PAGE  \* MERGEFORMAT </w:instrText>
    </w:r>
    <w:r w:rsidRPr="0077277F">
      <w:rPr>
        <w:b/>
        <w:sz w:val="18"/>
      </w:rPr>
      <w:fldChar w:fldCharType="separate"/>
    </w:r>
    <w:r w:rsidR="00FB7A26">
      <w:rPr>
        <w:b/>
        <w:noProof/>
        <w:sz w:val="18"/>
      </w:rPr>
      <w:t>2</w:t>
    </w:r>
    <w:r w:rsidRPr="0077277F">
      <w:rPr>
        <w:b/>
        <w:sz w:val="18"/>
      </w:rPr>
      <w:fldChar w:fldCharType="end"/>
    </w:r>
    <w:r>
      <w:rPr>
        <w:b/>
        <w:sz w:val="18"/>
      </w:rPr>
      <w:tab/>
    </w:r>
    <w:r>
      <w:t>GE.18-04558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7F" w:rsidRPr="0077277F" w:rsidRDefault="0077277F" w:rsidP="0077277F">
    <w:pPr>
      <w:pStyle w:val="Footer"/>
      <w:tabs>
        <w:tab w:val="right" w:pos="9638"/>
      </w:tabs>
      <w:rPr>
        <w:b/>
        <w:sz w:val="18"/>
      </w:rPr>
    </w:pPr>
    <w:r>
      <w:t>GE.18-04558</w:t>
    </w:r>
    <w:r>
      <w:tab/>
    </w:r>
    <w:r w:rsidRPr="0077277F">
      <w:rPr>
        <w:b/>
        <w:sz w:val="18"/>
      </w:rPr>
      <w:fldChar w:fldCharType="begin"/>
    </w:r>
    <w:r w:rsidRPr="0077277F">
      <w:rPr>
        <w:b/>
        <w:sz w:val="18"/>
      </w:rPr>
      <w:instrText xml:space="preserve"> PAGE  \* MERGEFORMAT </w:instrText>
    </w:r>
    <w:r w:rsidRPr="0077277F">
      <w:rPr>
        <w:b/>
        <w:sz w:val="18"/>
      </w:rPr>
      <w:fldChar w:fldCharType="separate"/>
    </w:r>
    <w:r w:rsidR="00B412AA">
      <w:rPr>
        <w:b/>
        <w:noProof/>
        <w:sz w:val="18"/>
      </w:rPr>
      <w:t>3</w:t>
    </w:r>
    <w:r w:rsidRPr="007727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7277F" w:rsidRDefault="0077277F" w:rsidP="0077277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18-04558  (F)</w:t>
    </w:r>
    <w:r w:rsidR="00673731">
      <w:rPr>
        <w:sz w:val="20"/>
      </w:rPr>
      <w:t xml:space="preserve">    090418    180418</w:t>
    </w:r>
    <w:r>
      <w:rPr>
        <w:sz w:val="20"/>
      </w:rPr>
      <w:br/>
    </w:r>
    <w:r w:rsidRPr="0077277F">
      <w:rPr>
        <w:rFonts w:ascii="C39T30Lfz" w:hAnsi="C39T30Lfz"/>
        <w:sz w:val="56"/>
      </w:rPr>
      <w:t></w:t>
    </w:r>
    <w:r w:rsidRPr="0077277F">
      <w:rPr>
        <w:rFonts w:ascii="C39T30Lfz" w:hAnsi="C39T30Lfz"/>
        <w:sz w:val="56"/>
      </w:rPr>
      <w:t></w:t>
    </w:r>
    <w:r w:rsidRPr="0077277F">
      <w:rPr>
        <w:rFonts w:ascii="C39T30Lfz" w:hAnsi="C39T30Lfz"/>
        <w:sz w:val="56"/>
      </w:rPr>
      <w:t></w:t>
    </w:r>
    <w:r w:rsidRPr="0077277F">
      <w:rPr>
        <w:rFonts w:ascii="C39T30Lfz" w:hAnsi="C39T30Lfz"/>
        <w:sz w:val="56"/>
      </w:rPr>
      <w:t></w:t>
    </w:r>
    <w:r w:rsidRPr="0077277F">
      <w:rPr>
        <w:rFonts w:ascii="C39T30Lfz" w:hAnsi="C39T30Lfz"/>
        <w:sz w:val="56"/>
      </w:rPr>
      <w:t></w:t>
    </w:r>
    <w:r w:rsidRPr="0077277F">
      <w:rPr>
        <w:rFonts w:ascii="C39T30Lfz" w:hAnsi="C39T30Lfz"/>
        <w:sz w:val="56"/>
      </w:rPr>
      <w:t></w:t>
    </w:r>
    <w:r w:rsidRPr="0077277F">
      <w:rPr>
        <w:rFonts w:ascii="C39T30Lfz" w:hAnsi="C39T30Lfz"/>
        <w:sz w:val="56"/>
      </w:rPr>
      <w:t></w:t>
    </w:r>
    <w:r w:rsidRPr="0077277F">
      <w:rPr>
        <w:rFonts w:ascii="C39T30Lfz" w:hAnsi="C39T30Lfz"/>
        <w:sz w:val="56"/>
      </w:rPr>
      <w:t></w:t>
    </w:r>
    <w:r w:rsidRPr="0077277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59" w:rsidRPr="00AC3823" w:rsidRDefault="005F0659" w:rsidP="00AC3823">
      <w:pPr>
        <w:pStyle w:val="Footer"/>
        <w:tabs>
          <w:tab w:val="right" w:pos="2155"/>
        </w:tabs>
        <w:spacing w:after="80" w:line="240" w:lineRule="atLeast"/>
        <w:ind w:left="680"/>
        <w:rPr>
          <w:u w:val="single"/>
        </w:rPr>
      </w:pPr>
      <w:r>
        <w:rPr>
          <w:u w:val="single"/>
        </w:rPr>
        <w:tab/>
      </w:r>
    </w:p>
  </w:footnote>
  <w:footnote w:type="continuationSeparator" w:id="0">
    <w:p w:rsidR="005F0659" w:rsidRPr="00AC3823" w:rsidRDefault="005F0659" w:rsidP="00AC3823">
      <w:pPr>
        <w:pStyle w:val="Footer"/>
        <w:tabs>
          <w:tab w:val="right" w:pos="2155"/>
        </w:tabs>
        <w:spacing w:after="80" w:line="240" w:lineRule="atLeast"/>
        <w:ind w:left="680"/>
        <w:rPr>
          <w:u w:val="single"/>
        </w:rPr>
      </w:pPr>
      <w:r>
        <w:rPr>
          <w:u w:val="single"/>
        </w:rPr>
        <w:tab/>
      </w:r>
    </w:p>
  </w:footnote>
  <w:footnote w:type="continuationNotice" w:id="1">
    <w:p w:rsidR="005F0659" w:rsidRPr="00AC3823" w:rsidRDefault="005F0659">
      <w:pPr>
        <w:spacing w:line="240" w:lineRule="auto"/>
        <w:rPr>
          <w:sz w:val="2"/>
          <w:szCs w:val="2"/>
        </w:rPr>
      </w:pPr>
    </w:p>
  </w:footnote>
  <w:footnote w:id="2">
    <w:p w:rsidR="0077277F" w:rsidRPr="007E5C8F" w:rsidRDefault="0077277F" w:rsidP="00673731">
      <w:pPr>
        <w:pStyle w:val="FootnoteText"/>
      </w:pPr>
      <w:r>
        <w:tab/>
      </w:r>
      <w:r>
        <w:rPr>
          <w:sz w:val="20"/>
        </w:rPr>
        <w:t>*</w:t>
      </w:r>
      <w:r>
        <w:rPr>
          <w:sz w:val="20"/>
        </w:rPr>
        <w:tab/>
      </w:r>
      <w:r>
        <w:t>Conformément au programme de travail du Comité des transports intérieurs pour la période</w:t>
      </w:r>
      <w:r w:rsidR="003F6251">
        <w:t xml:space="preserve"> 2018</w:t>
      </w:r>
      <w:r w:rsidR="00CE6B6A">
        <w:noBreakHyphen/>
      </w:r>
      <w:r w:rsidR="003F6251">
        <w:t>2019 (ECE/TRANS/274, par. </w:t>
      </w:r>
      <w:r>
        <w:t>123, et ECE/TRANS/2018/21 et Add.1, module 3),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7F" w:rsidRPr="0077277F" w:rsidRDefault="00FB7A26">
    <w:pPr>
      <w:pStyle w:val="Header"/>
    </w:pPr>
    <w:r>
      <w:fldChar w:fldCharType="begin"/>
    </w:r>
    <w:r>
      <w:instrText xml:space="preserve"> TITLE  \* MERGEFORMAT </w:instrText>
    </w:r>
    <w:r>
      <w:fldChar w:fldCharType="separate"/>
    </w:r>
    <w:r w:rsidR="00B412AA">
      <w:t>ECE/TRANS/WP.29/GRPE/2018/15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7F" w:rsidRPr="0077277F" w:rsidRDefault="00FB7A26" w:rsidP="0077277F">
    <w:pPr>
      <w:pStyle w:val="Header"/>
      <w:jc w:val="right"/>
    </w:pPr>
    <w:r>
      <w:fldChar w:fldCharType="begin"/>
    </w:r>
    <w:r>
      <w:instrText xml:space="preserve"> TITLE  \* MERGEFORMAT </w:instrText>
    </w:r>
    <w:r>
      <w:fldChar w:fldCharType="separate"/>
    </w:r>
    <w:r w:rsidR="00B412AA">
      <w:t>ECE/TRANS/WP.29/GRPE/2018/15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59"/>
    <w:rsid w:val="00017F94"/>
    <w:rsid w:val="00023842"/>
    <w:rsid w:val="000334F9"/>
    <w:rsid w:val="00045FEB"/>
    <w:rsid w:val="0007796D"/>
    <w:rsid w:val="000B7790"/>
    <w:rsid w:val="00111F2F"/>
    <w:rsid w:val="0014365E"/>
    <w:rsid w:val="0014369A"/>
    <w:rsid w:val="00143C66"/>
    <w:rsid w:val="00176178"/>
    <w:rsid w:val="001F525A"/>
    <w:rsid w:val="00223272"/>
    <w:rsid w:val="0024779E"/>
    <w:rsid w:val="00257168"/>
    <w:rsid w:val="002744B8"/>
    <w:rsid w:val="002832AC"/>
    <w:rsid w:val="002D7C93"/>
    <w:rsid w:val="00305801"/>
    <w:rsid w:val="003916DE"/>
    <w:rsid w:val="003E3C7A"/>
    <w:rsid w:val="003F6251"/>
    <w:rsid w:val="00441C3B"/>
    <w:rsid w:val="00446FE5"/>
    <w:rsid w:val="00452396"/>
    <w:rsid w:val="004837D8"/>
    <w:rsid w:val="004E468C"/>
    <w:rsid w:val="005505B7"/>
    <w:rsid w:val="00573BE5"/>
    <w:rsid w:val="00586ED3"/>
    <w:rsid w:val="00596AA9"/>
    <w:rsid w:val="005F0659"/>
    <w:rsid w:val="00673731"/>
    <w:rsid w:val="0071601D"/>
    <w:rsid w:val="0077277F"/>
    <w:rsid w:val="007A62E6"/>
    <w:rsid w:val="007F20FA"/>
    <w:rsid w:val="0080684C"/>
    <w:rsid w:val="00871C75"/>
    <w:rsid w:val="00877050"/>
    <w:rsid w:val="008776DC"/>
    <w:rsid w:val="009446C0"/>
    <w:rsid w:val="009705C8"/>
    <w:rsid w:val="009B2736"/>
    <w:rsid w:val="009C1CF4"/>
    <w:rsid w:val="009F6B74"/>
    <w:rsid w:val="00A06240"/>
    <w:rsid w:val="00A30353"/>
    <w:rsid w:val="00AC3823"/>
    <w:rsid w:val="00AE323C"/>
    <w:rsid w:val="00AF0CB5"/>
    <w:rsid w:val="00B00181"/>
    <w:rsid w:val="00B00B0D"/>
    <w:rsid w:val="00B412AA"/>
    <w:rsid w:val="00B765F7"/>
    <w:rsid w:val="00BA0CA9"/>
    <w:rsid w:val="00C02897"/>
    <w:rsid w:val="00C454F3"/>
    <w:rsid w:val="00C97039"/>
    <w:rsid w:val="00CE6B6A"/>
    <w:rsid w:val="00D3439C"/>
    <w:rsid w:val="00DB1831"/>
    <w:rsid w:val="00DD3BFD"/>
    <w:rsid w:val="00DF1A3C"/>
    <w:rsid w:val="00DF6678"/>
    <w:rsid w:val="00E0299A"/>
    <w:rsid w:val="00E85C74"/>
    <w:rsid w:val="00EA6547"/>
    <w:rsid w:val="00EF2E22"/>
    <w:rsid w:val="00F35BAF"/>
    <w:rsid w:val="00F660DF"/>
    <w:rsid w:val="00F94664"/>
    <w:rsid w:val="00F9573C"/>
    <w:rsid w:val="00F95C08"/>
    <w:rsid w:val="00FA01E7"/>
    <w:rsid w:val="00FB7A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0500FE-A55E-4A0C-A141-CAD66B9F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F625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ECE/TRANS/WP.29/GRPE/2018/15</vt:lpstr>
      <vt:lpstr>ECE/TRANS/WP.29/GRPE/2018/15</vt:lpstr>
    </vt:vector>
  </TitlesOfParts>
  <Company>DCM</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ECE/TRANS/WP.29/GRPE/2018/15</dc:title>
  <dc:subject/>
  <dc:creator>Annie BEAUNEE</dc:creator>
  <cp:keywords/>
  <cp:lastModifiedBy>Benedicte Boudol</cp:lastModifiedBy>
  <cp:revision>2</cp:revision>
  <cp:lastPrinted>2018-04-18T09:25:00Z</cp:lastPrinted>
  <dcterms:created xsi:type="dcterms:W3CDTF">2018-04-19T21:39:00Z</dcterms:created>
  <dcterms:modified xsi:type="dcterms:W3CDTF">2018-04-19T21:39:00Z</dcterms:modified>
</cp:coreProperties>
</file>