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139A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139AD" w:rsidP="000139AD">
            <w:pPr>
              <w:jc w:val="right"/>
            </w:pPr>
            <w:r w:rsidRPr="000139AD">
              <w:rPr>
                <w:sz w:val="40"/>
              </w:rPr>
              <w:t>ECE</w:t>
            </w:r>
            <w:r>
              <w:t>/TRANS/WP.29/GRPE/2018/18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139AD" w:rsidP="00C97039">
            <w:pPr>
              <w:spacing w:before="240"/>
            </w:pPr>
            <w:r>
              <w:t>Distr. générale</w:t>
            </w:r>
          </w:p>
          <w:p w:rsidR="000139AD" w:rsidRDefault="000139AD" w:rsidP="000139AD">
            <w:pPr>
              <w:spacing w:line="240" w:lineRule="exact"/>
            </w:pPr>
            <w:r>
              <w:t>26 mars 2018</w:t>
            </w:r>
          </w:p>
          <w:p w:rsidR="000139AD" w:rsidRDefault="000139AD" w:rsidP="000139AD">
            <w:pPr>
              <w:spacing w:line="240" w:lineRule="exact"/>
            </w:pPr>
            <w:r>
              <w:t>Français</w:t>
            </w:r>
          </w:p>
          <w:p w:rsidR="000139AD" w:rsidRPr="00DB58B5" w:rsidRDefault="000139AD" w:rsidP="000139A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E43F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139AD" w:rsidRPr="000139AD" w:rsidRDefault="000139AD" w:rsidP="000139AD">
      <w:pPr>
        <w:tabs>
          <w:tab w:val="left" w:pos="567"/>
          <w:tab w:val="left" w:pos="1134"/>
        </w:tabs>
        <w:kinsoku/>
        <w:overflowPunct/>
        <w:autoSpaceDE/>
        <w:autoSpaceDN/>
        <w:adjustRightInd/>
        <w:snapToGrid/>
        <w:spacing w:before="120"/>
        <w:rPr>
          <w:rFonts w:eastAsia="Times New Roman"/>
          <w:b/>
          <w:sz w:val="28"/>
          <w:szCs w:val="22"/>
        </w:rPr>
      </w:pPr>
      <w:r w:rsidRPr="000139AD">
        <w:rPr>
          <w:rFonts w:eastAsia="Times New Roman"/>
          <w:b/>
          <w:sz w:val="24"/>
          <w:lang w:val="fr-FR"/>
        </w:rPr>
        <w:t>Forum mondial de l</w:t>
      </w:r>
      <w:r w:rsidR="004E43FF">
        <w:rPr>
          <w:rFonts w:eastAsia="Times New Roman"/>
          <w:b/>
          <w:sz w:val="24"/>
          <w:lang w:val="fr-FR"/>
        </w:rPr>
        <w:t>’</w:t>
      </w:r>
      <w:r w:rsidRPr="000139AD">
        <w:rPr>
          <w:rFonts w:eastAsia="Times New Roman"/>
          <w:b/>
          <w:sz w:val="24"/>
          <w:lang w:val="fr-FR"/>
        </w:rPr>
        <w:t xml:space="preserve">harmonisation des Règlements </w:t>
      </w:r>
      <w:r w:rsidRPr="000139AD">
        <w:rPr>
          <w:rFonts w:eastAsia="Times New Roman"/>
          <w:b/>
          <w:sz w:val="24"/>
          <w:lang w:val="fr-FR"/>
        </w:rPr>
        <w:br/>
        <w:t xml:space="preserve">concernant les véhicules </w:t>
      </w:r>
    </w:p>
    <w:p w:rsidR="000139AD" w:rsidRPr="000139AD" w:rsidRDefault="000139AD" w:rsidP="000139AD">
      <w:pPr>
        <w:tabs>
          <w:tab w:val="left" w:pos="567"/>
          <w:tab w:val="left" w:pos="1134"/>
        </w:tabs>
        <w:kinsoku/>
        <w:overflowPunct/>
        <w:autoSpaceDE/>
        <w:autoSpaceDN/>
        <w:adjustRightInd/>
        <w:snapToGrid/>
        <w:spacing w:before="120" w:after="120"/>
        <w:rPr>
          <w:rFonts w:eastAsia="Times New Roman"/>
          <w:b/>
          <w:bCs/>
        </w:rPr>
      </w:pPr>
      <w:r w:rsidRPr="000139AD">
        <w:rPr>
          <w:rFonts w:eastAsia="Times New Roman"/>
          <w:b/>
          <w:lang w:val="fr-FR"/>
        </w:rPr>
        <w:t>Groupe de travail de la pollution et de l</w:t>
      </w:r>
      <w:r w:rsidR="004E43FF">
        <w:rPr>
          <w:rFonts w:eastAsia="Times New Roman"/>
          <w:b/>
          <w:lang w:val="fr-FR"/>
        </w:rPr>
        <w:t>’</w:t>
      </w:r>
      <w:r w:rsidRPr="000139AD">
        <w:rPr>
          <w:rFonts w:eastAsia="Times New Roman"/>
          <w:b/>
          <w:lang w:val="fr-FR"/>
        </w:rPr>
        <w:t xml:space="preserve">énergie </w:t>
      </w:r>
    </w:p>
    <w:p w:rsidR="000139AD" w:rsidRPr="000139AD" w:rsidRDefault="000139AD" w:rsidP="000139AD">
      <w:pPr>
        <w:kinsoku/>
        <w:overflowPunct/>
        <w:autoSpaceDE/>
        <w:autoSpaceDN/>
        <w:adjustRightInd/>
        <w:snapToGrid/>
        <w:rPr>
          <w:rFonts w:eastAsia="Times New Roman"/>
          <w:b/>
        </w:rPr>
      </w:pPr>
      <w:r w:rsidRPr="000139AD">
        <w:rPr>
          <w:rFonts w:eastAsia="Times New Roman"/>
          <w:b/>
          <w:lang w:val="fr-FR"/>
        </w:rPr>
        <w:t>Soixante-dix-septième session</w:t>
      </w:r>
    </w:p>
    <w:p w:rsidR="000139AD" w:rsidRPr="000139AD" w:rsidRDefault="000139AD" w:rsidP="000139AD">
      <w:pPr>
        <w:kinsoku/>
        <w:overflowPunct/>
        <w:autoSpaceDE/>
        <w:autoSpaceDN/>
        <w:adjustRightInd/>
        <w:snapToGrid/>
        <w:rPr>
          <w:rFonts w:eastAsia="Times New Roman"/>
        </w:rPr>
      </w:pPr>
      <w:r w:rsidRPr="000139AD">
        <w:rPr>
          <w:rFonts w:eastAsia="Times New Roman"/>
          <w:lang w:val="fr-FR"/>
        </w:rPr>
        <w:t>Genève, 6-8 juin 2018</w:t>
      </w:r>
    </w:p>
    <w:p w:rsidR="000139AD" w:rsidRPr="000139AD" w:rsidRDefault="000139AD" w:rsidP="000139AD">
      <w:pPr>
        <w:tabs>
          <w:tab w:val="left" w:pos="567"/>
          <w:tab w:val="left" w:pos="1134"/>
        </w:tabs>
        <w:kinsoku/>
        <w:overflowPunct/>
        <w:autoSpaceDE/>
        <w:autoSpaceDN/>
        <w:adjustRightInd/>
        <w:snapToGrid/>
        <w:rPr>
          <w:rFonts w:eastAsia="Times New Roman"/>
          <w:bCs/>
        </w:rPr>
      </w:pPr>
      <w:r w:rsidRPr="000139AD">
        <w:rPr>
          <w:rFonts w:eastAsia="Times New Roman"/>
          <w:lang w:val="fr-FR"/>
        </w:rPr>
        <w:t>Point 3 a) de l</w:t>
      </w:r>
      <w:r w:rsidR="004E43FF">
        <w:rPr>
          <w:rFonts w:eastAsia="Times New Roman"/>
          <w:lang w:val="fr-FR"/>
        </w:rPr>
        <w:t>’</w:t>
      </w:r>
      <w:r w:rsidRPr="000139AD">
        <w:rPr>
          <w:rFonts w:eastAsia="Times New Roman"/>
          <w:lang w:val="fr-FR"/>
        </w:rPr>
        <w:t>ordre du jour provisoire</w:t>
      </w:r>
    </w:p>
    <w:p w:rsidR="000139AD" w:rsidRPr="000139AD" w:rsidRDefault="000139AD" w:rsidP="000139AD">
      <w:pPr>
        <w:kinsoku/>
        <w:overflowPunct/>
        <w:autoSpaceDE/>
        <w:autoSpaceDN/>
        <w:adjustRightInd/>
        <w:snapToGrid/>
        <w:rPr>
          <w:rFonts w:eastAsia="Times New Roman"/>
          <w:b/>
          <w:bCs/>
        </w:rPr>
      </w:pPr>
      <w:r w:rsidRPr="000139AD">
        <w:rPr>
          <w:rFonts w:eastAsia="Times New Roman"/>
          <w:b/>
          <w:lang w:val="fr-FR"/>
        </w:rPr>
        <w:t xml:space="preserve">Véhicules légers </w:t>
      </w:r>
      <w:r w:rsidR="004E43FF">
        <w:rPr>
          <w:rFonts w:eastAsia="Times New Roman"/>
          <w:b/>
          <w:lang w:val="fr-FR"/>
        </w:rPr>
        <w:t>−</w:t>
      </w:r>
      <w:r w:rsidRPr="000139AD">
        <w:rPr>
          <w:rFonts w:eastAsia="Times New Roman"/>
          <w:b/>
          <w:lang w:val="fr-FR"/>
        </w:rPr>
        <w:t xml:space="preserve"> Règlements n</w:t>
      </w:r>
      <w:r w:rsidRPr="000139AD">
        <w:rPr>
          <w:rFonts w:eastAsia="Times New Roman"/>
          <w:b/>
          <w:vertAlign w:val="superscript"/>
          <w:lang w:val="fr-FR"/>
        </w:rPr>
        <w:t>os</w:t>
      </w:r>
      <w:r w:rsidRPr="000139AD">
        <w:rPr>
          <w:rFonts w:eastAsia="Times New Roman"/>
          <w:b/>
          <w:lang w:val="fr-FR"/>
        </w:rPr>
        <w:t xml:space="preserve"> 68 (Mesure de la vitesse </w:t>
      </w:r>
      <w:r w:rsidRPr="000139AD">
        <w:rPr>
          <w:rFonts w:eastAsia="Times New Roman"/>
          <w:b/>
          <w:lang w:val="fr-FR"/>
        </w:rPr>
        <w:br/>
        <w:t xml:space="preserve">maximale des véhicules à moteur, y compris les véhicules </w:t>
      </w:r>
      <w:r w:rsidRPr="000139AD">
        <w:rPr>
          <w:rFonts w:eastAsia="Times New Roman"/>
          <w:b/>
          <w:lang w:val="fr-FR"/>
        </w:rPr>
        <w:br/>
        <w:t xml:space="preserve">électriques purs), 83 (Émissions polluantes des véhicules </w:t>
      </w:r>
      <w:r w:rsidRPr="000139AD">
        <w:rPr>
          <w:rFonts w:eastAsia="Times New Roman"/>
          <w:b/>
          <w:lang w:val="fr-FR"/>
        </w:rPr>
        <w:br/>
        <w:t>des catégories M</w:t>
      </w:r>
      <w:r w:rsidRPr="000139AD">
        <w:rPr>
          <w:rFonts w:eastAsia="Times New Roman"/>
          <w:b/>
          <w:vertAlign w:val="subscript"/>
          <w:lang w:val="fr-FR"/>
        </w:rPr>
        <w:t>1</w:t>
      </w:r>
      <w:r w:rsidRPr="000139AD">
        <w:rPr>
          <w:rFonts w:eastAsia="Times New Roman"/>
          <w:b/>
          <w:lang w:val="fr-FR"/>
        </w:rPr>
        <w:t xml:space="preserve"> et N</w:t>
      </w:r>
      <w:r w:rsidRPr="000139AD">
        <w:rPr>
          <w:rFonts w:eastAsia="Times New Roman"/>
          <w:b/>
          <w:vertAlign w:val="subscript"/>
          <w:lang w:val="fr-FR"/>
        </w:rPr>
        <w:t>1</w:t>
      </w:r>
      <w:r w:rsidRPr="000139AD">
        <w:rPr>
          <w:rFonts w:eastAsia="Times New Roman"/>
          <w:b/>
          <w:lang w:val="fr-FR"/>
        </w:rPr>
        <w:t>), 101 (Émissions de CO</w:t>
      </w:r>
      <w:r w:rsidRPr="000139AD">
        <w:rPr>
          <w:rFonts w:eastAsia="Times New Roman"/>
          <w:b/>
          <w:vertAlign w:val="subscript"/>
          <w:lang w:val="fr-FR"/>
        </w:rPr>
        <w:t>2</w:t>
      </w:r>
      <w:r w:rsidRPr="000139AD">
        <w:rPr>
          <w:rFonts w:eastAsia="Times New Roman"/>
          <w:b/>
          <w:lang w:val="fr-FR"/>
        </w:rPr>
        <w:t xml:space="preserve">/consommation </w:t>
      </w:r>
      <w:r w:rsidRPr="000139AD">
        <w:rPr>
          <w:rFonts w:eastAsia="Times New Roman"/>
          <w:b/>
          <w:lang w:val="fr-FR"/>
        </w:rPr>
        <w:br/>
        <w:t>de carburant) et 103 (Catalyseurs de remplacement)</w:t>
      </w:r>
    </w:p>
    <w:p w:rsidR="000139AD" w:rsidRPr="000139AD" w:rsidRDefault="000139AD" w:rsidP="000139AD">
      <w:pPr>
        <w:pStyle w:val="HChG"/>
      </w:pPr>
      <w:r w:rsidRPr="000139AD">
        <w:rPr>
          <w:lang w:val="fr-FR"/>
        </w:rPr>
        <w:tab/>
      </w:r>
      <w:r w:rsidRPr="000139AD">
        <w:rPr>
          <w:lang w:val="fr-FR"/>
        </w:rPr>
        <w:tab/>
        <w:t xml:space="preserve">Proposition de nouveau complément aux séries 03, 04, 05, </w:t>
      </w:r>
      <w:r w:rsidRPr="000139AD">
        <w:rPr>
          <w:lang w:val="fr-FR"/>
        </w:rPr>
        <w:br/>
        <w:t>06 et 07 d</w:t>
      </w:r>
      <w:r w:rsidR="004E43FF">
        <w:rPr>
          <w:lang w:val="fr-FR"/>
        </w:rPr>
        <w:t>’</w:t>
      </w:r>
      <w:r w:rsidRPr="000139AD">
        <w:rPr>
          <w:lang w:val="fr-FR"/>
        </w:rPr>
        <w:t>amendements au Règlement n</w:t>
      </w:r>
      <w:r w:rsidRPr="000139AD">
        <w:rPr>
          <w:vertAlign w:val="superscript"/>
          <w:lang w:val="fr-FR"/>
        </w:rPr>
        <w:t>o</w:t>
      </w:r>
      <w:r w:rsidRPr="000139AD">
        <w:rPr>
          <w:lang w:val="fr-FR"/>
        </w:rPr>
        <w:t xml:space="preserve"> 83 (Émissions polluantes des véhicules des catégories M</w:t>
      </w:r>
      <w:r w:rsidRPr="000139AD">
        <w:rPr>
          <w:vertAlign w:val="subscript"/>
          <w:lang w:val="fr-FR"/>
        </w:rPr>
        <w:t>1</w:t>
      </w:r>
      <w:r w:rsidRPr="000139AD">
        <w:rPr>
          <w:lang w:val="fr-FR"/>
        </w:rPr>
        <w:t xml:space="preserve"> et N</w:t>
      </w:r>
      <w:r w:rsidRPr="000139AD">
        <w:rPr>
          <w:vertAlign w:val="subscript"/>
          <w:lang w:val="fr-FR"/>
        </w:rPr>
        <w:t>1</w:t>
      </w:r>
      <w:r w:rsidRPr="000139AD">
        <w:rPr>
          <w:lang w:val="fr-FR"/>
        </w:rPr>
        <w:t>)</w:t>
      </w:r>
    </w:p>
    <w:p w:rsidR="000139AD" w:rsidRPr="000139AD" w:rsidRDefault="000139AD" w:rsidP="000139AD">
      <w:pPr>
        <w:pStyle w:val="H1G"/>
      </w:pPr>
      <w:r w:rsidRPr="000139AD">
        <w:rPr>
          <w:lang w:val="fr-FR"/>
        </w:rPr>
        <w:tab/>
      </w:r>
      <w:r w:rsidRPr="000139AD">
        <w:rPr>
          <w:lang w:val="fr-FR"/>
        </w:rPr>
        <w:tab/>
        <w:t>Communication de l</w:t>
      </w:r>
      <w:r w:rsidR="004E43FF">
        <w:rPr>
          <w:lang w:val="fr-FR"/>
        </w:rPr>
        <w:t>’</w:t>
      </w:r>
      <w:r w:rsidRPr="000139AD">
        <w:rPr>
          <w:lang w:val="fr-FR"/>
        </w:rPr>
        <w:t>expert de l</w:t>
      </w:r>
      <w:r w:rsidR="004E43FF">
        <w:rPr>
          <w:lang w:val="fr-FR"/>
        </w:rPr>
        <w:t>’</w:t>
      </w:r>
      <w:r w:rsidRPr="000139AD">
        <w:rPr>
          <w:lang w:val="fr-FR"/>
        </w:rPr>
        <w:t>Organisation international</w:t>
      </w:r>
      <w:r>
        <w:rPr>
          <w:lang w:val="fr-FR"/>
        </w:rPr>
        <w:t>e</w:t>
      </w:r>
      <w:r>
        <w:rPr>
          <w:lang w:val="fr-FR"/>
        </w:rPr>
        <w:br/>
      </w:r>
      <w:r w:rsidRPr="000139AD">
        <w:rPr>
          <w:lang w:val="fr-FR"/>
        </w:rPr>
        <w:t>des</w:t>
      </w:r>
      <w:r>
        <w:rPr>
          <w:lang w:val="fr-FR"/>
        </w:rPr>
        <w:t xml:space="preserve"> </w:t>
      </w:r>
      <w:r w:rsidRPr="000139AD">
        <w:rPr>
          <w:lang w:val="fr-FR"/>
        </w:rPr>
        <w:t>constructeurs d</w:t>
      </w:r>
      <w:r w:rsidR="004E43FF">
        <w:rPr>
          <w:lang w:val="fr-FR"/>
        </w:rPr>
        <w:t>’</w:t>
      </w:r>
      <w:r w:rsidRPr="000139AD">
        <w:rPr>
          <w:lang w:val="fr-FR"/>
        </w:rPr>
        <w:t>automobiles</w:t>
      </w:r>
      <w:r w:rsidRPr="000139AD">
        <w:rPr>
          <w:b w:val="0"/>
          <w:sz w:val="20"/>
          <w:lang w:val="fr-FR"/>
        </w:rPr>
        <w:footnoteReference w:customMarkFollows="1" w:id="2"/>
        <w:t>*</w:t>
      </w:r>
    </w:p>
    <w:p w:rsidR="000139AD" w:rsidRDefault="000139AD" w:rsidP="000139AD">
      <w:pPr>
        <w:pStyle w:val="SingleTxtG"/>
        <w:ind w:firstLine="567"/>
        <w:rPr>
          <w:lang w:val="fr-FR"/>
        </w:rPr>
      </w:pPr>
      <w:r w:rsidRPr="000139AD">
        <w:rPr>
          <w:lang w:val="fr-FR"/>
        </w:rPr>
        <w:t>Le texte reproduit ci-après, établi par l</w:t>
      </w:r>
      <w:r w:rsidR="004E43FF">
        <w:rPr>
          <w:lang w:val="fr-FR"/>
        </w:rPr>
        <w:t>’</w:t>
      </w:r>
      <w:r w:rsidRPr="000139AD">
        <w:rPr>
          <w:lang w:val="fr-FR"/>
        </w:rPr>
        <w:t>expert de l</w:t>
      </w:r>
      <w:r w:rsidR="004E43FF">
        <w:rPr>
          <w:lang w:val="fr-FR"/>
        </w:rPr>
        <w:t>’</w:t>
      </w:r>
      <w:r w:rsidRPr="000139AD">
        <w:rPr>
          <w:lang w:val="fr-FR"/>
        </w:rPr>
        <w:t>Organisation internationale des constructeurs d</w:t>
      </w:r>
      <w:r w:rsidR="004E43FF">
        <w:rPr>
          <w:lang w:val="fr-FR"/>
        </w:rPr>
        <w:t>’</w:t>
      </w:r>
      <w:r w:rsidRPr="000139AD">
        <w:rPr>
          <w:lang w:val="fr-FR"/>
        </w:rPr>
        <w:t>automobiles (OICA), vise à modifier les dispositions relatives au temps de réaction du capteur de température du système de prélèvement à volume constant. Les modifications qu</w:t>
      </w:r>
      <w:r w:rsidR="004E43FF">
        <w:rPr>
          <w:lang w:val="fr-FR"/>
        </w:rPr>
        <w:t>’</w:t>
      </w:r>
      <w:r w:rsidRPr="000139AD">
        <w:rPr>
          <w:lang w:val="fr-FR"/>
        </w:rPr>
        <w:t>il est proposé d</w:t>
      </w:r>
      <w:r w:rsidR="004E43FF">
        <w:rPr>
          <w:lang w:val="fr-FR"/>
        </w:rPr>
        <w:t>’</w:t>
      </w:r>
      <w:r w:rsidRPr="000139AD">
        <w:rPr>
          <w:lang w:val="fr-FR"/>
        </w:rPr>
        <w:t>apporter au texte actuel du Règlement sont signalées en caractères gras pour les ajouts ou biffés pour les suppressions.</w:t>
      </w:r>
    </w:p>
    <w:p w:rsidR="000139AD" w:rsidRPr="000139AD" w:rsidRDefault="000139AD" w:rsidP="000139AD">
      <w:pPr>
        <w:pStyle w:val="HChG"/>
      </w:pPr>
      <w:r>
        <w:rPr>
          <w:lang w:val="fr-FR"/>
        </w:rPr>
        <w:br w:type="page"/>
      </w:r>
      <w:r>
        <w:rPr>
          <w:lang w:val="fr-FR"/>
        </w:rPr>
        <w:lastRenderedPageBreak/>
        <w:tab/>
        <w:t>I.</w:t>
      </w:r>
      <w:r>
        <w:rPr>
          <w:lang w:val="fr-FR"/>
        </w:rPr>
        <w:tab/>
      </w:r>
      <w:r w:rsidRPr="000139AD">
        <w:rPr>
          <w:lang w:val="fr-FR"/>
        </w:rPr>
        <w:t>Propositions</w:t>
      </w:r>
    </w:p>
    <w:p w:rsidR="000139AD" w:rsidRPr="000139AD" w:rsidRDefault="000139AD" w:rsidP="006F515B">
      <w:pPr>
        <w:pStyle w:val="H1G"/>
      </w:pPr>
      <w:r>
        <w:rPr>
          <w:lang w:val="fr-FR"/>
        </w:rPr>
        <w:tab/>
      </w:r>
      <w:r>
        <w:t>A.</w:t>
      </w:r>
      <w:r>
        <w:tab/>
      </w:r>
      <w:r w:rsidRPr="000139AD">
        <w:t>Nouveau complément aux séries 03, 04 et 05 d</w:t>
      </w:r>
      <w:r w:rsidR="004E43FF">
        <w:t>’</w:t>
      </w:r>
      <w:r w:rsidRPr="000139AD">
        <w:t>amendements</w:t>
      </w:r>
    </w:p>
    <w:p w:rsidR="000139AD" w:rsidRPr="000139AD" w:rsidRDefault="000139AD" w:rsidP="000139AD">
      <w:pPr>
        <w:pStyle w:val="SingleTxtG"/>
      </w:pPr>
      <w:r w:rsidRPr="000139AD">
        <w:rPr>
          <w:i/>
          <w:lang w:val="fr-FR"/>
        </w:rPr>
        <w:t>Annexe 4, appendice 5, paragraphe 2.3.3.2</w:t>
      </w:r>
      <w:r w:rsidRPr="000139AD">
        <w:rPr>
          <w:lang w:val="fr-FR"/>
        </w:rPr>
        <w:t>, modifier comme suit</w:t>
      </w:r>
      <w:r>
        <w:rPr>
          <w:lang w:val="fr-FR"/>
        </w:rPr>
        <w:t> </w:t>
      </w:r>
      <w:r w:rsidRPr="000139AD">
        <w:rPr>
          <w:lang w:val="fr-FR"/>
        </w:rPr>
        <w:t>:</w:t>
      </w:r>
    </w:p>
    <w:p w:rsidR="000139AD" w:rsidRPr="000139AD" w:rsidRDefault="000139AD" w:rsidP="000139AD">
      <w:pPr>
        <w:pStyle w:val="SingleTxtG"/>
        <w:ind w:left="2268" w:hanging="1134"/>
      </w:pPr>
      <w:r w:rsidRPr="000139AD">
        <w:rPr>
          <w:lang w:val="fr-FR"/>
        </w:rPr>
        <w:t>« </w:t>
      </w:r>
      <w:r>
        <w:rPr>
          <w:lang w:val="fr-FR"/>
        </w:rPr>
        <w:t>2.3.3.2</w:t>
      </w:r>
      <w:r w:rsidRPr="000139AD">
        <w:rPr>
          <w:lang w:val="fr-FR"/>
        </w:rPr>
        <w:tab/>
        <w:t>Un capteur de température doit être installé immédiatement en amont du dispositif de mesure du volume. L</w:t>
      </w:r>
      <w:r w:rsidR="004E43FF">
        <w:rPr>
          <w:lang w:val="fr-FR"/>
        </w:rPr>
        <w:t>’</w:t>
      </w:r>
      <w:r w:rsidRPr="000139AD">
        <w:rPr>
          <w:lang w:val="fr-FR"/>
        </w:rPr>
        <w:t xml:space="preserve">exactitude et la fidélité de ce capteur doivent être de ± 1 °C, et son temps de réaction doit être de </w:t>
      </w:r>
      <w:r w:rsidRPr="000139AD">
        <w:rPr>
          <w:strike/>
          <w:lang w:val="fr-FR"/>
        </w:rPr>
        <w:t>0,1 s</w:t>
      </w:r>
      <w:r w:rsidRPr="000139AD">
        <w:rPr>
          <w:lang w:val="fr-FR"/>
        </w:rPr>
        <w:t xml:space="preserve"> </w:t>
      </w:r>
      <w:r w:rsidRPr="000139AD">
        <w:rPr>
          <w:b/>
          <w:bCs/>
          <w:lang w:val="fr-FR"/>
        </w:rPr>
        <w:t>moins de 1,0 s</w:t>
      </w:r>
      <w:r w:rsidRPr="000139AD">
        <w:rPr>
          <w:lang w:val="fr-FR"/>
        </w:rPr>
        <w:t xml:space="preserve"> à 62 % d</w:t>
      </w:r>
      <w:r w:rsidR="004E43FF">
        <w:rPr>
          <w:lang w:val="fr-FR"/>
        </w:rPr>
        <w:t>’</w:t>
      </w:r>
      <w:r w:rsidRPr="000139AD">
        <w:rPr>
          <w:lang w:val="fr-FR"/>
        </w:rPr>
        <w:t>une variation de température donnée (valeur mesurée dans de l</w:t>
      </w:r>
      <w:r w:rsidR="004E43FF">
        <w:rPr>
          <w:lang w:val="fr-FR"/>
        </w:rPr>
        <w:t>’</w:t>
      </w:r>
      <w:r w:rsidRPr="000139AD">
        <w:rPr>
          <w:lang w:val="fr-FR"/>
        </w:rPr>
        <w:t>huile de silicone). ».</w:t>
      </w:r>
    </w:p>
    <w:p w:rsidR="000139AD" w:rsidRPr="004E43FF" w:rsidRDefault="000139AD" w:rsidP="006F515B">
      <w:pPr>
        <w:pStyle w:val="H1G"/>
      </w:pPr>
      <w:r w:rsidRPr="004E43FF">
        <w:tab/>
        <w:t>B.</w:t>
      </w:r>
      <w:r w:rsidRPr="004E43FF">
        <w:tab/>
        <w:t>Nouveau complément aux séries 06 et 07 d</w:t>
      </w:r>
      <w:r w:rsidR="004E43FF">
        <w:t>’</w:t>
      </w:r>
      <w:r w:rsidRPr="004E43FF">
        <w:t>amendements</w:t>
      </w:r>
    </w:p>
    <w:p w:rsidR="000139AD" w:rsidRPr="000139AD" w:rsidRDefault="000139AD" w:rsidP="000139AD">
      <w:pPr>
        <w:pStyle w:val="SingleTxtG"/>
        <w:rPr>
          <w:rFonts w:eastAsia="Times New Roman"/>
          <w:i/>
        </w:rPr>
      </w:pPr>
      <w:r w:rsidRPr="000139AD">
        <w:rPr>
          <w:rFonts w:eastAsia="Times New Roman"/>
          <w:i/>
          <w:iCs/>
          <w:lang w:val="fr-FR"/>
        </w:rPr>
        <w:t>Annexe 4A, appendice 2, paragraphe 1.3.5</w:t>
      </w:r>
      <w:r w:rsidRPr="000139AD">
        <w:rPr>
          <w:rFonts w:eastAsia="Times New Roman"/>
          <w:lang w:val="fr-FR"/>
        </w:rPr>
        <w:t>, modifier comme suit</w:t>
      </w:r>
      <w:r>
        <w:rPr>
          <w:rFonts w:eastAsia="Times New Roman"/>
          <w:lang w:val="fr-FR"/>
        </w:rPr>
        <w:t> </w:t>
      </w:r>
      <w:r w:rsidRPr="000139AD">
        <w:rPr>
          <w:rFonts w:eastAsia="Times New Roman"/>
          <w:lang w:val="fr-FR"/>
        </w:rPr>
        <w:t>:</w:t>
      </w:r>
    </w:p>
    <w:p w:rsidR="000139AD" w:rsidRPr="000139AD" w:rsidRDefault="000139AD" w:rsidP="000139AD">
      <w:pPr>
        <w:pStyle w:val="SingleTxtG"/>
        <w:ind w:left="2268" w:hanging="1134"/>
        <w:rPr>
          <w:rFonts w:eastAsia="Times New Roman"/>
        </w:rPr>
      </w:pPr>
      <w:r w:rsidRPr="000139AD">
        <w:rPr>
          <w:rFonts w:eastAsia="Times New Roman"/>
          <w:lang w:val="fr-FR"/>
        </w:rPr>
        <w:t>« 1.3.5</w:t>
      </w:r>
      <w:r w:rsidRPr="000139AD">
        <w:rPr>
          <w:rFonts w:eastAsia="Times New Roman"/>
          <w:lang w:val="fr-FR"/>
        </w:rPr>
        <w:tab/>
        <w:t>Mesure du volume dans le système de dilution primaire</w:t>
      </w:r>
    </w:p>
    <w:p w:rsidR="000139AD" w:rsidRPr="000139AD" w:rsidRDefault="000139AD" w:rsidP="004E43FF">
      <w:pPr>
        <w:pStyle w:val="SingleTxtG"/>
        <w:ind w:left="2268"/>
        <w:rPr>
          <w:lang w:val="fr-FR"/>
        </w:rPr>
      </w:pPr>
      <w:r w:rsidRPr="000139AD">
        <w:rPr>
          <w:lang w:val="fr-FR"/>
        </w:rPr>
        <w:t>La méthode de mesure du volume total de gaz d</w:t>
      </w:r>
      <w:r w:rsidR="004E43FF">
        <w:rPr>
          <w:lang w:val="fr-FR"/>
        </w:rPr>
        <w:t>’</w:t>
      </w:r>
      <w:r w:rsidRPr="000139AD">
        <w:rPr>
          <w:lang w:val="fr-FR"/>
        </w:rPr>
        <w:t>échappement dilué appliquée dans le système de prélèvement à volume constant doit être telle que l</w:t>
      </w:r>
      <w:r w:rsidR="004E43FF">
        <w:rPr>
          <w:lang w:val="fr-FR"/>
        </w:rPr>
        <w:t>’</w:t>
      </w:r>
      <w:r w:rsidRPr="000139AD">
        <w:rPr>
          <w:lang w:val="fr-FR"/>
        </w:rPr>
        <w:t xml:space="preserve">exactitude soit de </w:t>
      </w:r>
      <w:r w:rsidRPr="000139AD">
        <w:rPr>
          <w:lang w:val="fr-FR"/>
        </w:rPr>
        <w:sym w:font="Symbol" w:char="F0B1"/>
      </w:r>
      <w:r w:rsidRPr="000139AD">
        <w:rPr>
          <w:lang w:val="fr-FR"/>
        </w:rPr>
        <w:t> 2 %</w:t>
      </w:r>
      <w:r w:rsidRPr="000139AD">
        <w:rPr>
          <w:rFonts w:eastAsia="Arial Unicode MS"/>
          <w:lang w:val="fr-FR"/>
        </w:rPr>
        <w:t xml:space="preserve"> dans toutes les conditions de fonctionnement. </w:t>
      </w:r>
      <w:r w:rsidRPr="000139AD">
        <w:rPr>
          <w:lang w:val="fr-FR"/>
        </w:rPr>
        <w:t>Si ce dispositif ne peut pas compenser les variations de température du mélange gaz d</w:t>
      </w:r>
      <w:r w:rsidR="004E43FF">
        <w:rPr>
          <w:lang w:val="fr-FR"/>
        </w:rPr>
        <w:t>’</w:t>
      </w:r>
      <w:r w:rsidRPr="000139AD">
        <w:rPr>
          <w:lang w:val="fr-FR"/>
        </w:rPr>
        <w:t xml:space="preserve">échappement-air de dilution au point de mesure, on doit utiliser un échangeur de chaleur pour maintenir la température à </w:t>
      </w:r>
      <w:r w:rsidRPr="000139AD">
        <w:rPr>
          <w:lang w:val="fr-FR"/>
        </w:rPr>
        <w:sym w:font="Symbol" w:char="F0B1"/>
      </w:r>
      <w:r w:rsidRPr="000139AD">
        <w:rPr>
          <w:lang w:val="fr-FR"/>
        </w:rPr>
        <w:t> 6 K de la température de fonctionnement prévue.</w:t>
      </w:r>
    </w:p>
    <w:p w:rsidR="000139AD" w:rsidRPr="000139AD" w:rsidRDefault="000139AD" w:rsidP="004E43FF">
      <w:pPr>
        <w:pStyle w:val="SingleTxtG"/>
        <w:ind w:left="2268"/>
        <w:rPr>
          <w:lang w:val="fr-FR"/>
        </w:rPr>
      </w:pPr>
      <w:r w:rsidRPr="000139AD">
        <w:rPr>
          <w:lang w:val="fr-FR"/>
        </w:rPr>
        <w:t>Si nécessaire, on peut protéger le dispositif de mesure du volume à l</w:t>
      </w:r>
      <w:r w:rsidR="004E43FF">
        <w:rPr>
          <w:lang w:val="fr-FR"/>
        </w:rPr>
        <w:t>’</w:t>
      </w:r>
      <w:r w:rsidRPr="000139AD">
        <w:rPr>
          <w:lang w:val="fr-FR"/>
        </w:rPr>
        <w:t xml:space="preserve">aide de dispositifs tels que séparateur à cyclone ou filtre à particules grossières, </w:t>
      </w:r>
      <w:r w:rsidRPr="000139AD">
        <w:rPr>
          <w:rFonts w:eastAsia="Arial Unicode MS"/>
          <w:lang w:val="fr-FR"/>
        </w:rPr>
        <w:t>etc</w:t>
      </w:r>
      <w:r w:rsidRPr="000139AD">
        <w:rPr>
          <w:lang w:val="fr-FR"/>
        </w:rPr>
        <w:t>.</w:t>
      </w:r>
    </w:p>
    <w:p w:rsidR="000139AD" w:rsidRPr="000139AD" w:rsidRDefault="000139AD" w:rsidP="004E43FF">
      <w:pPr>
        <w:pStyle w:val="SingleTxtG"/>
        <w:ind w:left="2268"/>
        <w:rPr>
          <w:lang w:val="fr-FR"/>
        </w:rPr>
      </w:pPr>
      <w:r w:rsidRPr="000139AD">
        <w:rPr>
          <w:lang w:val="fr-FR"/>
        </w:rPr>
        <w:t xml:space="preserve">Un capteur de température doit être installé immédiatement en amont du dispositif de mesure du volume. Ce capteur de température doit avoir une exactitude et une précision de </w:t>
      </w:r>
      <w:r w:rsidRPr="000139AD">
        <w:rPr>
          <w:lang w:val="fr-FR"/>
        </w:rPr>
        <w:sym w:font="Symbol" w:char="F0B1"/>
      </w:r>
      <w:r w:rsidRPr="000139AD">
        <w:rPr>
          <w:lang w:val="fr-FR"/>
        </w:rPr>
        <w:t xml:space="preserve"> 1 K et un temps de réponse de </w:t>
      </w:r>
      <w:r w:rsidRPr="000139AD">
        <w:rPr>
          <w:strike/>
          <w:lang w:val="fr-FR"/>
        </w:rPr>
        <w:t>0,1 s</w:t>
      </w:r>
      <w:r w:rsidRPr="000139AD">
        <w:rPr>
          <w:lang w:val="fr-FR"/>
        </w:rPr>
        <w:t xml:space="preserve"> </w:t>
      </w:r>
      <w:r w:rsidRPr="000139AD">
        <w:rPr>
          <w:b/>
          <w:lang w:val="fr-FR"/>
        </w:rPr>
        <w:t xml:space="preserve">moins de 1,0 s </w:t>
      </w:r>
      <w:r w:rsidRPr="000139AD">
        <w:rPr>
          <w:lang w:val="fr-FR"/>
        </w:rPr>
        <w:t>à 62 % d</w:t>
      </w:r>
      <w:r w:rsidR="004E43FF">
        <w:rPr>
          <w:lang w:val="fr-FR"/>
        </w:rPr>
        <w:t>’</w:t>
      </w:r>
      <w:r w:rsidRPr="000139AD">
        <w:rPr>
          <w:lang w:val="fr-FR"/>
        </w:rPr>
        <w:t>une variation de température donnée (valeur mesurée dans de l</w:t>
      </w:r>
      <w:r w:rsidR="004E43FF">
        <w:rPr>
          <w:lang w:val="fr-FR"/>
        </w:rPr>
        <w:t>’</w:t>
      </w:r>
      <w:r w:rsidRPr="000139AD">
        <w:rPr>
          <w:lang w:val="fr-FR"/>
        </w:rPr>
        <w:t>huile de silicone).</w:t>
      </w:r>
    </w:p>
    <w:p w:rsidR="000139AD" w:rsidRPr="000139AD" w:rsidRDefault="000139AD" w:rsidP="004E43FF">
      <w:pPr>
        <w:pStyle w:val="SingleTxtG"/>
        <w:ind w:left="2268"/>
        <w:rPr>
          <w:lang w:val="fr-FR"/>
        </w:rPr>
      </w:pPr>
      <w:r w:rsidRPr="000139AD">
        <w:rPr>
          <w:lang w:val="fr-FR"/>
        </w:rPr>
        <w:t>La détermination de la pression par rapport à la pression atmosphérique doit s</w:t>
      </w:r>
      <w:r w:rsidR="004E43FF">
        <w:rPr>
          <w:lang w:val="fr-FR"/>
        </w:rPr>
        <w:t>’</w:t>
      </w:r>
      <w:r w:rsidRPr="000139AD">
        <w:rPr>
          <w:lang w:val="fr-FR"/>
        </w:rPr>
        <w:t>effectuer en amont et, si nécessaire, en aval du dispositif de mesure du volume.</w:t>
      </w:r>
    </w:p>
    <w:p w:rsidR="000139AD" w:rsidRPr="000139AD" w:rsidRDefault="000139AD" w:rsidP="004E43FF">
      <w:pPr>
        <w:pStyle w:val="SingleTxtG"/>
        <w:ind w:left="2268"/>
      </w:pPr>
      <w:r w:rsidRPr="000139AD">
        <w:rPr>
          <w:lang w:val="fr-FR"/>
        </w:rPr>
        <w:t xml:space="preserve">Les mesures de pression doivent avoir une exactitude et une précision de </w:t>
      </w:r>
      <w:r w:rsidRPr="000139AD">
        <w:rPr>
          <w:lang w:val="fr-FR"/>
        </w:rPr>
        <w:sym w:font="Symbol" w:char="F0B1"/>
      </w:r>
      <w:r w:rsidRPr="000139AD">
        <w:rPr>
          <w:lang w:val="fr-FR"/>
        </w:rPr>
        <w:t> 0,4 kPa pendant l</w:t>
      </w:r>
      <w:r w:rsidR="004E43FF">
        <w:rPr>
          <w:lang w:val="fr-FR"/>
        </w:rPr>
        <w:t>’</w:t>
      </w:r>
      <w:r w:rsidRPr="000139AD">
        <w:rPr>
          <w:lang w:val="fr-FR"/>
        </w:rPr>
        <w:t>essai. ».</w:t>
      </w:r>
    </w:p>
    <w:p w:rsidR="000139AD" w:rsidRPr="000139AD" w:rsidRDefault="000139AD" w:rsidP="000139AD">
      <w:pPr>
        <w:pStyle w:val="HChG"/>
      </w:pPr>
      <w:r>
        <w:rPr>
          <w:lang w:val="fr-FR"/>
        </w:rPr>
        <w:tab/>
      </w:r>
      <w:r w:rsidRPr="000139AD">
        <w:rPr>
          <w:lang w:val="fr-FR"/>
        </w:rPr>
        <w:t>II.</w:t>
      </w:r>
      <w:r w:rsidRPr="000139AD">
        <w:rPr>
          <w:lang w:val="fr-FR"/>
        </w:rPr>
        <w:tab/>
        <w:t>Justification</w:t>
      </w:r>
    </w:p>
    <w:p w:rsidR="000139AD" w:rsidRPr="000139AD" w:rsidRDefault="000139AD" w:rsidP="000139AD">
      <w:pPr>
        <w:pStyle w:val="SingleTxtG"/>
      </w:pPr>
      <w:r>
        <w:rPr>
          <w:lang w:val="fr-FR"/>
        </w:rPr>
        <w:t>1.</w:t>
      </w:r>
      <w:r>
        <w:rPr>
          <w:lang w:val="fr-FR"/>
        </w:rPr>
        <w:tab/>
      </w:r>
      <w:r w:rsidRPr="000139AD">
        <w:rPr>
          <w:lang w:val="fr-FR"/>
        </w:rPr>
        <w:t>Le temps de réaction actuellement fixé à 0,1 s à 62 %, tel que mesuré dans de l</w:t>
      </w:r>
      <w:r w:rsidR="004E43FF">
        <w:rPr>
          <w:lang w:val="fr-FR"/>
        </w:rPr>
        <w:t>’</w:t>
      </w:r>
      <w:r w:rsidRPr="000139AD">
        <w:rPr>
          <w:lang w:val="fr-FR"/>
        </w:rPr>
        <w:t xml:space="preserve">huile de silicone, dépasse la capacité des capteurs de température les plus courants. Les capteurs susceptibles de satisfaire à cette prescription </w:t>
      </w:r>
      <w:r w:rsidR="004E43FF">
        <w:rPr>
          <w:lang w:val="fr-FR"/>
        </w:rPr>
        <w:t>− </w:t>
      </w:r>
      <w:r w:rsidRPr="000139AD">
        <w:rPr>
          <w:lang w:val="fr-FR"/>
        </w:rPr>
        <w:t>à savoir les</w:t>
      </w:r>
      <w:r>
        <w:rPr>
          <w:lang w:val="fr-FR"/>
        </w:rPr>
        <w:t xml:space="preserve"> thermocouples à jonction exposée</w:t>
      </w:r>
      <w:r w:rsidR="004E43FF">
        <w:rPr>
          <w:lang w:val="fr-FR"/>
        </w:rPr>
        <w:t> −</w:t>
      </w:r>
      <w:r w:rsidRPr="000139AD">
        <w:rPr>
          <w:lang w:val="fr-FR"/>
        </w:rPr>
        <w:t xml:space="preserve"> présentent plusieurs inconvénients. Ils sont notamment plus difficiles à étalonner avec une précision suffisante, plus sensibles aux interférences électromagnétiques et moins résistants à l</w:t>
      </w:r>
      <w:r w:rsidR="004E43FF">
        <w:rPr>
          <w:lang w:val="fr-FR"/>
        </w:rPr>
        <w:t>’</w:t>
      </w:r>
      <w:r w:rsidRPr="000139AD">
        <w:rPr>
          <w:lang w:val="fr-FR"/>
        </w:rPr>
        <w:t>humidité et aux composants chimiques des gaz d</w:t>
      </w:r>
      <w:r w:rsidR="004E43FF">
        <w:rPr>
          <w:lang w:val="fr-FR"/>
        </w:rPr>
        <w:t>’</w:t>
      </w:r>
      <w:r w:rsidRPr="000139AD">
        <w:rPr>
          <w:lang w:val="fr-FR"/>
        </w:rPr>
        <w:t xml:space="preserve">échappement dilués. </w:t>
      </w:r>
    </w:p>
    <w:p w:rsidR="000139AD" w:rsidRPr="000139AD" w:rsidRDefault="000139AD" w:rsidP="000139AD">
      <w:pPr>
        <w:pStyle w:val="SingleTxtG"/>
      </w:pPr>
      <w:r>
        <w:rPr>
          <w:lang w:val="fr-FR"/>
        </w:rPr>
        <w:t>2.</w:t>
      </w:r>
      <w:r>
        <w:rPr>
          <w:lang w:val="fr-FR"/>
        </w:rPr>
        <w:tab/>
      </w:r>
      <w:r w:rsidRPr="000139AD">
        <w:rPr>
          <w:lang w:val="fr-FR"/>
        </w:rPr>
        <w:t>La mesure du volume total de gaz d</w:t>
      </w:r>
      <w:r w:rsidR="004E43FF">
        <w:rPr>
          <w:lang w:val="fr-FR"/>
        </w:rPr>
        <w:t>’</w:t>
      </w:r>
      <w:r w:rsidRPr="000139AD">
        <w:rPr>
          <w:lang w:val="fr-FR"/>
        </w:rPr>
        <w:t xml:space="preserve">échappement dilués </w:t>
      </w:r>
      <w:r>
        <w:rPr>
          <w:lang w:val="fr-FR"/>
        </w:rPr>
        <w:t xml:space="preserve">doit être exacte à </w:t>
      </w:r>
      <w:r w:rsidRPr="000139AD">
        <w:rPr>
          <w:lang w:val="fr-FR"/>
        </w:rPr>
        <w:t>± 2 % près au maximum dans toutes les conditions de fonctionnement. Il serait donc possible de considérer comme une contrainte supplémentaire inutile de fixer un temps de réaction pour le capteur de température, qui, dans les conditions les plus fréquentes, n</w:t>
      </w:r>
      <w:r w:rsidR="004E43FF">
        <w:rPr>
          <w:lang w:val="fr-FR"/>
        </w:rPr>
        <w:t>’</w:t>
      </w:r>
      <w:r w:rsidRPr="000139AD">
        <w:rPr>
          <w:lang w:val="fr-FR"/>
        </w:rPr>
        <w:t>a qu</w:t>
      </w:r>
      <w:r w:rsidR="004E43FF">
        <w:rPr>
          <w:lang w:val="fr-FR"/>
        </w:rPr>
        <w:t>’</w:t>
      </w:r>
      <w:r w:rsidRPr="000139AD">
        <w:rPr>
          <w:lang w:val="fr-FR"/>
        </w:rPr>
        <w:t>un faible effet sur l</w:t>
      </w:r>
      <w:r w:rsidR="004E43FF">
        <w:rPr>
          <w:lang w:val="fr-FR"/>
        </w:rPr>
        <w:t>’</w:t>
      </w:r>
      <w:r w:rsidRPr="000139AD">
        <w:rPr>
          <w:lang w:val="fr-FR"/>
        </w:rPr>
        <w:t>exactitude de la mesure du débit. Pour un système de prélèvement à volume constant par un venturi-tuyère en régime critique, la vitesse d</w:t>
      </w:r>
      <w:r w:rsidR="004E43FF">
        <w:rPr>
          <w:lang w:val="fr-FR"/>
        </w:rPr>
        <w:t>’</w:t>
      </w:r>
      <w:r w:rsidRPr="000139AD">
        <w:rPr>
          <w:lang w:val="fr-FR"/>
        </w:rPr>
        <w:t>écoulement (Q) dépend de la pression en amont (P), de la température en amont (T) et d</w:t>
      </w:r>
      <w:r w:rsidR="004E43FF">
        <w:rPr>
          <w:lang w:val="fr-FR"/>
        </w:rPr>
        <w:t>’</w:t>
      </w:r>
      <w:r w:rsidRPr="000139AD">
        <w:rPr>
          <w:lang w:val="fr-FR"/>
        </w:rPr>
        <w:t>une constante d</w:t>
      </w:r>
      <w:r w:rsidR="004E43FF">
        <w:rPr>
          <w:lang w:val="fr-FR"/>
        </w:rPr>
        <w:t>’</w:t>
      </w:r>
      <w:r w:rsidRPr="000139AD">
        <w:rPr>
          <w:lang w:val="fr-FR"/>
        </w:rPr>
        <w:t>étalonnage (Kv)</w:t>
      </w:r>
      <w:r w:rsidR="00B22929">
        <w:rPr>
          <w:lang w:val="fr-FR"/>
        </w:rPr>
        <w:t> </w:t>
      </w:r>
      <w:r w:rsidRPr="000139AD">
        <w:rPr>
          <w:lang w:val="fr-FR"/>
        </w:rPr>
        <w:t>:</w:t>
      </w:r>
    </w:p>
    <w:p w:rsidR="000139AD" w:rsidRPr="00F337C2" w:rsidRDefault="000139AD" w:rsidP="000139AD">
      <w:pPr>
        <w:kinsoku/>
        <w:overflowPunct/>
        <w:autoSpaceDE/>
        <w:autoSpaceDN/>
        <w:adjustRightInd/>
        <w:snapToGrid/>
        <w:spacing w:after="120"/>
        <w:ind w:left="2256" w:right="1134" w:hanging="567"/>
        <w:jc w:val="center"/>
        <w:rPr>
          <w:rFonts w:eastAsia="Times New Roman"/>
          <w:sz w:val="22"/>
          <w:szCs w:val="22"/>
          <w:lang w:val="fr-FR"/>
        </w:rPr>
      </w:pPr>
      <m:oMathPara>
        <m:oMath>
          <m:r>
            <w:rPr>
              <w:rFonts w:ascii="Cambria Math" w:eastAsia="Calibri" w:hAnsi="Cambria Math"/>
              <w:sz w:val="22"/>
              <w:szCs w:val="22"/>
              <w:lang w:val="fr-FR"/>
            </w:rPr>
            <w:lastRenderedPageBreak/>
            <m:t xml:space="preserve">Q= </m:t>
          </m:r>
          <m:sSub>
            <m:sSubPr>
              <m:ctrlPr>
                <w:rPr>
                  <w:rFonts w:ascii="Cambria Math" w:eastAsia="Calibri" w:hAnsi="Cambria Math"/>
                  <w:i/>
                  <w:sz w:val="22"/>
                  <w:szCs w:val="22"/>
                  <w:lang w:val="fr-FR"/>
                </w:rPr>
              </m:ctrlPr>
            </m:sSubPr>
            <m:e>
              <m:r>
                <w:rPr>
                  <w:rFonts w:ascii="Cambria Math" w:eastAsia="Calibri" w:hAnsi="Cambria Math"/>
                  <w:sz w:val="22"/>
                  <w:szCs w:val="22"/>
                  <w:lang w:val="fr-FR"/>
                </w:rPr>
                <m:t>K</m:t>
              </m:r>
            </m:e>
            <m:sub>
              <m:r>
                <w:rPr>
                  <w:rFonts w:ascii="Cambria Math" w:eastAsia="Calibri" w:hAnsi="Cambria Math"/>
                  <w:sz w:val="22"/>
                  <w:szCs w:val="22"/>
                  <w:lang w:val="fr-FR"/>
                </w:rPr>
                <m:t>v</m:t>
              </m:r>
            </m:sub>
          </m:sSub>
          <m:f>
            <m:fPr>
              <m:ctrlPr>
                <w:rPr>
                  <w:rFonts w:ascii="Cambria Math" w:eastAsia="Calibri" w:hAnsi="Cambria Math"/>
                  <w:i/>
                  <w:sz w:val="22"/>
                  <w:szCs w:val="22"/>
                  <w:lang w:val="fr-FR"/>
                </w:rPr>
              </m:ctrlPr>
            </m:fPr>
            <m:num>
              <m:r>
                <w:rPr>
                  <w:rFonts w:ascii="Cambria Math" w:eastAsia="Calibri" w:hAnsi="Cambria Math"/>
                  <w:sz w:val="22"/>
                  <w:szCs w:val="22"/>
                  <w:lang w:val="fr-FR"/>
                </w:rPr>
                <m:t>P</m:t>
              </m:r>
            </m:num>
            <m:den>
              <m:rad>
                <m:radPr>
                  <m:degHide m:val="1"/>
                  <m:ctrlPr>
                    <w:rPr>
                      <w:rFonts w:ascii="Cambria Math" w:eastAsia="Calibri" w:hAnsi="Cambria Math"/>
                      <w:i/>
                      <w:sz w:val="22"/>
                      <w:szCs w:val="22"/>
                      <w:lang w:val="fr-FR"/>
                    </w:rPr>
                  </m:ctrlPr>
                </m:radPr>
                <m:deg/>
                <m:e>
                  <m:r>
                    <w:rPr>
                      <w:rFonts w:ascii="Cambria Math" w:eastAsia="Calibri" w:hAnsi="Cambria Math"/>
                      <w:sz w:val="22"/>
                      <w:szCs w:val="22"/>
                      <w:lang w:val="fr-FR"/>
                    </w:rPr>
                    <m:t>T</m:t>
                  </m:r>
                </m:e>
              </m:rad>
            </m:den>
          </m:f>
        </m:oMath>
      </m:oMathPara>
    </w:p>
    <w:p w:rsidR="000139AD" w:rsidRPr="000139AD" w:rsidRDefault="000139AD" w:rsidP="000139AD">
      <w:pPr>
        <w:pStyle w:val="SingleTxtG"/>
      </w:pPr>
      <w:r w:rsidRPr="000139AD">
        <w:rPr>
          <w:lang w:val="fr-FR"/>
        </w:rPr>
        <w:t>Il est possible de calculer comme suit la propagation d</w:t>
      </w:r>
      <w:r w:rsidR="004E43FF">
        <w:rPr>
          <w:lang w:val="fr-FR"/>
        </w:rPr>
        <w:t>’</w:t>
      </w:r>
      <w:r w:rsidRPr="000139AD">
        <w:rPr>
          <w:lang w:val="fr-FR"/>
        </w:rPr>
        <w:t>une erreur de mesure de la température :</w:t>
      </w:r>
    </w:p>
    <w:p w:rsidR="000139AD" w:rsidRPr="000139AD" w:rsidRDefault="003F7B57" w:rsidP="000139AD">
      <w:pPr>
        <w:kinsoku/>
        <w:overflowPunct/>
        <w:autoSpaceDE/>
        <w:autoSpaceDN/>
        <w:adjustRightInd/>
        <w:snapToGrid/>
        <w:spacing w:after="120"/>
        <w:ind w:left="2256" w:right="1134" w:hanging="567"/>
        <w:jc w:val="center"/>
        <w:rPr>
          <w:rFonts w:eastAsia="Times New Roman"/>
          <w:lang w:val="fr-FR"/>
        </w:rPr>
      </w:pPr>
      <m:oMathPara>
        <m:oMath>
          <m:f>
            <m:fPr>
              <m:ctrlPr>
                <w:rPr>
                  <w:rFonts w:ascii="Cambria Math" w:eastAsia="Times New Roman" w:hAnsi="Cambria Math"/>
                  <w:i/>
                  <w:sz w:val="22"/>
                  <w:szCs w:val="22"/>
                  <w:lang w:val="fr-FR"/>
                </w:rPr>
              </m:ctrlPr>
            </m:fPr>
            <m:num>
              <m:sSub>
                <m:sSubPr>
                  <m:ctrlPr>
                    <w:rPr>
                      <w:rFonts w:ascii="Cambria Math" w:eastAsia="Times New Roman" w:hAnsi="Cambria Math"/>
                      <w:i/>
                      <w:sz w:val="22"/>
                      <w:szCs w:val="22"/>
                      <w:lang w:val="fr-FR"/>
                    </w:rPr>
                  </m:ctrlPr>
                </m:sSubPr>
                <m:e>
                  <m:r>
                    <w:rPr>
                      <w:rFonts w:ascii="Cambria Math" w:eastAsia="Times New Roman" w:hAnsi="Cambria Math"/>
                      <w:sz w:val="22"/>
                      <w:szCs w:val="22"/>
                      <w:lang w:val="fr-FR"/>
                    </w:rPr>
                    <m:t>σ</m:t>
                  </m:r>
                </m:e>
                <m:sub>
                  <m:r>
                    <w:rPr>
                      <w:rFonts w:ascii="Cambria Math" w:eastAsia="Times New Roman" w:hAnsi="Cambria Math"/>
                      <w:sz w:val="22"/>
                      <w:szCs w:val="22"/>
                      <w:lang w:val="fr-FR"/>
                    </w:rPr>
                    <m:t>Q</m:t>
                  </m:r>
                </m:sub>
              </m:sSub>
            </m:num>
            <m:den>
              <m:r>
                <w:rPr>
                  <w:rFonts w:ascii="Cambria Math" w:eastAsia="Times New Roman" w:hAnsi="Cambria Math"/>
                  <w:sz w:val="22"/>
                  <w:szCs w:val="22"/>
                  <w:lang w:val="fr-FR"/>
                </w:rPr>
                <m:t>Q</m:t>
              </m:r>
            </m:den>
          </m:f>
          <m:r>
            <w:rPr>
              <w:rFonts w:ascii="Cambria Math" w:eastAsia="Times New Roman" w:hAnsi="Cambria Math"/>
              <w:sz w:val="22"/>
              <w:szCs w:val="22"/>
              <w:lang w:val="fr-FR"/>
            </w:rPr>
            <m:t xml:space="preserve">= </m:t>
          </m:r>
          <m:f>
            <m:fPr>
              <m:ctrlPr>
                <w:rPr>
                  <w:rFonts w:ascii="Cambria Math" w:eastAsia="Times New Roman" w:hAnsi="Cambria Math"/>
                  <w:i/>
                  <w:sz w:val="22"/>
                  <w:szCs w:val="22"/>
                  <w:lang w:val="fr-FR"/>
                </w:rPr>
              </m:ctrlPr>
            </m:fPr>
            <m:num>
              <m:r>
                <w:rPr>
                  <w:rFonts w:ascii="Cambria Math" w:eastAsia="Times New Roman" w:hAnsi="Cambria Math"/>
                  <w:sz w:val="22"/>
                  <w:szCs w:val="22"/>
                  <w:lang w:val="fr-FR"/>
                </w:rPr>
                <m:t>1</m:t>
              </m:r>
            </m:num>
            <m:den>
              <m:r>
                <w:rPr>
                  <w:rFonts w:ascii="Cambria Math" w:eastAsia="Times New Roman" w:hAnsi="Cambria Math"/>
                  <w:sz w:val="22"/>
                  <w:szCs w:val="22"/>
                  <w:lang w:val="fr-FR"/>
                </w:rPr>
                <m:t>2</m:t>
              </m:r>
            </m:den>
          </m:f>
          <m:d>
            <m:dPr>
              <m:ctrlPr>
                <w:rPr>
                  <w:rFonts w:ascii="Cambria Math" w:eastAsia="Times New Roman" w:hAnsi="Cambria Math"/>
                  <w:i/>
                  <w:sz w:val="22"/>
                  <w:szCs w:val="22"/>
                  <w:lang w:val="fr-FR"/>
                </w:rPr>
              </m:ctrlPr>
            </m:dPr>
            <m:e>
              <m:f>
                <m:fPr>
                  <m:ctrlPr>
                    <w:rPr>
                      <w:rFonts w:ascii="Cambria Math" w:eastAsia="Times New Roman" w:hAnsi="Cambria Math"/>
                      <w:i/>
                      <w:sz w:val="22"/>
                      <w:szCs w:val="22"/>
                      <w:lang w:val="fr-FR"/>
                    </w:rPr>
                  </m:ctrlPr>
                </m:fPr>
                <m:num>
                  <m:sSub>
                    <m:sSubPr>
                      <m:ctrlPr>
                        <w:rPr>
                          <w:rFonts w:ascii="Cambria Math" w:eastAsia="Times New Roman" w:hAnsi="Cambria Math"/>
                          <w:i/>
                          <w:sz w:val="22"/>
                          <w:szCs w:val="22"/>
                          <w:lang w:val="fr-FR"/>
                        </w:rPr>
                      </m:ctrlPr>
                    </m:sSubPr>
                    <m:e>
                      <m:r>
                        <w:rPr>
                          <w:rFonts w:ascii="Cambria Math" w:eastAsia="Times New Roman" w:hAnsi="Cambria Math"/>
                          <w:sz w:val="22"/>
                          <w:szCs w:val="22"/>
                          <w:lang w:val="fr-FR"/>
                        </w:rPr>
                        <m:t>σ</m:t>
                      </m:r>
                    </m:e>
                    <m:sub>
                      <m:r>
                        <w:rPr>
                          <w:rFonts w:ascii="Cambria Math" w:eastAsia="Times New Roman" w:hAnsi="Cambria Math"/>
                          <w:sz w:val="22"/>
                          <w:szCs w:val="22"/>
                          <w:lang w:val="fr-FR"/>
                        </w:rPr>
                        <m:t>T</m:t>
                      </m:r>
                    </m:sub>
                  </m:sSub>
                </m:num>
                <m:den>
                  <m:r>
                    <w:rPr>
                      <w:rFonts w:ascii="Cambria Math" w:eastAsia="Times New Roman" w:hAnsi="Cambria Math"/>
                      <w:sz w:val="22"/>
                      <w:szCs w:val="22"/>
                      <w:lang w:val="fr-FR"/>
                    </w:rPr>
                    <m:t>T</m:t>
                  </m:r>
                </m:den>
              </m:f>
            </m:e>
          </m:d>
        </m:oMath>
      </m:oMathPara>
    </w:p>
    <w:p w:rsidR="000139AD" w:rsidRPr="000139AD" w:rsidRDefault="000139AD" w:rsidP="000139AD">
      <w:pPr>
        <w:pStyle w:val="SingleTxtG"/>
      </w:pPr>
      <w:r>
        <w:t>3.</w:t>
      </w:r>
      <w:r>
        <w:tab/>
      </w:r>
      <w:r w:rsidRPr="000139AD">
        <w:t>En raison de la présence d</w:t>
      </w:r>
      <w:r w:rsidR="004E43FF">
        <w:t>’</w:t>
      </w:r>
      <w:r w:rsidRPr="000139AD">
        <w:t>un facteur de 0,5, la contribution d</w:t>
      </w:r>
      <w:r w:rsidR="004E43FF">
        <w:t>’</w:t>
      </w:r>
      <w:r w:rsidRPr="000139AD">
        <w:t>une erreur de mesure de la température à l</w:t>
      </w:r>
      <w:r w:rsidR="004E43FF">
        <w:t>’</w:t>
      </w:r>
      <w:r w:rsidRPr="000139AD">
        <w:t>erreur de la mesure de la vitesse d</w:t>
      </w:r>
      <w:r w:rsidR="004E43FF">
        <w:t>’</w:t>
      </w:r>
      <w:r w:rsidRPr="000139AD">
        <w:t>écoulement est réduite de moitié. La mesure de la vitesse d</w:t>
      </w:r>
      <w:r w:rsidR="004E43FF">
        <w:t>’</w:t>
      </w:r>
      <w:r w:rsidRPr="000139AD">
        <w:t>écoulement est donc peu sensible à d</w:t>
      </w:r>
      <w:r w:rsidR="004E43FF">
        <w:t>’</w:t>
      </w:r>
      <w:r w:rsidRPr="000139AD">
        <w:t>éventuelles erreurs de mesure de la température. En outre, pour l</w:t>
      </w:r>
      <w:r w:rsidR="004E43FF">
        <w:t>’</w:t>
      </w:r>
      <w:r w:rsidRPr="000139AD">
        <w:t>analyse des sacs, c</w:t>
      </w:r>
      <w:r w:rsidR="004E43FF">
        <w:t>’</w:t>
      </w:r>
      <w:r w:rsidRPr="000139AD">
        <w:t>est l</w:t>
      </w:r>
      <w:r w:rsidR="004E43FF">
        <w:t>’</w:t>
      </w:r>
      <w:r w:rsidRPr="000139AD">
        <w:t>erreur pondérée par le débit sur l</w:t>
      </w:r>
      <w:r w:rsidR="004E43FF">
        <w:t>’</w:t>
      </w:r>
      <w:r w:rsidRPr="000139AD">
        <w:t>ensemble du prélèvement à volume constant au cours de l</w:t>
      </w:r>
      <w:r w:rsidR="004E43FF">
        <w:t>’</w:t>
      </w:r>
      <w:r w:rsidRPr="000139AD">
        <w:t>épreuve qui est importante, et non l</w:t>
      </w:r>
      <w:r w:rsidR="004E43FF">
        <w:t>’</w:t>
      </w:r>
      <w:r w:rsidRPr="000139AD">
        <w:t>erreur de débit à un moment donné. Le tableau 1 donne les résultats de deux exemples d</w:t>
      </w:r>
      <w:r w:rsidR="004E43FF">
        <w:t>’</w:t>
      </w:r>
      <w:r w:rsidRPr="000139AD">
        <w:t>épreuves de la Procédure d</w:t>
      </w:r>
      <w:r w:rsidR="004E43FF">
        <w:t>’</w:t>
      </w:r>
      <w:r w:rsidRPr="000139AD">
        <w:t>essai mondiale harmonisée pour les voitures particulières et véhicules utilitaires légers (WLTP) (phase 4) utilisant deux méthodes différentes pour simuler les effets du temps de réaction des thermocouples sur le débit total du prélèvement à volume constant. Dans le premier exemple, le débit du prélèvement à volume constant est fixé à une valeur constante qui représente un capteur de température dont le temps de réaction serait infini. Cet effet a été simulé à deux reprises en fixant le débit du prélèvement à volume constant à des valeurs constantes respectivement égales aux débits maximum et minimum observés dans l</w:t>
      </w:r>
      <w:r w:rsidR="004E43FF">
        <w:t>’</w:t>
      </w:r>
      <w:r w:rsidRPr="000139AD">
        <w:t>épreuve de la WLTP. Le débit total au cours de l</w:t>
      </w:r>
      <w:r w:rsidR="004E43FF">
        <w:t>’</w:t>
      </w:r>
      <w:r w:rsidRPr="000139AD">
        <w:t>épreuve a été recalculé et comparé à la valeur obtenue en prenant en compte le signal fluctuant du capteur de température. Dans le deuxième exemple, le débit des données du prélèvement à volume constant est réduit de 10 Hz à 1 Hz, ce qui représente un temps de réaction plus lent mais non infini du capteur de température, et le débit total recalculé est comparé à la valeur initiale. Même dans le pire des cas (lorsque le débit constant pendant toute la durée de l</w:t>
      </w:r>
      <w:r w:rsidR="004E43FF">
        <w:t>’</w:t>
      </w:r>
      <w:r w:rsidRPr="000139AD">
        <w:t>essai est fixé à la valeur du débit minimum observé), l</w:t>
      </w:r>
      <w:r w:rsidR="004E43FF">
        <w:t>’</w:t>
      </w:r>
      <w:r w:rsidRPr="000139AD">
        <w:t xml:space="preserve">erreur sur le débit total du prélèvement à volume constant est de </w:t>
      </w:r>
      <w:r w:rsidR="006F515B">
        <w:t>-</w:t>
      </w:r>
      <w:r w:rsidRPr="000139AD">
        <w:t>1,29 %.</w:t>
      </w:r>
    </w:p>
    <w:p w:rsidR="000139AD" w:rsidRPr="00B22929" w:rsidRDefault="000139AD" w:rsidP="00B22929">
      <w:pPr>
        <w:pStyle w:val="Heading1"/>
        <w:spacing w:after="120" w:line="240" w:lineRule="atLeast"/>
        <w:rPr>
          <w:b/>
        </w:rPr>
      </w:pPr>
      <w:r w:rsidRPr="00B22929">
        <w:rPr>
          <w:lang w:val="fr-FR"/>
        </w:rPr>
        <w:t>Tableau 1</w:t>
      </w:r>
      <w:r w:rsidR="00B22929">
        <w:rPr>
          <w:b/>
          <w:lang w:val="fr-FR"/>
        </w:rPr>
        <w:br/>
      </w:r>
      <w:r w:rsidRPr="00B22929">
        <w:rPr>
          <w:b/>
          <w:lang w:val="fr-FR"/>
        </w:rPr>
        <w:t>Erreur sur le débit total du prélèvement à volum</w:t>
      </w:r>
      <w:r w:rsidR="004E43FF" w:rsidRPr="00B22929">
        <w:rPr>
          <w:b/>
          <w:lang w:val="fr-FR"/>
        </w:rPr>
        <w:t>e constant lors de deux essais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48"/>
        <w:gridCol w:w="2135"/>
        <w:gridCol w:w="1829"/>
      </w:tblGrid>
      <w:tr w:rsidR="000139AD" w:rsidRPr="000139AD" w:rsidTr="00B22929">
        <w:tc>
          <w:tcPr>
            <w:tcW w:w="4541" w:type="dxa"/>
            <w:gridSpan w:val="2"/>
            <w:tcBorders>
              <w:bottom w:val="single" w:sz="12" w:space="0" w:color="auto"/>
            </w:tcBorders>
            <w:shd w:val="clear" w:color="auto" w:fill="auto"/>
          </w:tcPr>
          <w:p w:rsidR="000139AD" w:rsidRPr="000139AD" w:rsidRDefault="000139AD" w:rsidP="004E43FF">
            <w:pPr>
              <w:kinsoku/>
              <w:overflowPunct/>
              <w:autoSpaceDE/>
              <w:autoSpaceDN/>
              <w:adjustRightInd/>
              <w:snapToGrid/>
              <w:spacing w:before="80" w:after="80" w:line="220" w:lineRule="exact"/>
              <w:ind w:right="34"/>
              <w:jc w:val="center"/>
              <w:rPr>
                <w:rFonts w:eastAsia="Times New Roman"/>
                <w:lang w:val="en-GB"/>
              </w:rPr>
            </w:pPr>
            <w:r w:rsidRPr="000139AD">
              <w:rPr>
                <w:rFonts w:eastAsia="Times New Roman"/>
                <w:lang w:val="fr-FR"/>
              </w:rPr>
              <w:t>Essai</w:t>
            </w:r>
          </w:p>
        </w:tc>
        <w:tc>
          <w:tcPr>
            <w:tcW w:w="2135" w:type="dxa"/>
            <w:tcBorders>
              <w:bottom w:val="single" w:sz="12" w:space="0" w:color="auto"/>
            </w:tcBorders>
            <w:shd w:val="clear" w:color="auto" w:fill="auto"/>
          </w:tcPr>
          <w:p w:rsidR="000139AD" w:rsidRPr="000139AD" w:rsidRDefault="00B22929" w:rsidP="00B22929">
            <w:pPr>
              <w:kinsoku/>
              <w:overflowPunct/>
              <w:autoSpaceDE/>
              <w:autoSpaceDN/>
              <w:adjustRightInd/>
              <w:snapToGrid/>
              <w:spacing w:before="80" w:after="80" w:line="220" w:lineRule="exact"/>
              <w:ind w:right="158"/>
              <w:jc w:val="center"/>
              <w:rPr>
                <w:rFonts w:eastAsia="Times New Roman"/>
              </w:rPr>
            </w:pPr>
            <w:r>
              <w:rPr>
                <w:rFonts w:eastAsia="Times New Roman"/>
                <w:lang w:val="fr-FR"/>
              </w:rPr>
              <w:t>Débit total</w:t>
            </w:r>
            <w:r>
              <w:rPr>
                <w:rFonts w:eastAsia="Times New Roman"/>
                <w:lang w:val="fr-FR"/>
              </w:rPr>
              <w:br/>
              <w:t>du prélèvement</w:t>
            </w:r>
            <w:r>
              <w:rPr>
                <w:rFonts w:eastAsia="Times New Roman"/>
                <w:lang w:val="fr-FR"/>
              </w:rPr>
              <w:br/>
            </w:r>
            <w:r w:rsidR="000139AD" w:rsidRPr="000139AD">
              <w:rPr>
                <w:rFonts w:eastAsia="Times New Roman"/>
                <w:lang w:val="fr-FR"/>
              </w:rPr>
              <w:t>à volume constant dilué</w:t>
            </w:r>
            <w:r>
              <w:rPr>
                <w:rFonts w:eastAsia="Times New Roman"/>
              </w:rPr>
              <w:br/>
            </w:r>
            <w:r w:rsidR="000139AD" w:rsidRPr="000139AD">
              <w:rPr>
                <w:rFonts w:eastAsia="Times New Roman"/>
                <w:lang w:val="fr-FR"/>
              </w:rPr>
              <w:t>(m</w:t>
            </w:r>
            <w:r w:rsidR="000139AD" w:rsidRPr="000139AD">
              <w:rPr>
                <w:rFonts w:eastAsia="Times New Roman"/>
                <w:vertAlign w:val="superscript"/>
                <w:lang w:val="fr-FR"/>
              </w:rPr>
              <w:t>3</w:t>
            </w:r>
            <w:r w:rsidR="000139AD" w:rsidRPr="000139AD">
              <w:rPr>
                <w:rFonts w:eastAsia="Times New Roman"/>
                <w:lang w:val="fr-FR"/>
              </w:rPr>
              <w:t xml:space="preserve"> à 1 atmosphère et 0 °C)</w:t>
            </w:r>
          </w:p>
        </w:tc>
        <w:tc>
          <w:tcPr>
            <w:tcW w:w="1829" w:type="dxa"/>
            <w:tcBorders>
              <w:bottom w:val="single" w:sz="12" w:space="0" w:color="auto"/>
            </w:tcBorders>
            <w:shd w:val="clear" w:color="auto" w:fill="auto"/>
          </w:tcPr>
          <w:p w:rsidR="000139AD" w:rsidRPr="000139AD" w:rsidRDefault="000139AD" w:rsidP="00B22929">
            <w:pPr>
              <w:kinsoku/>
              <w:overflowPunct/>
              <w:autoSpaceDE/>
              <w:autoSpaceDN/>
              <w:adjustRightInd/>
              <w:snapToGrid/>
              <w:spacing w:before="80" w:after="80" w:line="220" w:lineRule="exact"/>
              <w:jc w:val="center"/>
              <w:rPr>
                <w:rFonts w:eastAsia="Times New Roman"/>
              </w:rPr>
            </w:pPr>
            <w:r w:rsidRPr="000139AD">
              <w:rPr>
                <w:rFonts w:eastAsia="Times New Roman"/>
                <w:lang w:val="fr-FR"/>
              </w:rPr>
              <w:t>Erreur sur le débit du</w:t>
            </w:r>
            <w:r w:rsidR="00B22929">
              <w:rPr>
                <w:rFonts w:eastAsia="Times New Roman"/>
                <w:lang w:val="fr-FR"/>
              </w:rPr>
              <w:t xml:space="preserve"> prélèvement</w:t>
            </w:r>
            <w:r w:rsidR="00B22929">
              <w:rPr>
                <w:rFonts w:eastAsia="Times New Roman"/>
                <w:lang w:val="fr-FR"/>
              </w:rPr>
              <w:br/>
            </w:r>
            <w:r w:rsidRPr="000139AD">
              <w:rPr>
                <w:rFonts w:eastAsia="Times New Roman"/>
                <w:lang w:val="fr-FR"/>
              </w:rPr>
              <w:t>à volume constant</w:t>
            </w:r>
            <w:r w:rsidR="00B22929">
              <w:rPr>
                <w:rFonts w:eastAsia="Times New Roman"/>
              </w:rPr>
              <w:br/>
            </w:r>
            <w:r w:rsidRPr="000139AD">
              <w:rPr>
                <w:rFonts w:eastAsia="Times New Roman"/>
                <w:lang w:val="fr-FR"/>
              </w:rPr>
              <w:t>(%)</w:t>
            </w:r>
          </w:p>
        </w:tc>
      </w:tr>
      <w:tr w:rsidR="000139AD" w:rsidRPr="000139AD" w:rsidTr="00B22929">
        <w:tc>
          <w:tcPr>
            <w:tcW w:w="2093" w:type="dxa"/>
            <w:vMerge w:val="restart"/>
            <w:tcBorders>
              <w:top w:val="single" w:sz="12" w:space="0" w:color="auto"/>
            </w:tcBorders>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both"/>
              <w:rPr>
                <w:rFonts w:eastAsia="Times New Roman"/>
              </w:rPr>
            </w:pPr>
            <w:r w:rsidRPr="000139AD">
              <w:rPr>
                <w:rFonts w:eastAsia="Times New Roman"/>
                <w:lang w:val="fr-FR"/>
              </w:rPr>
              <w:t>Débit constant</w:t>
            </w:r>
          </w:p>
        </w:tc>
        <w:tc>
          <w:tcPr>
            <w:tcW w:w="2448" w:type="dxa"/>
            <w:tcBorders>
              <w:top w:val="single" w:sz="12" w:space="0" w:color="auto"/>
            </w:tcBorders>
            <w:shd w:val="clear" w:color="auto" w:fill="auto"/>
          </w:tcPr>
          <w:p w:rsidR="000139AD" w:rsidRPr="000139AD" w:rsidRDefault="000139AD" w:rsidP="004E43FF">
            <w:pPr>
              <w:kinsoku/>
              <w:overflowPunct/>
              <w:autoSpaceDE/>
              <w:autoSpaceDN/>
              <w:adjustRightInd/>
              <w:snapToGrid/>
              <w:spacing w:before="40" w:after="120" w:line="220" w:lineRule="atLeast"/>
              <w:rPr>
                <w:rFonts w:eastAsia="Times New Roman"/>
              </w:rPr>
            </w:pPr>
            <w:r w:rsidRPr="000139AD">
              <w:rPr>
                <w:rFonts w:eastAsia="Times New Roman"/>
                <w:lang w:val="fr-FR"/>
              </w:rPr>
              <w:t>Valeur de référence de la WLTP (phase 4)</w:t>
            </w:r>
          </w:p>
        </w:tc>
        <w:tc>
          <w:tcPr>
            <w:tcW w:w="2135" w:type="dxa"/>
            <w:tcBorders>
              <w:top w:val="single" w:sz="12" w:space="0" w:color="auto"/>
            </w:tcBorders>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lang w:val="en-GB"/>
              </w:rPr>
            </w:pPr>
            <w:r w:rsidRPr="000139AD">
              <w:rPr>
                <w:rFonts w:eastAsia="Times New Roman"/>
                <w:lang w:val="fr-FR"/>
              </w:rPr>
              <w:t>490,2545</w:t>
            </w:r>
          </w:p>
        </w:tc>
        <w:tc>
          <w:tcPr>
            <w:tcW w:w="1829" w:type="dxa"/>
            <w:tcBorders>
              <w:top w:val="single" w:sz="12" w:space="0" w:color="auto"/>
            </w:tcBorders>
            <w:shd w:val="clear" w:color="auto" w:fill="auto"/>
            <w:vAlign w:val="center"/>
          </w:tcPr>
          <w:p w:rsidR="000139AD" w:rsidRPr="000139AD" w:rsidRDefault="006F515B" w:rsidP="004E43FF">
            <w:pPr>
              <w:kinsoku/>
              <w:overflowPunct/>
              <w:autoSpaceDE/>
              <w:autoSpaceDN/>
              <w:adjustRightInd/>
              <w:snapToGrid/>
              <w:spacing w:before="40" w:after="120" w:line="220" w:lineRule="atLeast"/>
              <w:jc w:val="center"/>
              <w:rPr>
                <w:rFonts w:eastAsia="Times New Roman"/>
                <w:lang w:val="en-GB"/>
              </w:rPr>
            </w:pPr>
            <w:r>
              <w:rPr>
                <w:rFonts w:eastAsia="Times New Roman"/>
                <w:lang w:val="fr-FR"/>
              </w:rPr>
              <w:t>(</w:t>
            </w:r>
            <w:r w:rsidR="00B22929">
              <w:rPr>
                <w:rFonts w:eastAsia="Times New Roman"/>
                <w:lang w:val="fr-FR"/>
              </w:rPr>
              <w:t>-</w:t>
            </w:r>
            <w:r>
              <w:rPr>
                <w:rFonts w:eastAsia="Times New Roman"/>
                <w:lang w:val="fr-FR"/>
              </w:rPr>
              <w:t>)</w:t>
            </w:r>
          </w:p>
        </w:tc>
      </w:tr>
      <w:tr w:rsidR="000139AD" w:rsidRPr="000139AD" w:rsidTr="00B22929">
        <w:tc>
          <w:tcPr>
            <w:tcW w:w="2093" w:type="dxa"/>
            <w:vMerge/>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both"/>
              <w:rPr>
                <w:rFonts w:eastAsia="Times New Roman"/>
                <w:lang w:val="fr-FR"/>
              </w:rPr>
            </w:pPr>
          </w:p>
        </w:tc>
        <w:tc>
          <w:tcPr>
            <w:tcW w:w="2448" w:type="dxa"/>
            <w:shd w:val="clear" w:color="auto" w:fill="auto"/>
          </w:tcPr>
          <w:p w:rsidR="000139AD" w:rsidRPr="000139AD" w:rsidRDefault="000139AD" w:rsidP="004E43FF">
            <w:pPr>
              <w:kinsoku/>
              <w:overflowPunct/>
              <w:autoSpaceDE/>
              <w:autoSpaceDN/>
              <w:adjustRightInd/>
              <w:snapToGrid/>
              <w:spacing w:before="40" w:after="120" w:line="220" w:lineRule="atLeast"/>
              <w:rPr>
                <w:rFonts w:eastAsia="Times New Roman"/>
              </w:rPr>
            </w:pPr>
            <w:r w:rsidRPr="000139AD">
              <w:rPr>
                <w:rFonts w:eastAsia="Times New Roman"/>
                <w:lang w:val="fr-FR"/>
              </w:rPr>
              <w:t>Débit fixé au maximum observé pendant la WLTP</w:t>
            </w:r>
          </w:p>
        </w:tc>
        <w:tc>
          <w:tcPr>
            <w:tcW w:w="2135" w:type="dxa"/>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lang w:val="en-GB"/>
              </w:rPr>
            </w:pPr>
            <w:r w:rsidRPr="000139AD">
              <w:rPr>
                <w:rFonts w:eastAsia="Times New Roman"/>
                <w:lang w:val="fr-FR"/>
              </w:rPr>
              <w:t>493,3287</w:t>
            </w:r>
          </w:p>
        </w:tc>
        <w:tc>
          <w:tcPr>
            <w:tcW w:w="1829" w:type="dxa"/>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b/>
                <w:lang w:val="en-GB"/>
              </w:rPr>
            </w:pPr>
            <w:r w:rsidRPr="000139AD">
              <w:rPr>
                <w:rFonts w:eastAsia="Times New Roman"/>
                <w:b/>
                <w:lang w:val="fr-FR"/>
              </w:rPr>
              <w:t>+ 0,65</w:t>
            </w:r>
          </w:p>
        </w:tc>
      </w:tr>
      <w:tr w:rsidR="000139AD" w:rsidRPr="000139AD" w:rsidTr="00B22929">
        <w:tc>
          <w:tcPr>
            <w:tcW w:w="2093" w:type="dxa"/>
            <w:vMerge/>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both"/>
              <w:rPr>
                <w:rFonts w:eastAsia="Times New Roman"/>
                <w:lang w:val="fr-FR"/>
              </w:rPr>
            </w:pPr>
          </w:p>
        </w:tc>
        <w:tc>
          <w:tcPr>
            <w:tcW w:w="2448" w:type="dxa"/>
            <w:shd w:val="clear" w:color="auto" w:fill="auto"/>
          </w:tcPr>
          <w:p w:rsidR="000139AD" w:rsidRPr="000139AD" w:rsidRDefault="000139AD" w:rsidP="004E43FF">
            <w:pPr>
              <w:kinsoku/>
              <w:overflowPunct/>
              <w:autoSpaceDE/>
              <w:autoSpaceDN/>
              <w:adjustRightInd/>
              <w:snapToGrid/>
              <w:spacing w:before="40" w:after="120" w:line="220" w:lineRule="atLeast"/>
              <w:rPr>
                <w:rFonts w:eastAsia="Times New Roman"/>
              </w:rPr>
            </w:pPr>
            <w:r w:rsidRPr="000139AD">
              <w:rPr>
                <w:rFonts w:eastAsia="Times New Roman"/>
                <w:lang w:val="fr-FR"/>
              </w:rPr>
              <w:t>Débit fixé au minimum observé pendant la WLTP</w:t>
            </w:r>
          </w:p>
        </w:tc>
        <w:tc>
          <w:tcPr>
            <w:tcW w:w="2135" w:type="dxa"/>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lang w:val="en-GB"/>
              </w:rPr>
            </w:pPr>
            <w:r w:rsidRPr="000139AD">
              <w:rPr>
                <w:rFonts w:eastAsia="Times New Roman"/>
                <w:lang w:val="fr-FR"/>
              </w:rPr>
              <w:t>483,8529</w:t>
            </w:r>
          </w:p>
        </w:tc>
        <w:tc>
          <w:tcPr>
            <w:tcW w:w="1829" w:type="dxa"/>
            <w:shd w:val="clear" w:color="auto" w:fill="auto"/>
            <w:vAlign w:val="center"/>
          </w:tcPr>
          <w:p w:rsidR="000139AD" w:rsidRPr="000139AD" w:rsidRDefault="000139AD" w:rsidP="004E43FF">
            <w:pPr>
              <w:kinsoku/>
              <w:overflowPunct/>
              <w:autoSpaceDE/>
              <w:autoSpaceDN/>
              <w:adjustRightInd/>
              <w:snapToGrid/>
              <w:spacing w:before="40" w:after="120" w:line="220" w:lineRule="atLeast"/>
              <w:ind w:right="141"/>
              <w:jc w:val="center"/>
              <w:rPr>
                <w:rFonts w:eastAsia="Times New Roman"/>
                <w:b/>
                <w:lang w:val="en-GB"/>
              </w:rPr>
            </w:pPr>
            <w:r w:rsidRPr="000139AD">
              <w:rPr>
                <w:rFonts w:eastAsia="Times New Roman"/>
                <w:b/>
                <w:lang w:val="fr-FR"/>
              </w:rPr>
              <w:t>– 1,29</w:t>
            </w:r>
          </w:p>
        </w:tc>
      </w:tr>
      <w:tr w:rsidR="000139AD" w:rsidRPr="000139AD" w:rsidTr="00B22929">
        <w:tc>
          <w:tcPr>
            <w:tcW w:w="2093" w:type="dxa"/>
            <w:vMerge w:val="restart"/>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both"/>
              <w:rPr>
                <w:rFonts w:eastAsia="Times New Roman"/>
                <w:lang w:val="en-GB"/>
              </w:rPr>
            </w:pPr>
            <w:r w:rsidRPr="000139AD">
              <w:rPr>
                <w:rFonts w:eastAsia="Times New Roman"/>
                <w:lang w:val="fr-FR"/>
              </w:rPr>
              <w:t>Sous-échantillonnage</w:t>
            </w:r>
          </w:p>
        </w:tc>
        <w:tc>
          <w:tcPr>
            <w:tcW w:w="2448" w:type="dxa"/>
            <w:shd w:val="clear" w:color="auto" w:fill="auto"/>
          </w:tcPr>
          <w:p w:rsidR="000139AD" w:rsidRPr="000139AD" w:rsidRDefault="000139AD" w:rsidP="004E43FF">
            <w:pPr>
              <w:kinsoku/>
              <w:overflowPunct/>
              <w:autoSpaceDE/>
              <w:autoSpaceDN/>
              <w:adjustRightInd/>
              <w:snapToGrid/>
              <w:spacing w:before="40" w:after="120" w:line="220" w:lineRule="atLeast"/>
              <w:rPr>
                <w:rFonts w:eastAsia="Times New Roman"/>
              </w:rPr>
            </w:pPr>
            <w:r w:rsidRPr="000139AD">
              <w:rPr>
                <w:rFonts w:eastAsia="Times New Roman"/>
                <w:lang w:val="fr-FR"/>
              </w:rPr>
              <w:t>Valeur de référence de la WLTP (phase 4)</w:t>
            </w:r>
          </w:p>
        </w:tc>
        <w:tc>
          <w:tcPr>
            <w:tcW w:w="2135" w:type="dxa"/>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lang w:val="en-GB"/>
              </w:rPr>
            </w:pPr>
            <w:r w:rsidRPr="000139AD">
              <w:rPr>
                <w:rFonts w:eastAsia="Times New Roman"/>
                <w:lang w:val="fr-FR"/>
              </w:rPr>
              <w:t>491,1044</w:t>
            </w:r>
          </w:p>
        </w:tc>
        <w:tc>
          <w:tcPr>
            <w:tcW w:w="1829" w:type="dxa"/>
            <w:shd w:val="clear" w:color="auto" w:fill="auto"/>
            <w:vAlign w:val="center"/>
          </w:tcPr>
          <w:p w:rsidR="000139AD" w:rsidRPr="000139AD" w:rsidRDefault="006F515B" w:rsidP="004E43FF">
            <w:pPr>
              <w:kinsoku/>
              <w:overflowPunct/>
              <w:autoSpaceDE/>
              <w:autoSpaceDN/>
              <w:adjustRightInd/>
              <w:snapToGrid/>
              <w:spacing w:before="40" w:after="120" w:line="220" w:lineRule="atLeast"/>
              <w:ind w:right="141"/>
              <w:jc w:val="center"/>
              <w:rPr>
                <w:rFonts w:eastAsia="Times New Roman"/>
                <w:lang w:val="en-GB"/>
              </w:rPr>
            </w:pPr>
            <w:r>
              <w:rPr>
                <w:rFonts w:eastAsia="Times New Roman"/>
                <w:lang w:val="fr-FR"/>
              </w:rPr>
              <w:t>(</w:t>
            </w:r>
            <w:r w:rsidR="00B22929">
              <w:rPr>
                <w:rFonts w:eastAsia="Times New Roman"/>
                <w:lang w:val="fr-FR"/>
              </w:rPr>
              <w:t>-</w:t>
            </w:r>
            <w:r>
              <w:rPr>
                <w:rFonts w:eastAsia="Times New Roman"/>
                <w:lang w:val="fr-FR"/>
              </w:rPr>
              <w:t>)</w:t>
            </w:r>
          </w:p>
        </w:tc>
      </w:tr>
      <w:tr w:rsidR="000139AD" w:rsidRPr="000139AD" w:rsidTr="00B22929">
        <w:tc>
          <w:tcPr>
            <w:tcW w:w="2093" w:type="dxa"/>
            <w:vMerge/>
            <w:tcBorders>
              <w:bottom w:val="single" w:sz="12" w:space="0" w:color="auto"/>
            </w:tcBorders>
            <w:shd w:val="clear" w:color="auto" w:fill="auto"/>
          </w:tcPr>
          <w:p w:rsidR="000139AD" w:rsidRPr="000139AD" w:rsidRDefault="000139AD" w:rsidP="004E43FF">
            <w:pPr>
              <w:kinsoku/>
              <w:overflowPunct/>
              <w:autoSpaceDE/>
              <w:autoSpaceDN/>
              <w:adjustRightInd/>
              <w:snapToGrid/>
              <w:spacing w:before="40" w:after="120" w:line="220" w:lineRule="atLeast"/>
              <w:jc w:val="both"/>
              <w:rPr>
                <w:rFonts w:eastAsia="Times New Roman"/>
                <w:lang w:val="fr-FR"/>
              </w:rPr>
            </w:pPr>
          </w:p>
        </w:tc>
        <w:tc>
          <w:tcPr>
            <w:tcW w:w="2448" w:type="dxa"/>
            <w:tcBorders>
              <w:bottom w:val="single" w:sz="12" w:space="0" w:color="auto"/>
            </w:tcBorders>
            <w:shd w:val="clear" w:color="auto" w:fill="auto"/>
          </w:tcPr>
          <w:p w:rsidR="000139AD" w:rsidRPr="000139AD" w:rsidRDefault="000139AD" w:rsidP="004E43FF">
            <w:pPr>
              <w:kinsoku/>
              <w:overflowPunct/>
              <w:autoSpaceDE/>
              <w:autoSpaceDN/>
              <w:adjustRightInd/>
              <w:snapToGrid/>
              <w:spacing w:before="40" w:after="120" w:line="220" w:lineRule="atLeast"/>
              <w:jc w:val="both"/>
              <w:rPr>
                <w:rFonts w:eastAsia="Times New Roman"/>
                <w:lang w:val="en-GB"/>
              </w:rPr>
            </w:pPr>
            <w:r w:rsidRPr="000139AD">
              <w:rPr>
                <w:rFonts w:eastAsia="Times New Roman"/>
                <w:lang w:val="fr-FR"/>
              </w:rPr>
              <w:t xml:space="preserve">10 Hz </w:t>
            </w:r>
            <w:r w:rsidRPr="000139AD">
              <w:rPr>
                <w:rFonts w:eastAsia="Times New Roman"/>
                <w:sz w:val="16"/>
                <w:szCs w:val="16"/>
                <w:lang w:val="fr-FR"/>
              </w:rPr>
              <w:sym w:font="Wingdings" w:char="F0E0"/>
            </w:r>
            <w:r w:rsidRPr="000139AD">
              <w:rPr>
                <w:rFonts w:eastAsia="Times New Roman"/>
                <w:lang w:val="fr-FR"/>
              </w:rPr>
              <w:t xml:space="preserve"> 1 Hz</w:t>
            </w:r>
          </w:p>
        </w:tc>
        <w:tc>
          <w:tcPr>
            <w:tcW w:w="2135" w:type="dxa"/>
            <w:tcBorders>
              <w:bottom w:val="single" w:sz="12" w:space="0" w:color="auto"/>
            </w:tcBorders>
            <w:shd w:val="clear" w:color="auto" w:fill="auto"/>
            <w:vAlign w:val="center"/>
          </w:tcPr>
          <w:p w:rsidR="000139AD" w:rsidRPr="000139AD" w:rsidRDefault="000139AD" w:rsidP="004E43FF">
            <w:pPr>
              <w:kinsoku/>
              <w:overflowPunct/>
              <w:autoSpaceDE/>
              <w:autoSpaceDN/>
              <w:adjustRightInd/>
              <w:snapToGrid/>
              <w:spacing w:before="40" w:after="120" w:line="220" w:lineRule="atLeast"/>
              <w:jc w:val="center"/>
              <w:rPr>
                <w:rFonts w:eastAsia="Times New Roman"/>
                <w:lang w:val="en-GB"/>
              </w:rPr>
            </w:pPr>
            <w:r w:rsidRPr="000139AD">
              <w:rPr>
                <w:rFonts w:eastAsia="Times New Roman"/>
                <w:lang w:val="fr-FR"/>
              </w:rPr>
              <w:t>491,4950</w:t>
            </w:r>
          </w:p>
        </w:tc>
        <w:tc>
          <w:tcPr>
            <w:tcW w:w="1829" w:type="dxa"/>
            <w:tcBorders>
              <w:bottom w:val="single" w:sz="12" w:space="0" w:color="auto"/>
            </w:tcBorders>
            <w:shd w:val="clear" w:color="auto" w:fill="auto"/>
            <w:vAlign w:val="center"/>
          </w:tcPr>
          <w:p w:rsidR="000139AD" w:rsidRPr="000139AD" w:rsidRDefault="000139AD" w:rsidP="004E43FF">
            <w:pPr>
              <w:kinsoku/>
              <w:overflowPunct/>
              <w:autoSpaceDE/>
              <w:autoSpaceDN/>
              <w:adjustRightInd/>
              <w:snapToGrid/>
              <w:spacing w:before="40" w:after="120" w:line="220" w:lineRule="atLeast"/>
              <w:ind w:right="141"/>
              <w:jc w:val="center"/>
              <w:rPr>
                <w:rFonts w:eastAsia="Times New Roman"/>
                <w:b/>
                <w:lang w:val="en-GB"/>
              </w:rPr>
            </w:pPr>
            <w:r w:rsidRPr="000139AD">
              <w:rPr>
                <w:rFonts w:eastAsia="Times New Roman"/>
                <w:b/>
                <w:lang w:val="fr-FR"/>
              </w:rPr>
              <w:t>+ 0,08</w:t>
            </w:r>
          </w:p>
        </w:tc>
      </w:tr>
    </w:tbl>
    <w:p w:rsidR="000139AD" w:rsidRPr="000139AD" w:rsidRDefault="000139AD" w:rsidP="004E43FF">
      <w:pPr>
        <w:pStyle w:val="SingleTxtG"/>
        <w:spacing w:before="240"/>
      </w:pPr>
      <w:r>
        <w:rPr>
          <w:lang w:val="fr-FR"/>
        </w:rPr>
        <w:t>4.</w:t>
      </w:r>
      <w:r>
        <w:rPr>
          <w:lang w:val="fr-FR"/>
        </w:rPr>
        <w:tab/>
      </w:r>
      <w:r w:rsidRPr="000139AD">
        <w:rPr>
          <w:lang w:val="fr-FR"/>
        </w:rPr>
        <w:t>Dans les conditions fréquemment constatées pendant les essais de véhicules utilitaires légers, la température du prélèvement à volume constant varie de manière progressive et le débit du prélèvement à volume constant reste conforme aux prescriptions d</w:t>
      </w:r>
      <w:r w:rsidR="004E43FF">
        <w:rPr>
          <w:lang w:val="fr-FR"/>
        </w:rPr>
        <w:t>’</w:t>
      </w:r>
      <w:r w:rsidRPr="000139AD">
        <w:rPr>
          <w:lang w:val="fr-FR"/>
        </w:rPr>
        <w:t>exactitude de ± 2 %, ainsi que le montrent les exemples ci-dessus. Toutefois, deux raisons justifient le maintien d</w:t>
      </w:r>
      <w:r w:rsidR="004E43FF">
        <w:rPr>
          <w:lang w:val="fr-FR"/>
        </w:rPr>
        <w:t>’</w:t>
      </w:r>
      <w:r w:rsidRPr="000139AD">
        <w:rPr>
          <w:lang w:val="fr-FR"/>
        </w:rPr>
        <w:t>une prescription relative au temps de réaction :</w:t>
      </w:r>
    </w:p>
    <w:p w:rsidR="000139AD" w:rsidRPr="000139AD" w:rsidRDefault="000139AD" w:rsidP="000139AD">
      <w:pPr>
        <w:pStyle w:val="SingleTxtG"/>
        <w:ind w:firstLine="567"/>
      </w:pPr>
      <w:r>
        <w:rPr>
          <w:lang w:val="fr-FR"/>
        </w:rPr>
        <w:t>a)</w:t>
      </w:r>
      <w:r>
        <w:rPr>
          <w:lang w:val="fr-FR"/>
        </w:rPr>
        <w:tab/>
      </w:r>
      <w:r w:rsidRPr="000139AD">
        <w:rPr>
          <w:lang w:val="fr-FR"/>
        </w:rPr>
        <w:t>Dans certaines conditions d</w:t>
      </w:r>
      <w:r w:rsidR="004E43FF">
        <w:rPr>
          <w:lang w:val="fr-FR"/>
        </w:rPr>
        <w:t>’</w:t>
      </w:r>
      <w:r w:rsidRPr="000139AD">
        <w:rPr>
          <w:lang w:val="fr-FR"/>
        </w:rPr>
        <w:t>essai, avec un système de dilution d</w:t>
      </w:r>
      <w:r w:rsidR="004E43FF">
        <w:rPr>
          <w:lang w:val="fr-FR"/>
        </w:rPr>
        <w:t>’</w:t>
      </w:r>
      <w:r w:rsidRPr="000139AD">
        <w:rPr>
          <w:lang w:val="fr-FR"/>
        </w:rPr>
        <w:t>inertie thermique faible, il demeure important de maintenir un temps de réaction rapide ;</w:t>
      </w:r>
    </w:p>
    <w:p w:rsidR="000139AD" w:rsidRPr="000139AD" w:rsidRDefault="000139AD" w:rsidP="000139AD">
      <w:pPr>
        <w:pStyle w:val="SingleTxtG"/>
        <w:ind w:firstLine="567"/>
      </w:pPr>
      <w:r>
        <w:rPr>
          <w:lang w:val="fr-FR"/>
        </w:rPr>
        <w:lastRenderedPageBreak/>
        <w:t>b)</w:t>
      </w:r>
      <w:r>
        <w:rPr>
          <w:lang w:val="fr-FR"/>
        </w:rPr>
        <w:tab/>
      </w:r>
      <w:r w:rsidRPr="000139AD">
        <w:rPr>
          <w:lang w:val="fr-FR"/>
        </w:rPr>
        <w:t>Une spécification normalisée du système est importante pour garantir la comparabilité des données entre différents systèmes de mesure des émissions.</w:t>
      </w:r>
    </w:p>
    <w:p w:rsidR="000139AD" w:rsidRPr="000139AD" w:rsidRDefault="000139AD" w:rsidP="000139AD">
      <w:pPr>
        <w:pStyle w:val="SingleTxtG"/>
      </w:pPr>
      <w:r w:rsidRPr="000139AD">
        <w:rPr>
          <w:lang w:val="fr-FR"/>
        </w:rPr>
        <w:t>Il est donc proposé de fixer un temps de réaction de moins de 1,0 s à 62 % d</w:t>
      </w:r>
      <w:r w:rsidR="004E43FF">
        <w:rPr>
          <w:lang w:val="fr-FR"/>
        </w:rPr>
        <w:t>’</w:t>
      </w:r>
      <w:r w:rsidRPr="000139AD">
        <w:rPr>
          <w:lang w:val="fr-FR"/>
        </w:rPr>
        <w:t>une variation de température donnée telle que mesurée dans de l</w:t>
      </w:r>
      <w:r w:rsidR="004E43FF">
        <w:rPr>
          <w:lang w:val="fr-FR"/>
        </w:rPr>
        <w:t>’</w:t>
      </w:r>
      <w:r w:rsidRPr="000139AD">
        <w:rPr>
          <w:lang w:val="fr-FR"/>
        </w:rPr>
        <w:t>huile de silicone.</w:t>
      </w:r>
    </w:p>
    <w:p w:rsidR="000139AD" w:rsidRPr="000139AD" w:rsidRDefault="000139AD" w:rsidP="000139AD">
      <w:pPr>
        <w:kinsoku/>
        <w:overflowPunct/>
        <w:autoSpaceDE/>
        <w:autoSpaceDN/>
        <w:adjustRightInd/>
        <w:snapToGrid/>
        <w:spacing w:before="240"/>
        <w:ind w:left="567" w:right="1134"/>
        <w:jc w:val="center"/>
        <w:rPr>
          <w:rFonts w:eastAsia="Times New Roman"/>
          <w:u w:val="single"/>
          <w:lang w:val="fr-FR"/>
        </w:rPr>
      </w:pPr>
      <w:r w:rsidRPr="000139AD">
        <w:rPr>
          <w:rFonts w:eastAsia="Times New Roman"/>
          <w:u w:val="single"/>
          <w:lang w:val="fr-FR"/>
        </w:rPr>
        <w:tab/>
      </w:r>
      <w:r w:rsidRPr="000139AD">
        <w:rPr>
          <w:rFonts w:eastAsia="Times New Roman"/>
          <w:u w:val="single"/>
          <w:lang w:val="fr-FR"/>
        </w:rPr>
        <w:tab/>
      </w:r>
      <w:r w:rsidRPr="000139AD">
        <w:rPr>
          <w:rFonts w:eastAsia="Times New Roman"/>
          <w:u w:val="single"/>
          <w:lang w:val="fr-FR"/>
        </w:rPr>
        <w:tab/>
      </w:r>
    </w:p>
    <w:p w:rsidR="00F9573C" w:rsidRPr="000139AD" w:rsidRDefault="00F9573C" w:rsidP="00AF0CB5">
      <w:pPr>
        <w:rPr>
          <w:lang w:val="fr-FR"/>
        </w:rPr>
      </w:pPr>
    </w:p>
    <w:sectPr w:rsidR="00F9573C" w:rsidRPr="000139AD" w:rsidSect="000139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DF" w:rsidRDefault="00D020DF" w:rsidP="00F95C08">
      <w:pPr>
        <w:spacing w:line="240" w:lineRule="auto"/>
      </w:pPr>
    </w:p>
  </w:endnote>
  <w:endnote w:type="continuationSeparator" w:id="0">
    <w:p w:rsidR="00D020DF" w:rsidRPr="00AC3823" w:rsidRDefault="00D020DF" w:rsidP="00AC3823">
      <w:pPr>
        <w:pStyle w:val="Footer"/>
      </w:pPr>
    </w:p>
  </w:endnote>
  <w:endnote w:type="continuationNotice" w:id="1">
    <w:p w:rsidR="00D020DF" w:rsidRDefault="00D020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AD" w:rsidRPr="000139AD" w:rsidRDefault="000139AD" w:rsidP="000139AD">
    <w:pPr>
      <w:pStyle w:val="Footer"/>
      <w:tabs>
        <w:tab w:val="right" w:pos="9638"/>
      </w:tabs>
    </w:pPr>
    <w:r w:rsidRPr="000139AD">
      <w:rPr>
        <w:b/>
        <w:sz w:val="18"/>
      </w:rPr>
      <w:fldChar w:fldCharType="begin"/>
    </w:r>
    <w:r w:rsidRPr="000139AD">
      <w:rPr>
        <w:b/>
        <w:sz w:val="18"/>
      </w:rPr>
      <w:instrText xml:space="preserve"> PAGE  \* MERGEFORMAT </w:instrText>
    </w:r>
    <w:r w:rsidRPr="000139AD">
      <w:rPr>
        <w:b/>
        <w:sz w:val="18"/>
      </w:rPr>
      <w:fldChar w:fldCharType="separate"/>
    </w:r>
    <w:r w:rsidR="003F7B57">
      <w:rPr>
        <w:b/>
        <w:noProof/>
        <w:sz w:val="18"/>
      </w:rPr>
      <w:t>4</w:t>
    </w:r>
    <w:r w:rsidRPr="000139AD">
      <w:rPr>
        <w:b/>
        <w:sz w:val="18"/>
      </w:rPr>
      <w:fldChar w:fldCharType="end"/>
    </w:r>
    <w:r>
      <w:rPr>
        <w:b/>
        <w:sz w:val="18"/>
      </w:rPr>
      <w:tab/>
    </w:r>
    <w:r>
      <w:t>GE.18-04561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AD" w:rsidRPr="000139AD" w:rsidRDefault="000139AD" w:rsidP="000139AD">
    <w:pPr>
      <w:pStyle w:val="Footer"/>
      <w:tabs>
        <w:tab w:val="right" w:pos="9638"/>
      </w:tabs>
      <w:rPr>
        <w:b/>
        <w:sz w:val="18"/>
      </w:rPr>
    </w:pPr>
    <w:r>
      <w:t>GE.18-04561</w:t>
    </w:r>
    <w:r>
      <w:tab/>
    </w:r>
    <w:r w:rsidRPr="000139AD">
      <w:rPr>
        <w:b/>
        <w:sz w:val="18"/>
      </w:rPr>
      <w:fldChar w:fldCharType="begin"/>
    </w:r>
    <w:r w:rsidRPr="000139AD">
      <w:rPr>
        <w:b/>
        <w:sz w:val="18"/>
      </w:rPr>
      <w:instrText xml:space="preserve"> PAGE  \* MERGEFORMAT </w:instrText>
    </w:r>
    <w:r w:rsidRPr="000139AD">
      <w:rPr>
        <w:b/>
        <w:sz w:val="18"/>
      </w:rPr>
      <w:fldChar w:fldCharType="separate"/>
    </w:r>
    <w:r w:rsidR="003F7B57">
      <w:rPr>
        <w:b/>
        <w:noProof/>
        <w:sz w:val="18"/>
      </w:rPr>
      <w:t>3</w:t>
    </w:r>
    <w:r w:rsidRPr="000139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139AD" w:rsidRDefault="000139AD" w:rsidP="000139A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18-04561  (F)    100418    180418</w:t>
    </w:r>
    <w:r>
      <w:rPr>
        <w:sz w:val="20"/>
      </w:rPr>
      <w:br/>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sidRPr="000139A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DF" w:rsidRPr="00AC3823" w:rsidRDefault="00D020DF" w:rsidP="00AC3823">
      <w:pPr>
        <w:pStyle w:val="Footer"/>
        <w:tabs>
          <w:tab w:val="right" w:pos="2155"/>
        </w:tabs>
        <w:spacing w:after="80" w:line="240" w:lineRule="atLeast"/>
        <w:ind w:left="680"/>
        <w:rPr>
          <w:u w:val="single"/>
        </w:rPr>
      </w:pPr>
      <w:r>
        <w:rPr>
          <w:u w:val="single"/>
        </w:rPr>
        <w:tab/>
      </w:r>
    </w:p>
  </w:footnote>
  <w:footnote w:type="continuationSeparator" w:id="0">
    <w:p w:rsidR="00D020DF" w:rsidRPr="00AC3823" w:rsidRDefault="00D020DF" w:rsidP="00AC3823">
      <w:pPr>
        <w:pStyle w:val="Footer"/>
        <w:tabs>
          <w:tab w:val="right" w:pos="2155"/>
        </w:tabs>
        <w:spacing w:after="80" w:line="240" w:lineRule="atLeast"/>
        <w:ind w:left="680"/>
        <w:rPr>
          <w:u w:val="single"/>
        </w:rPr>
      </w:pPr>
      <w:r>
        <w:rPr>
          <w:u w:val="single"/>
        </w:rPr>
        <w:tab/>
      </w:r>
    </w:p>
  </w:footnote>
  <w:footnote w:type="continuationNotice" w:id="1">
    <w:p w:rsidR="00D020DF" w:rsidRPr="00AC3823" w:rsidRDefault="00D020DF">
      <w:pPr>
        <w:spacing w:line="240" w:lineRule="auto"/>
        <w:rPr>
          <w:sz w:val="2"/>
          <w:szCs w:val="2"/>
        </w:rPr>
      </w:pPr>
    </w:p>
  </w:footnote>
  <w:footnote w:id="2">
    <w:p w:rsidR="000139AD" w:rsidRPr="007E5C8F" w:rsidRDefault="000139AD" w:rsidP="000139AD">
      <w:pPr>
        <w:pStyle w:val="FootnoteText"/>
      </w:pPr>
      <w:r>
        <w:rPr>
          <w:lang w:val="fr-FR"/>
        </w:rPr>
        <w:tab/>
        <w:t>*</w:t>
      </w:r>
      <w:r>
        <w:rPr>
          <w:lang w:val="fr-FR"/>
        </w:rPr>
        <w:tab/>
        <w:t>Conformément au programme de travail du Comité des transports intérieurs pour la période</w:t>
      </w:r>
      <w:r w:rsidR="00B22929">
        <w:rPr>
          <w:lang w:val="fr-FR"/>
        </w:rPr>
        <w:t xml:space="preserve"> 2018</w:t>
      </w:r>
      <w:r w:rsidR="006F515B">
        <w:rPr>
          <w:lang w:val="fr-FR"/>
        </w:rPr>
        <w:noBreakHyphen/>
      </w:r>
      <w:r w:rsidR="00B22929">
        <w:rPr>
          <w:lang w:val="fr-FR"/>
        </w:rPr>
        <w:t>2019 (ECE/TRANS/274, par. </w:t>
      </w:r>
      <w:r>
        <w:rPr>
          <w:lang w:val="fr-FR"/>
        </w:rPr>
        <w:t>123, et ECE/TRANS/2018/21 et Add.1, activité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AD" w:rsidRPr="000139AD" w:rsidRDefault="003F7B57">
    <w:pPr>
      <w:pStyle w:val="Header"/>
    </w:pPr>
    <w:r>
      <w:fldChar w:fldCharType="begin"/>
    </w:r>
    <w:r>
      <w:instrText xml:space="preserve"> TITLE  \* MERGEFORMAT </w:instrText>
    </w:r>
    <w:r>
      <w:fldChar w:fldCharType="separate"/>
    </w:r>
    <w:r w:rsidR="000A16CC">
      <w:t>ECE/TRANS/WP.29/GRPE/2018/18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AD" w:rsidRPr="000139AD" w:rsidRDefault="003F7B57" w:rsidP="000139AD">
    <w:pPr>
      <w:pStyle w:val="Header"/>
      <w:jc w:val="right"/>
    </w:pPr>
    <w:r>
      <w:fldChar w:fldCharType="begin"/>
    </w:r>
    <w:r>
      <w:instrText xml:space="preserve"> TITLE  \* MERGEFORMAT </w:instrText>
    </w:r>
    <w:r>
      <w:fldChar w:fldCharType="separate"/>
    </w:r>
    <w:r w:rsidR="000A16CC">
      <w:t>ECE/TRANS/WP.29/GRPE/2018/18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B8A2CBCE">
        <w:start w:val="1"/>
        <w:numFmt w:val="decimal"/>
        <w:lvlText w:val="%1."/>
        <w:lvlJc w:val="left"/>
        <w:pPr>
          <w:ind w:left="1689" w:hanging="555"/>
        </w:pPr>
        <w:rPr>
          <w:rFonts w:hint="default"/>
        </w:rPr>
      </w:lvl>
    </w:lvlOverride>
    <w:lvlOverride w:ilvl="1">
      <w:lvl w:ilvl="1" w:tplc="F786618A">
        <w:start w:val="1"/>
        <w:numFmt w:val="lowerLetter"/>
        <w:lvlText w:val="%2)"/>
        <w:lvlJc w:val="left"/>
        <w:pPr>
          <w:ind w:left="221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DF"/>
    <w:rsid w:val="000139AD"/>
    <w:rsid w:val="00017F94"/>
    <w:rsid w:val="00023842"/>
    <w:rsid w:val="000311BE"/>
    <w:rsid w:val="000334F9"/>
    <w:rsid w:val="00045FEB"/>
    <w:rsid w:val="0007796D"/>
    <w:rsid w:val="000A16CC"/>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F7B57"/>
    <w:rsid w:val="00441C3B"/>
    <w:rsid w:val="00446FE5"/>
    <w:rsid w:val="00452396"/>
    <w:rsid w:val="004837D8"/>
    <w:rsid w:val="004E43FF"/>
    <w:rsid w:val="004E468C"/>
    <w:rsid w:val="005505B7"/>
    <w:rsid w:val="00573BE5"/>
    <w:rsid w:val="00586ED3"/>
    <w:rsid w:val="00596AA9"/>
    <w:rsid w:val="006F515B"/>
    <w:rsid w:val="0071601D"/>
    <w:rsid w:val="007A62E6"/>
    <w:rsid w:val="007F20FA"/>
    <w:rsid w:val="0080684C"/>
    <w:rsid w:val="00871C75"/>
    <w:rsid w:val="008776DC"/>
    <w:rsid w:val="009446C0"/>
    <w:rsid w:val="009705C8"/>
    <w:rsid w:val="009C1CF4"/>
    <w:rsid w:val="009F6B74"/>
    <w:rsid w:val="00A30353"/>
    <w:rsid w:val="00A70C4E"/>
    <w:rsid w:val="00AC3823"/>
    <w:rsid w:val="00AE323C"/>
    <w:rsid w:val="00AF0CB5"/>
    <w:rsid w:val="00B00181"/>
    <w:rsid w:val="00B00B0D"/>
    <w:rsid w:val="00B22929"/>
    <w:rsid w:val="00B765F7"/>
    <w:rsid w:val="00BA0CA9"/>
    <w:rsid w:val="00C02897"/>
    <w:rsid w:val="00C97039"/>
    <w:rsid w:val="00D020DF"/>
    <w:rsid w:val="00D3439C"/>
    <w:rsid w:val="00DB1831"/>
    <w:rsid w:val="00DD3BFD"/>
    <w:rsid w:val="00DF6678"/>
    <w:rsid w:val="00E0299A"/>
    <w:rsid w:val="00E85C74"/>
    <w:rsid w:val="00EA6547"/>
    <w:rsid w:val="00EF2E22"/>
    <w:rsid w:val="00F337C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469C41-E9B0-4C7D-8AAB-D723DD8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0139AD"/>
    <w:pPr>
      <w:spacing w:after="0" w:line="240" w:lineRule="auto"/>
    </w:pPr>
    <w:rPr>
      <w:rFonts w:ascii="Times New Roman" w:eastAsiaTheme="minorHAnsi" w:hAnsi="Times New Roman" w:cs="Times New Roman"/>
      <w:sz w:val="20"/>
      <w:szCs w:val="20"/>
      <w:lang w:eastAsia="en-US"/>
    </w:rPr>
  </w:style>
  <w:style w:type="character" w:styleId="PlaceholderText">
    <w:name w:val="Placeholder Text"/>
    <w:basedOn w:val="DefaultParagraphFont"/>
    <w:uiPriority w:val="99"/>
    <w:semiHidden/>
    <w:rsid w:val="00F33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ECE/TRANS/WP.29/GRPE/2018/18</vt:lpstr>
      <vt:lpstr>ECE/TRANS/WP.29/GRPE/2018/18</vt:lpstr>
    </vt:vector>
  </TitlesOfParts>
  <Company>DCM</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ECE/TRANS/WP.29/GRPE/2018/18</dc:title>
  <dc:subject/>
  <dc:creator>Annie BEAUNEE</dc:creator>
  <cp:keywords/>
  <cp:lastModifiedBy>Benedicte Boudol</cp:lastModifiedBy>
  <cp:revision>2</cp:revision>
  <cp:lastPrinted>2018-04-18T12:40:00Z</cp:lastPrinted>
  <dcterms:created xsi:type="dcterms:W3CDTF">2018-04-19T20:31:00Z</dcterms:created>
  <dcterms:modified xsi:type="dcterms:W3CDTF">2018-04-19T20:31:00Z</dcterms:modified>
</cp:coreProperties>
</file>