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B744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B7440" w:rsidP="008B7440">
            <w:pPr>
              <w:jc w:val="right"/>
            </w:pPr>
            <w:r w:rsidRPr="008B7440">
              <w:rPr>
                <w:sz w:val="40"/>
              </w:rPr>
              <w:t>ECE</w:t>
            </w:r>
            <w:r>
              <w:t>/TRANS/WP.29/GRPE/2018/19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B7440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8B7440" w:rsidRDefault="008B7440" w:rsidP="008B7440">
            <w:pPr>
              <w:spacing w:line="240" w:lineRule="exact"/>
            </w:pPr>
            <w:r>
              <w:t>26 mars 2018</w:t>
            </w:r>
          </w:p>
          <w:p w:rsidR="008B7440" w:rsidRDefault="008B7440" w:rsidP="008B7440">
            <w:pPr>
              <w:spacing w:line="240" w:lineRule="exact"/>
            </w:pPr>
            <w:r>
              <w:t>Français</w:t>
            </w:r>
          </w:p>
          <w:p w:rsidR="008B7440" w:rsidRPr="00DB58B5" w:rsidRDefault="008B7440" w:rsidP="008B744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E3207" w:rsidRPr="008B7440" w:rsidRDefault="000030C2" w:rsidP="008B7440">
      <w:pPr>
        <w:spacing w:before="120" w:after="120"/>
        <w:rPr>
          <w:b/>
          <w:sz w:val="24"/>
          <w:szCs w:val="24"/>
        </w:rPr>
      </w:pPr>
      <w:r w:rsidRPr="008B7440">
        <w:rPr>
          <w:b/>
          <w:sz w:val="24"/>
          <w:szCs w:val="24"/>
          <w:lang w:val="fr-FR"/>
        </w:rPr>
        <w:t>Forum mondial de l</w:t>
      </w:r>
      <w:r w:rsidR="008B7440" w:rsidRPr="008B7440">
        <w:rPr>
          <w:b/>
          <w:sz w:val="24"/>
          <w:szCs w:val="24"/>
          <w:lang w:val="fr-FR"/>
        </w:rPr>
        <w:t>’harmonisation</w:t>
      </w:r>
      <w:r w:rsidR="008B7440" w:rsidRPr="008B7440">
        <w:rPr>
          <w:b/>
          <w:sz w:val="24"/>
          <w:szCs w:val="24"/>
          <w:lang w:val="fr-FR"/>
        </w:rPr>
        <w:br/>
      </w:r>
      <w:r w:rsidRPr="008B7440">
        <w:rPr>
          <w:b/>
          <w:sz w:val="24"/>
          <w:szCs w:val="24"/>
          <w:lang w:val="fr-FR"/>
        </w:rPr>
        <w:t xml:space="preserve">des Règlements concernant les véhicules </w:t>
      </w:r>
    </w:p>
    <w:p w:rsidR="003E3207" w:rsidRPr="008B7440" w:rsidRDefault="000030C2" w:rsidP="008B7440">
      <w:pPr>
        <w:rPr>
          <w:b/>
          <w:bCs/>
        </w:rPr>
      </w:pPr>
      <w:r w:rsidRPr="008B7440">
        <w:rPr>
          <w:b/>
          <w:lang w:val="fr-FR"/>
        </w:rPr>
        <w:t>Groupe de travail de la pollution et de l</w:t>
      </w:r>
      <w:r w:rsidR="008B7440" w:rsidRPr="008B7440">
        <w:rPr>
          <w:b/>
          <w:lang w:val="fr-FR"/>
        </w:rPr>
        <w:t>’</w:t>
      </w:r>
      <w:r w:rsidRPr="008B7440">
        <w:rPr>
          <w:b/>
          <w:lang w:val="fr-FR"/>
        </w:rPr>
        <w:t xml:space="preserve">énergie </w:t>
      </w:r>
    </w:p>
    <w:p w:rsidR="003E3207" w:rsidRPr="008B7440" w:rsidRDefault="000030C2" w:rsidP="008B7440">
      <w:pPr>
        <w:spacing w:before="120"/>
        <w:rPr>
          <w:b/>
        </w:rPr>
      </w:pPr>
      <w:r w:rsidRPr="008B7440">
        <w:rPr>
          <w:b/>
          <w:lang w:val="fr-FR"/>
        </w:rPr>
        <w:t>Soixante-dix-septième session</w:t>
      </w:r>
    </w:p>
    <w:p w:rsidR="003E3207" w:rsidRPr="008B7440" w:rsidRDefault="000030C2" w:rsidP="008B7440">
      <w:r w:rsidRPr="008B7440">
        <w:rPr>
          <w:lang w:val="fr-FR"/>
        </w:rPr>
        <w:t>Genève, 6-8 juin 2018</w:t>
      </w:r>
    </w:p>
    <w:p w:rsidR="003E3207" w:rsidRPr="008B7440" w:rsidRDefault="000030C2" w:rsidP="008B7440">
      <w:pPr>
        <w:rPr>
          <w:bCs/>
        </w:rPr>
      </w:pPr>
      <w:r w:rsidRPr="008B7440">
        <w:rPr>
          <w:lang w:val="fr-FR"/>
        </w:rPr>
        <w:t>Point 5 de l</w:t>
      </w:r>
      <w:r w:rsidR="008B7440" w:rsidRPr="008B7440">
        <w:rPr>
          <w:lang w:val="fr-FR"/>
        </w:rPr>
        <w:t>’</w:t>
      </w:r>
      <w:r w:rsidRPr="008B7440">
        <w:rPr>
          <w:lang w:val="fr-FR"/>
        </w:rPr>
        <w:t>ordre du jour provisoire</w:t>
      </w:r>
    </w:p>
    <w:p w:rsidR="003E3207" w:rsidRPr="008B7440" w:rsidRDefault="000030C2" w:rsidP="008B7440">
      <w:pPr>
        <w:rPr>
          <w:b/>
          <w:bCs/>
        </w:rPr>
      </w:pPr>
      <w:r w:rsidRPr="008B7440">
        <w:rPr>
          <w:b/>
          <w:bCs/>
          <w:lang w:val="fr-FR"/>
        </w:rPr>
        <w:t>Règlements n</w:t>
      </w:r>
      <w:r w:rsidRPr="008B7440">
        <w:rPr>
          <w:b/>
          <w:bCs/>
          <w:vertAlign w:val="superscript"/>
          <w:lang w:val="fr-FR"/>
        </w:rPr>
        <w:t>os</w:t>
      </w:r>
      <w:r w:rsidR="008B7440" w:rsidRPr="008B7440">
        <w:rPr>
          <w:b/>
          <w:bCs/>
          <w:lang w:val="fr-FR"/>
        </w:rPr>
        <w:t> </w:t>
      </w:r>
      <w:r w:rsidRPr="008B7440">
        <w:rPr>
          <w:b/>
          <w:bCs/>
          <w:lang w:val="fr-FR"/>
        </w:rPr>
        <w:t xml:space="preserve">24 </w:t>
      </w:r>
      <w:r w:rsidR="008B7440">
        <w:rPr>
          <w:b/>
          <w:bCs/>
          <w:lang w:val="fr-FR"/>
        </w:rPr>
        <w:t>(</w:t>
      </w:r>
      <w:r w:rsidRPr="008B7440">
        <w:rPr>
          <w:b/>
          <w:bCs/>
          <w:lang w:val="fr-FR"/>
        </w:rPr>
        <w:t>É</w:t>
      </w:r>
      <w:r w:rsidR="008B7440" w:rsidRPr="008B7440">
        <w:rPr>
          <w:b/>
          <w:bCs/>
          <w:lang w:val="fr-FR"/>
        </w:rPr>
        <w:t>missions de polluants visibles, mesure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de la puissance des mot</w:t>
      </w:r>
      <w:r w:rsidR="008B7440" w:rsidRPr="008B7440">
        <w:rPr>
          <w:b/>
          <w:bCs/>
          <w:lang w:val="fr-FR"/>
        </w:rPr>
        <w:t>eurs à allumage par compression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(fumées des moteurs diesel)</w:t>
      </w:r>
      <w:r w:rsidR="008B7440">
        <w:rPr>
          <w:b/>
          <w:bCs/>
          <w:lang w:val="fr-FR"/>
        </w:rPr>
        <w:t>)</w:t>
      </w:r>
      <w:r w:rsidRPr="008B7440">
        <w:rPr>
          <w:b/>
          <w:bCs/>
          <w:lang w:val="fr-FR"/>
        </w:rPr>
        <w:t xml:space="preserve">, 85 </w:t>
      </w:r>
      <w:r w:rsidR="008B7440" w:rsidRPr="008B7440">
        <w:rPr>
          <w:b/>
          <w:bCs/>
          <w:lang w:val="fr-FR"/>
        </w:rPr>
        <w:t>(Mesure de la puissance nette),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115 (Systèmes de conver</w:t>
      </w:r>
      <w:r w:rsidR="008B7440" w:rsidRPr="008B7440">
        <w:rPr>
          <w:b/>
          <w:bCs/>
          <w:lang w:val="fr-FR"/>
        </w:rPr>
        <w:t>sion ultérieure au GPL et GNC),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133 (Aptitude au recyc</w:t>
      </w:r>
      <w:r w:rsidR="008B7440" w:rsidRPr="008B7440">
        <w:rPr>
          <w:b/>
          <w:bCs/>
          <w:lang w:val="fr-FR"/>
        </w:rPr>
        <w:t>lage des véhicules automobiles)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et 143 (Systèmes d</w:t>
      </w:r>
      <w:r w:rsidR="008B7440" w:rsidRPr="008B7440">
        <w:rPr>
          <w:b/>
          <w:bCs/>
          <w:lang w:val="fr-FR"/>
        </w:rPr>
        <w:t>’</w:t>
      </w:r>
      <w:r w:rsidRPr="008B7440">
        <w:rPr>
          <w:b/>
          <w:bCs/>
          <w:lang w:val="fr-FR"/>
        </w:rPr>
        <w:t>adap</w:t>
      </w:r>
      <w:r w:rsidR="008B7440" w:rsidRPr="008B7440">
        <w:rPr>
          <w:b/>
          <w:bCs/>
          <w:lang w:val="fr-FR"/>
        </w:rPr>
        <w:t>tation des moteurs de véhicules</w:t>
      </w:r>
      <w:r w:rsidR="008B7440" w:rsidRPr="008B7440">
        <w:rPr>
          <w:b/>
          <w:bCs/>
          <w:lang w:val="fr-FR"/>
        </w:rPr>
        <w:br/>
      </w:r>
      <w:r w:rsidRPr="008B7440">
        <w:rPr>
          <w:b/>
          <w:bCs/>
          <w:lang w:val="fr-FR"/>
        </w:rPr>
        <w:t>utilitaires lourds à la bicarburation)</w:t>
      </w:r>
    </w:p>
    <w:p w:rsidR="003E3207" w:rsidRPr="008B7440" w:rsidRDefault="000030C2" w:rsidP="008B7440">
      <w:pPr>
        <w:pStyle w:val="HChG"/>
      </w:pPr>
      <w:r w:rsidRPr="008B7440">
        <w:rPr>
          <w:lang w:val="fr-FR"/>
        </w:rPr>
        <w:tab/>
      </w:r>
      <w:r w:rsidR="008B7440" w:rsidRPr="008B7440">
        <w:rPr>
          <w:lang w:val="fr-FR"/>
        </w:rPr>
        <w:tab/>
      </w:r>
      <w:r w:rsidRPr="008B7440">
        <w:rPr>
          <w:lang w:val="fr-FR"/>
        </w:rPr>
        <w:t>Proposition d’amendements au Règlement n</w:t>
      </w:r>
      <w:r w:rsidRPr="008B7440">
        <w:rPr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 xml:space="preserve">24 </w:t>
      </w:r>
      <w:r w:rsidR="008B7440" w:rsidRPr="008B7440">
        <w:rPr>
          <w:lang w:val="fr-FR"/>
        </w:rPr>
        <w:t>(</w:t>
      </w:r>
      <w:r w:rsidRPr="008B7440">
        <w:rPr>
          <w:lang w:val="fr-FR"/>
        </w:rPr>
        <w:t>Émissions de polluants visibles, mes</w:t>
      </w:r>
      <w:r w:rsidR="008B7440" w:rsidRPr="008B7440">
        <w:rPr>
          <w:lang w:val="fr-FR"/>
        </w:rPr>
        <w:t>ure de la puissance des moteurs</w:t>
      </w:r>
      <w:r w:rsidR="008B7440" w:rsidRPr="008B7440">
        <w:rPr>
          <w:lang w:val="fr-FR"/>
        </w:rPr>
        <w:br/>
      </w:r>
      <w:r w:rsidRPr="008B7440">
        <w:rPr>
          <w:lang w:val="fr-FR"/>
        </w:rPr>
        <w:t>à allumage par compression (fumées des moteurs diesel)</w:t>
      </w:r>
      <w:r w:rsidR="008B7440" w:rsidRPr="008B7440">
        <w:rPr>
          <w:lang w:val="fr-FR"/>
        </w:rPr>
        <w:t>)</w:t>
      </w:r>
    </w:p>
    <w:p w:rsidR="003E3207" w:rsidRPr="008B7440" w:rsidRDefault="008B7440" w:rsidP="008B7440">
      <w:pPr>
        <w:pStyle w:val="H1G"/>
      </w:pPr>
      <w:r w:rsidRPr="008B7440">
        <w:rPr>
          <w:lang w:val="fr-FR"/>
        </w:rPr>
        <w:tab/>
      </w:r>
      <w:r w:rsidRPr="008B7440">
        <w:rPr>
          <w:lang w:val="fr-FR"/>
        </w:rPr>
        <w:tab/>
      </w:r>
      <w:r w:rsidR="000030C2" w:rsidRPr="008B7440">
        <w:rPr>
          <w:lang w:val="fr-FR"/>
        </w:rPr>
        <w:t>Communication de l’expert de l’Organisation internationale</w:t>
      </w:r>
      <w:r w:rsidRPr="008B7440">
        <w:rPr>
          <w:lang w:val="fr-FR"/>
        </w:rPr>
        <w:br/>
      </w:r>
      <w:r w:rsidR="000030C2" w:rsidRPr="008B7440">
        <w:rPr>
          <w:lang w:val="fr-FR"/>
        </w:rPr>
        <w:t>des constructeurs d’automobiles</w:t>
      </w:r>
      <w:r w:rsidRPr="008B7440">
        <w:rPr>
          <w:b w:val="0"/>
          <w:sz w:val="20"/>
          <w:lang w:val="fr-FR"/>
        </w:rPr>
        <w:footnoteReference w:customMarkFollows="1" w:id="2"/>
        <w:t>*</w:t>
      </w:r>
    </w:p>
    <w:p w:rsidR="008B7440" w:rsidRPr="008B7440" w:rsidRDefault="000030C2" w:rsidP="008B7440">
      <w:pPr>
        <w:pStyle w:val="SingleTxtG"/>
        <w:ind w:firstLine="567"/>
        <w:rPr>
          <w:lang w:val="fr-FR"/>
        </w:rPr>
      </w:pPr>
      <w:r w:rsidRPr="008B7440">
        <w:rPr>
          <w:lang w:val="fr-FR"/>
        </w:rPr>
        <w:t>Le texte ci-après, établi par l’expert de l’Organisation internationale des constructeurs d’automobiles (OICA), a pour objet d’harmonis</w:t>
      </w:r>
      <w:r w:rsidR="00571CFE">
        <w:rPr>
          <w:lang w:val="fr-FR"/>
        </w:rPr>
        <w:t>er les dispositions de la série </w:t>
      </w:r>
      <w:r w:rsidRPr="008B7440">
        <w:rPr>
          <w:lang w:val="fr-FR"/>
        </w:rPr>
        <w:t>03 d’amendements au Règlement n</w:t>
      </w:r>
      <w:r w:rsidRPr="008B7440">
        <w:rPr>
          <w:vertAlign w:val="superscript"/>
          <w:lang w:val="fr-FR"/>
        </w:rPr>
        <w:t>o</w:t>
      </w:r>
      <w:r w:rsidRPr="008B7440">
        <w:rPr>
          <w:lang w:val="fr-FR"/>
        </w:rPr>
        <w:t xml:space="preserve"> 24 avec celles du Règlement n</w:t>
      </w:r>
      <w:r w:rsidRPr="008B7440">
        <w:rPr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>85. Les modifications qu’il est proposé d’apporter au texte actuel du Règlement sont signalées en caractères gras pour les ajouts ou en caractères biffés pour les suppressions.</w:t>
      </w:r>
    </w:p>
    <w:p w:rsidR="003E3207" w:rsidRPr="008B7440" w:rsidRDefault="000030C2" w:rsidP="008B7440">
      <w:pPr>
        <w:pStyle w:val="HChG"/>
      </w:pPr>
      <w:r w:rsidRPr="008B7440">
        <w:rPr>
          <w:lang w:val="fr-FR"/>
        </w:rPr>
        <w:br w:type="page"/>
      </w:r>
      <w:r w:rsidR="008B7440" w:rsidRPr="008B7440">
        <w:rPr>
          <w:lang w:val="fr-FR"/>
        </w:rPr>
        <w:lastRenderedPageBreak/>
        <w:tab/>
      </w:r>
      <w:r w:rsidRPr="008B7440">
        <w:rPr>
          <w:lang w:val="fr-FR"/>
        </w:rPr>
        <w:t>I.</w:t>
      </w:r>
      <w:r w:rsidRPr="008B7440">
        <w:rPr>
          <w:lang w:val="fr-FR"/>
        </w:rPr>
        <w:tab/>
        <w:t>Proposition</w:t>
      </w:r>
    </w:p>
    <w:p w:rsidR="003E3207" w:rsidRPr="008B7440" w:rsidRDefault="000030C2" w:rsidP="008B7440">
      <w:pPr>
        <w:pStyle w:val="SingleTxtG"/>
      </w:pPr>
      <w:r w:rsidRPr="008B7440">
        <w:rPr>
          <w:i/>
          <w:lang w:val="fr-FR"/>
        </w:rPr>
        <w:t>Annexe 4, paragraphe 3.2</w:t>
      </w:r>
      <w:r w:rsidRPr="008B7440">
        <w:rPr>
          <w:lang w:val="fr-FR"/>
        </w:rPr>
        <w:t>, modifier comme suit</w:t>
      </w:r>
      <w:r w:rsidR="008B7440" w:rsidRPr="008B7440">
        <w:rPr>
          <w:lang w:val="fr-FR"/>
        </w:rPr>
        <w:t> :</w:t>
      </w:r>
    </w:p>
    <w:p w:rsidR="003E3207" w:rsidRPr="008B7440" w:rsidRDefault="008B7440" w:rsidP="008B7440">
      <w:pPr>
        <w:pStyle w:val="SingleTxtG"/>
        <w:ind w:left="2268" w:hanging="1134"/>
      </w:pPr>
      <w:r w:rsidRPr="008B7440">
        <w:rPr>
          <w:lang w:val="fr-FR"/>
        </w:rPr>
        <w:t>« </w:t>
      </w:r>
      <w:r w:rsidR="000030C2" w:rsidRPr="008B7440">
        <w:rPr>
          <w:lang w:val="fr-FR"/>
        </w:rPr>
        <w:t xml:space="preserve">3.2 </w:t>
      </w:r>
      <w:r w:rsidR="000030C2" w:rsidRPr="008B7440">
        <w:rPr>
          <w:lang w:val="fr-FR"/>
        </w:rPr>
        <w:tab/>
        <w:t>Carburant</w:t>
      </w:r>
    </w:p>
    <w:p w:rsidR="003E3207" w:rsidRPr="008B7440" w:rsidRDefault="000030C2" w:rsidP="008B7440">
      <w:pPr>
        <w:pStyle w:val="SingleTxtG"/>
        <w:ind w:left="2268"/>
      </w:pPr>
      <w:r w:rsidRPr="008B7440">
        <w:rPr>
          <w:lang w:val="fr-FR"/>
        </w:rPr>
        <w:t xml:space="preserve">Le </w:t>
      </w:r>
      <w:r w:rsidRPr="008B7440">
        <w:rPr>
          <w:b/>
          <w:bCs/>
          <w:lang w:val="fr-FR"/>
        </w:rPr>
        <w:t>carburant utilisé est celui du commerce.</w:t>
      </w:r>
      <w:r w:rsidRPr="008B7440">
        <w:rPr>
          <w:b/>
          <w:lang w:val="fr-FR"/>
        </w:rPr>
        <w:t xml:space="preserve"> </w:t>
      </w:r>
      <w:r w:rsidRPr="008B7440">
        <w:rPr>
          <w:b/>
          <w:bCs/>
          <w:lang w:val="fr-FR"/>
        </w:rPr>
        <w:t>En cas de contestation, le</w:t>
      </w:r>
      <w:r w:rsidRPr="008B7440">
        <w:rPr>
          <w:b/>
          <w:lang w:val="fr-FR"/>
        </w:rPr>
        <w:t xml:space="preserve"> </w:t>
      </w:r>
      <w:r w:rsidRPr="008B7440">
        <w:rPr>
          <w:lang w:val="fr-FR"/>
        </w:rPr>
        <w:t>carburant doit être le carburant de référence dont les spécifications sont données à l</w:t>
      </w:r>
      <w:r w:rsidR="008B7440" w:rsidRPr="008B7440">
        <w:rPr>
          <w:lang w:val="fr-FR"/>
        </w:rPr>
        <w:t>’</w:t>
      </w:r>
      <w:r w:rsidRPr="008B7440">
        <w:rPr>
          <w:lang w:val="fr-FR"/>
        </w:rPr>
        <w:t>annexe 6 du présent Règlement.</w:t>
      </w:r>
      <w:r w:rsidR="008B7440" w:rsidRPr="008B7440">
        <w:rPr>
          <w:lang w:val="fr-FR"/>
        </w:rPr>
        <w:t> ».</w:t>
      </w:r>
    </w:p>
    <w:p w:rsidR="003E3207" w:rsidRPr="008B7440" w:rsidRDefault="000030C2" w:rsidP="008B7440">
      <w:pPr>
        <w:pStyle w:val="SingleTxtG"/>
      </w:pPr>
      <w:r w:rsidRPr="008B7440">
        <w:rPr>
          <w:i/>
          <w:lang w:val="fr-FR"/>
        </w:rPr>
        <w:t xml:space="preserve">Ajouter un </w:t>
      </w:r>
      <w:r w:rsidRPr="008B7440">
        <w:rPr>
          <w:i/>
        </w:rPr>
        <w:t>nouveau</w:t>
      </w:r>
      <w:r w:rsidRPr="008B7440">
        <w:rPr>
          <w:i/>
          <w:lang w:val="fr-FR"/>
        </w:rPr>
        <w:t xml:space="preserve"> paragraphe 3.3.3</w:t>
      </w:r>
      <w:r w:rsidR="008B7440" w:rsidRPr="008B7440">
        <w:rPr>
          <w:lang w:val="fr-FR"/>
        </w:rPr>
        <w:t>, libellé comme suit </w:t>
      </w:r>
      <w:r w:rsidRPr="008B7440">
        <w:rPr>
          <w:lang w:val="fr-FR"/>
        </w:rPr>
        <w:t>:</w:t>
      </w:r>
    </w:p>
    <w:p w:rsidR="003E3207" w:rsidRPr="008B7440" w:rsidRDefault="008B7440" w:rsidP="008B7440">
      <w:pPr>
        <w:pStyle w:val="SingleTxtG"/>
        <w:ind w:left="2268" w:hanging="1134"/>
        <w:rPr>
          <w:b/>
        </w:rPr>
      </w:pPr>
      <w:r w:rsidRPr="008B7440">
        <w:rPr>
          <w:bCs/>
          <w:lang w:val="fr-FR"/>
        </w:rPr>
        <w:t>« </w:t>
      </w:r>
      <w:r w:rsidR="000030C2" w:rsidRPr="008B7440">
        <w:rPr>
          <w:b/>
          <w:bCs/>
          <w:lang w:val="fr-FR"/>
        </w:rPr>
        <w:t>3.3.3</w:t>
      </w:r>
      <w:r w:rsidR="000030C2" w:rsidRPr="008B7440">
        <w:rPr>
          <w:b/>
          <w:lang w:val="fr-FR"/>
        </w:rPr>
        <w:tab/>
      </w:r>
      <w:r w:rsidR="000030C2" w:rsidRPr="008B7440">
        <w:rPr>
          <w:b/>
          <w:bCs/>
          <w:lang w:val="fr-FR"/>
        </w:rPr>
        <w:t>Lorsqu</w:t>
      </w:r>
      <w:r w:rsidRPr="008B7440">
        <w:rPr>
          <w:b/>
          <w:bCs/>
          <w:lang w:val="fr-FR"/>
        </w:rPr>
        <w:t>’</w:t>
      </w:r>
      <w:r w:rsidR="000030C2" w:rsidRPr="008B7440">
        <w:rPr>
          <w:b/>
          <w:bCs/>
          <w:lang w:val="fr-FR"/>
        </w:rPr>
        <w:t>un moteur à turbocompresseur est équipé d</w:t>
      </w:r>
      <w:r w:rsidRPr="008B7440">
        <w:rPr>
          <w:b/>
          <w:bCs/>
          <w:lang w:val="fr-FR"/>
        </w:rPr>
        <w:t>’</w:t>
      </w:r>
      <w:r w:rsidR="000030C2" w:rsidRPr="008B7440">
        <w:rPr>
          <w:b/>
          <w:bCs/>
          <w:lang w:val="fr-FR"/>
        </w:rPr>
        <w:t>un système qui permet de compenser les conditions ambiantes (température et altitude), à la demande du constructeur, le facteur de correction α</w:t>
      </w:r>
      <w:r w:rsidR="000030C2" w:rsidRPr="008B7440">
        <w:rPr>
          <w:b/>
          <w:bCs/>
          <w:vertAlign w:val="subscript"/>
          <w:lang w:val="fr-FR"/>
        </w:rPr>
        <w:t>a</w:t>
      </w:r>
      <w:r w:rsidR="000030C2" w:rsidRPr="008B7440">
        <w:rPr>
          <w:b/>
          <w:bCs/>
          <w:lang w:val="fr-FR"/>
        </w:rPr>
        <w:t xml:space="preserve"> ou α</w:t>
      </w:r>
      <w:r w:rsidR="000030C2" w:rsidRPr="008B7440">
        <w:rPr>
          <w:b/>
          <w:bCs/>
          <w:vertAlign w:val="subscript"/>
          <w:lang w:val="fr-FR"/>
        </w:rPr>
        <w:t>d</w:t>
      </w:r>
      <w:r w:rsidR="000030C2" w:rsidRPr="008B7440">
        <w:rPr>
          <w:b/>
          <w:bCs/>
          <w:lang w:val="fr-FR"/>
        </w:rPr>
        <w:t xml:space="preserve"> doit être réglé à </w:t>
      </w:r>
      <w:r w:rsidR="000030C2" w:rsidRPr="008B7440">
        <w:rPr>
          <w:b/>
          <w:lang w:val="fr-FR"/>
        </w:rPr>
        <w:t>la</w:t>
      </w:r>
      <w:r w:rsidR="000030C2" w:rsidRPr="008B7440">
        <w:rPr>
          <w:b/>
          <w:bCs/>
          <w:lang w:val="fr-FR"/>
        </w:rPr>
        <w:t xml:space="preserve"> valeur de 1</w:t>
      </w:r>
      <w:r w:rsidR="000030C2" w:rsidRPr="008B7440">
        <w:rPr>
          <w:b/>
          <w:lang w:val="fr-FR"/>
        </w:rPr>
        <w:t>.</w:t>
      </w:r>
      <w:r w:rsidRPr="008B7440">
        <w:rPr>
          <w:lang w:val="fr-FR"/>
        </w:rPr>
        <w:t> ».</w:t>
      </w:r>
    </w:p>
    <w:p w:rsidR="003E3207" w:rsidRPr="008B7440" w:rsidRDefault="000030C2" w:rsidP="008B7440">
      <w:pPr>
        <w:pStyle w:val="SingleTxtG"/>
      </w:pPr>
      <w:r w:rsidRPr="008B7440">
        <w:rPr>
          <w:i/>
        </w:rPr>
        <w:t>Annexe 10, ajouter un nouveau paragraphe 6.4.3</w:t>
      </w:r>
      <w:r w:rsidR="008B7440" w:rsidRPr="008B7440">
        <w:t>, libellé comme suit </w:t>
      </w:r>
      <w:r w:rsidRPr="008B7440">
        <w:t>:</w:t>
      </w:r>
    </w:p>
    <w:p w:rsidR="003E3207" w:rsidRPr="008B7440" w:rsidRDefault="008B7440" w:rsidP="008B7440">
      <w:pPr>
        <w:pStyle w:val="SingleTxtG"/>
        <w:ind w:left="2268" w:hanging="1134"/>
        <w:rPr>
          <w:b/>
        </w:rPr>
      </w:pPr>
      <w:r w:rsidRPr="008B7440">
        <w:rPr>
          <w:bCs/>
          <w:lang w:val="fr-FR"/>
        </w:rPr>
        <w:t>« </w:t>
      </w:r>
      <w:r w:rsidR="000030C2" w:rsidRPr="008B7440">
        <w:rPr>
          <w:b/>
          <w:bCs/>
          <w:lang w:val="fr-FR"/>
        </w:rPr>
        <w:t>6.4.3</w:t>
      </w:r>
      <w:r w:rsidR="000030C2" w:rsidRPr="008B7440">
        <w:rPr>
          <w:b/>
          <w:lang w:val="fr-FR"/>
        </w:rPr>
        <w:tab/>
      </w:r>
      <w:r w:rsidR="000030C2" w:rsidRPr="008B7440">
        <w:rPr>
          <w:b/>
          <w:bCs/>
          <w:lang w:val="fr-FR"/>
        </w:rPr>
        <w:t>Lorsqu</w:t>
      </w:r>
      <w:r w:rsidRPr="008B7440">
        <w:rPr>
          <w:b/>
          <w:bCs/>
          <w:lang w:val="fr-FR"/>
        </w:rPr>
        <w:t>’</w:t>
      </w:r>
      <w:r w:rsidR="000030C2" w:rsidRPr="008B7440">
        <w:rPr>
          <w:b/>
          <w:bCs/>
          <w:lang w:val="fr-FR"/>
        </w:rPr>
        <w:t>un moteur à turbocompresseur est équipé d</w:t>
      </w:r>
      <w:r w:rsidRPr="008B7440">
        <w:rPr>
          <w:b/>
          <w:bCs/>
          <w:lang w:val="fr-FR"/>
        </w:rPr>
        <w:t>’</w:t>
      </w:r>
      <w:r w:rsidR="000030C2" w:rsidRPr="008B7440">
        <w:rPr>
          <w:b/>
          <w:bCs/>
          <w:lang w:val="fr-FR"/>
        </w:rPr>
        <w:t>un système qui permet de compenser les conditions ambiantes (température et altitude), à la demande du constructeur, le facteur de correction α</w:t>
      </w:r>
      <w:r w:rsidR="000030C2" w:rsidRPr="008B7440">
        <w:rPr>
          <w:b/>
          <w:bCs/>
          <w:vertAlign w:val="subscript"/>
          <w:lang w:val="fr-FR"/>
        </w:rPr>
        <w:t>a</w:t>
      </w:r>
      <w:r w:rsidR="000030C2" w:rsidRPr="008B7440">
        <w:rPr>
          <w:b/>
          <w:bCs/>
          <w:lang w:val="fr-FR"/>
        </w:rPr>
        <w:t xml:space="preserve"> ou α</w:t>
      </w:r>
      <w:r w:rsidR="000030C2" w:rsidRPr="008B7440">
        <w:rPr>
          <w:b/>
          <w:bCs/>
          <w:vertAlign w:val="subscript"/>
          <w:lang w:val="fr-FR"/>
        </w:rPr>
        <w:t>d</w:t>
      </w:r>
      <w:r w:rsidR="000030C2" w:rsidRPr="008B7440">
        <w:rPr>
          <w:b/>
          <w:bCs/>
          <w:lang w:val="fr-FR"/>
        </w:rPr>
        <w:t xml:space="preserve"> doit être réglé à la valeur de 1</w:t>
      </w:r>
      <w:r w:rsidR="000030C2" w:rsidRPr="008B7440">
        <w:rPr>
          <w:b/>
          <w:lang w:val="fr-FR"/>
        </w:rPr>
        <w:t>.</w:t>
      </w:r>
      <w:r w:rsidRPr="008B7440">
        <w:rPr>
          <w:lang w:val="fr-FR"/>
        </w:rPr>
        <w:t> ».</w:t>
      </w:r>
    </w:p>
    <w:p w:rsidR="003E3207" w:rsidRPr="008B7440" w:rsidRDefault="008B7440" w:rsidP="008B7440">
      <w:pPr>
        <w:pStyle w:val="HChG"/>
      </w:pPr>
      <w:r w:rsidRPr="008B7440">
        <w:rPr>
          <w:lang w:val="fr-FR"/>
        </w:rPr>
        <w:tab/>
      </w:r>
      <w:r w:rsidR="000030C2" w:rsidRPr="008B7440">
        <w:rPr>
          <w:lang w:val="fr-FR"/>
        </w:rPr>
        <w:t>II.</w:t>
      </w:r>
      <w:r w:rsidR="000030C2" w:rsidRPr="008B7440">
        <w:rPr>
          <w:lang w:val="fr-FR"/>
        </w:rPr>
        <w:tab/>
        <w:t xml:space="preserve">Justification </w:t>
      </w:r>
    </w:p>
    <w:p w:rsidR="003E3207" w:rsidRPr="008B7440" w:rsidRDefault="000030C2" w:rsidP="008B7440">
      <w:pPr>
        <w:pStyle w:val="SingleTxtG"/>
      </w:pPr>
      <w:r w:rsidRPr="008B7440">
        <w:rPr>
          <w:lang w:val="fr-FR"/>
        </w:rPr>
        <w:t>1.</w:t>
      </w:r>
      <w:r w:rsidRPr="008B7440">
        <w:rPr>
          <w:lang w:val="fr-FR"/>
        </w:rPr>
        <w:tab/>
        <w:t xml:space="preserve">L’annexe 4 du Règlement </w:t>
      </w:r>
      <w:r w:rsidR="008B7440" w:rsidRPr="008B7440">
        <w:rPr>
          <w:rFonts w:eastAsia="MS Mincho"/>
          <w:lang w:val="fr-FR"/>
        </w:rPr>
        <w:t>n</w:t>
      </w:r>
      <w:r w:rsidR="008B7440" w:rsidRPr="008B7440">
        <w:rPr>
          <w:rFonts w:eastAsia="MS Mincho"/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>24 décrit l’essai de mesure de l’opacité sur la courbe de pleine charge des moteurs à allumage par compression. Pour la détermination de la puissance du moteur les mêmes coefficients de correction sont appliqués que dans le Règlement n</w:t>
      </w:r>
      <w:r w:rsidRPr="008B7440">
        <w:rPr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 xml:space="preserve">85. Toutefois, le paragraphe susmentionné </w:t>
      </w:r>
      <w:r w:rsidR="008B7440" w:rsidRPr="008B7440">
        <w:rPr>
          <w:lang w:val="fr-FR"/>
        </w:rPr>
        <w:t>ne figure pas dans le Règlement </w:t>
      </w:r>
      <w:r w:rsidRPr="008B7440">
        <w:rPr>
          <w:lang w:val="fr-FR"/>
        </w:rPr>
        <w:t>n</w:t>
      </w:r>
      <w:r w:rsidRPr="008B7440">
        <w:rPr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 xml:space="preserve">24. Par conséquent, il n’est pas possible d’utiliser ce paragraphe pour les moteurs à allumage par compression, puisqu’il ne peut être appliqué pour l’essai de mesure de l’opacité à pleine charge. Il convient d’adapter le Règlement </w:t>
      </w:r>
      <w:r w:rsidR="008B7440" w:rsidRPr="008B7440">
        <w:rPr>
          <w:rFonts w:eastAsia="MS Mincho"/>
          <w:lang w:val="fr-FR"/>
        </w:rPr>
        <w:t>n</w:t>
      </w:r>
      <w:r w:rsidR="008B7440" w:rsidRPr="008B7440">
        <w:rPr>
          <w:rFonts w:eastAsia="MS Mincho"/>
          <w:vertAlign w:val="superscript"/>
          <w:lang w:val="fr-FR"/>
        </w:rPr>
        <w:t>o</w:t>
      </w:r>
      <w:r w:rsidR="008B7440" w:rsidRPr="008B7440">
        <w:rPr>
          <w:lang w:val="fr-FR"/>
        </w:rPr>
        <w:t> </w:t>
      </w:r>
      <w:r w:rsidRPr="008B7440">
        <w:rPr>
          <w:lang w:val="fr-FR"/>
        </w:rPr>
        <w:t xml:space="preserve">24 de façon à harmoniser les deux </w:t>
      </w:r>
      <w:r w:rsidR="009D6FA2">
        <w:rPr>
          <w:lang w:val="fr-FR"/>
        </w:rPr>
        <w:t>R</w:t>
      </w:r>
      <w:r w:rsidRPr="008B7440">
        <w:rPr>
          <w:lang w:val="fr-FR"/>
        </w:rPr>
        <w:t>èglements.</w:t>
      </w:r>
    </w:p>
    <w:p w:rsidR="003E3207" w:rsidRDefault="008B7440" w:rsidP="008B7440">
      <w:pPr>
        <w:pStyle w:val="SingleTxtG"/>
        <w:rPr>
          <w:lang w:val="fr-FR"/>
        </w:rPr>
      </w:pPr>
      <w:r w:rsidRPr="008B7440">
        <w:rPr>
          <w:lang w:val="fr-FR"/>
        </w:rPr>
        <w:t>2.</w:t>
      </w:r>
      <w:r w:rsidR="000030C2" w:rsidRPr="008B7440">
        <w:rPr>
          <w:lang w:val="fr-FR"/>
        </w:rPr>
        <w:tab/>
        <w:t xml:space="preserve">L’obligation </w:t>
      </w:r>
      <w:r w:rsidR="000030C2" w:rsidRPr="008B7440">
        <w:t>d’utiliser</w:t>
      </w:r>
      <w:r w:rsidR="000030C2" w:rsidRPr="008B7440">
        <w:rPr>
          <w:lang w:val="fr-FR"/>
        </w:rPr>
        <w:t xml:space="preserve"> le carburant de référence dans le Règlement </w:t>
      </w:r>
      <w:r w:rsidRPr="008B7440">
        <w:rPr>
          <w:rFonts w:eastAsia="MS Mincho"/>
          <w:lang w:val="fr-FR"/>
        </w:rPr>
        <w:t>n</w:t>
      </w:r>
      <w:r w:rsidRPr="008B7440">
        <w:rPr>
          <w:rFonts w:eastAsia="MS Mincho"/>
          <w:vertAlign w:val="superscript"/>
          <w:lang w:val="fr-FR"/>
        </w:rPr>
        <w:t>o</w:t>
      </w:r>
      <w:r w:rsidRPr="008B7440">
        <w:rPr>
          <w:lang w:val="fr-FR"/>
        </w:rPr>
        <w:t> </w:t>
      </w:r>
      <w:r w:rsidR="000030C2" w:rsidRPr="008B7440">
        <w:rPr>
          <w:lang w:val="fr-FR"/>
        </w:rPr>
        <w:t xml:space="preserve">24 a pour conséquence un essai injustifié s’ajoutant à celui du Règlement </w:t>
      </w:r>
      <w:r w:rsidRPr="008B7440">
        <w:rPr>
          <w:rFonts w:eastAsia="MS Mincho"/>
          <w:lang w:val="fr-FR"/>
        </w:rPr>
        <w:t>n</w:t>
      </w:r>
      <w:r w:rsidRPr="008B7440">
        <w:rPr>
          <w:rFonts w:eastAsia="MS Mincho"/>
          <w:vertAlign w:val="superscript"/>
          <w:lang w:val="fr-FR"/>
        </w:rPr>
        <w:t>o</w:t>
      </w:r>
      <w:r w:rsidRPr="008B7440">
        <w:rPr>
          <w:lang w:val="fr-FR"/>
        </w:rPr>
        <w:t> </w:t>
      </w:r>
      <w:r w:rsidR="000030C2" w:rsidRPr="008B7440">
        <w:rPr>
          <w:lang w:val="fr-FR"/>
        </w:rPr>
        <w:t>85. Il convient donc d’harmoniser cette exigence.</w:t>
      </w:r>
    </w:p>
    <w:p w:rsidR="008B7440" w:rsidRPr="008B7440" w:rsidRDefault="008B7440" w:rsidP="008B744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73C" w:rsidRDefault="00F9573C" w:rsidP="00AF0CB5"/>
    <w:sectPr w:rsidR="00F9573C" w:rsidSect="008B74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2A" w:rsidRDefault="0093212A" w:rsidP="00F95C08">
      <w:pPr>
        <w:spacing w:line="240" w:lineRule="auto"/>
      </w:pPr>
    </w:p>
  </w:endnote>
  <w:endnote w:type="continuationSeparator" w:id="0">
    <w:p w:rsidR="0093212A" w:rsidRPr="00AC3823" w:rsidRDefault="0093212A" w:rsidP="00AC3823">
      <w:pPr>
        <w:pStyle w:val="Footer"/>
      </w:pPr>
    </w:p>
  </w:endnote>
  <w:endnote w:type="continuationNotice" w:id="1">
    <w:p w:rsidR="0093212A" w:rsidRDefault="009321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40" w:rsidRPr="008B7440" w:rsidRDefault="008B7440" w:rsidP="008B7440">
    <w:pPr>
      <w:pStyle w:val="Footer"/>
      <w:tabs>
        <w:tab w:val="right" w:pos="9638"/>
      </w:tabs>
    </w:pPr>
    <w:r w:rsidRPr="008B7440">
      <w:rPr>
        <w:b/>
        <w:sz w:val="18"/>
      </w:rPr>
      <w:fldChar w:fldCharType="begin"/>
    </w:r>
    <w:r w:rsidRPr="008B7440">
      <w:rPr>
        <w:b/>
        <w:sz w:val="18"/>
      </w:rPr>
      <w:instrText xml:space="preserve"> PAGE  \* MERGEFORMAT </w:instrText>
    </w:r>
    <w:r w:rsidRPr="008B7440">
      <w:rPr>
        <w:b/>
        <w:sz w:val="18"/>
      </w:rPr>
      <w:fldChar w:fldCharType="separate"/>
    </w:r>
    <w:r w:rsidR="00FA0584">
      <w:rPr>
        <w:b/>
        <w:noProof/>
        <w:sz w:val="18"/>
      </w:rPr>
      <w:t>2</w:t>
    </w:r>
    <w:r w:rsidRPr="008B7440">
      <w:rPr>
        <w:b/>
        <w:sz w:val="18"/>
      </w:rPr>
      <w:fldChar w:fldCharType="end"/>
    </w:r>
    <w:r>
      <w:rPr>
        <w:b/>
        <w:sz w:val="18"/>
      </w:rPr>
      <w:tab/>
    </w:r>
    <w:r>
      <w:t>GE.18-04563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40" w:rsidRPr="008B7440" w:rsidRDefault="008B7440" w:rsidP="008B7440">
    <w:pPr>
      <w:pStyle w:val="Footer"/>
      <w:tabs>
        <w:tab w:val="right" w:pos="9638"/>
      </w:tabs>
      <w:rPr>
        <w:b/>
        <w:sz w:val="18"/>
      </w:rPr>
    </w:pPr>
    <w:r>
      <w:t>GE.18-04563</w:t>
    </w:r>
    <w:r>
      <w:tab/>
    </w:r>
    <w:r w:rsidRPr="008B7440">
      <w:rPr>
        <w:b/>
        <w:sz w:val="18"/>
      </w:rPr>
      <w:fldChar w:fldCharType="begin"/>
    </w:r>
    <w:r w:rsidRPr="008B7440">
      <w:rPr>
        <w:b/>
        <w:sz w:val="18"/>
      </w:rPr>
      <w:instrText xml:space="preserve"> PAGE  \* MERGEFORMAT </w:instrText>
    </w:r>
    <w:r w:rsidRPr="008B744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74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B7440" w:rsidRDefault="008B7440" w:rsidP="008B744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18-04563  (F)</w:t>
    </w:r>
    <w:r w:rsidR="00571CFE">
      <w:rPr>
        <w:sz w:val="20"/>
      </w:rPr>
      <w:t xml:space="preserve">    060418    180418</w:t>
    </w:r>
    <w:r>
      <w:rPr>
        <w:sz w:val="20"/>
      </w:rPr>
      <w:br/>
    </w:r>
    <w:r w:rsidRPr="008B7440">
      <w:rPr>
        <w:rFonts w:ascii="C39T30Lfz" w:hAnsi="C39T30Lfz"/>
        <w:sz w:val="56"/>
      </w:rPr>
      <w:t></w:t>
    </w:r>
    <w:r w:rsidRPr="008B7440">
      <w:rPr>
        <w:rFonts w:ascii="C39T30Lfz" w:hAnsi="C39T30Lfz"/>
        <w:sz w:val="56"/>
      </w:rPr>
      <w:t></w:t>
    </w:r>
    <w:r w:rsidRPr="008B7440">
      <w:rPr>
        <w:rFonts w:ascii="C39T30Lfz" w:hAnsi="C39T30Lfz"/>
        <w:sz w:val="56"/>
      </w:rPr>
      <w:t></w:t>
    </w:r>
    <w:r w:rsidRPr="008B7440">
      <w:rPr>
        <w:rFonts w:ascii="C39T30Lfz" w:hAnsi="C39T30Lfz"/>
        <w:sz w:val="56"/>
      </w:rPr>
      <w:t></w:t>
    </w:r>
    <w:r w:rsidRPr="008B7440">
      <w:rPr>
        <w:rFonts w:ascii="C39T30Lfz" w:hAnsi="C39T30Lfz"/>
        <w:sz w:val="56"/>
      </w:rPr>
      <w:t></w:t>
    </w:r>
    <w:r w:rsidRPr="008B7440">
      <w:rPr>
        <w:rFonts w:ascii="C39T30Lfz" w:hAnsi="C39T30Lfz"/>
        <w:sz w:val="56"/>
      </w:rPr>
      <w:t></w:t>
    </w:r>
    <w:r w:rsidRPr="008B7440">
      <w:rPr>
        <w:rFonts w:ascii="C39T30Lfz" w:hAnsi="C39T30Lfz"/>
        <w:sz w:val="56"/>
      </w:rPr>
      <w:t></w:t>
    </w:r>
    <w:r w:rsidRPr="008B7440">
      <w:rPr>
        <w:rFonts w:ascii="C39T30Lfz" w:hAnsi="C39T30Lfz"/>
        <w:sz w:val="56"/>
      </w:rPr>
      <w:t></w:t>
    </w:r>
    <w:r w:rsidRPr="008B744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2A" w:rsidRPr="00AC3823" w:rsidRDefault="009321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212A" w:rsidRPr="00AC3823" w:rsidRDefault="0093212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3212A" w:rsidRPr="00AC3823" w:rsidRDefault="0093212A">
      <w:pPr>
        <w:spacing w:line="240" w:lineRule="auto"/>
        <w:rPr>
          <w:sz w:val="2"/>
          <w:szCs w:val="2"/>
        </w:rPr>
      </w:pPr>
    </w:p>
  </w:footnote>
  <w:footnote w:id="2">
    <w:p w:rsidR="008B7440" w:rsidRPr="007E5C8F" w:rsidRDefault="008B7440" w:rsidP="008B7440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 w:rsidR="00571CFE">
        <w:rPr>
          <w:lang w:val="fr-FR"/>
        </w:rPr>
        <w:noBreakHyphen/>
      </w:r>
      <w:r>
        <w:rPr>
          <w:lang w:val="fr-FR"/>
        </w:rPr>
        <w:t>2019 (ECE/TRANS/274, par. 123, et ECE/TRANS/2018/21 et Add.1, module 3),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40" w:rsidRPr="008B7440" w:rsidRDefault="00FA058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030C2">
      <w:t>ECE/TRANS/WP.29/GRPE/2018/19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40" w:rsidRPr="008B7440" w:rsidRDefault="00FA0584" w:rsidP="008B744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030C2">
      <w:t>ECE/TRANS/WP.29/GRPE/2018/19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2A"/>
    <w:rsid w:val="000030C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1C00"/>
    <w:rsid w:val="00305801"/>
    <w:rsid w:val="003916DE"/>
    <w:rsid w:val="00441C3B"/>
    <w:rsid w:val="00446FE5"/>
    <w:rsid w:val="00452396"/>
    <w:rsid w:val="004837D8"/>
    <w:rsid w:val="004E468C"/>
    <w:rsid w:val="005240DD"/>
    <w:rsid w:val="005505B7"/>
    <w:rsid w:val="00571CFE"/>
    <w:rsid w:val="00573BE5"/>
    <w:rsid w:val="00586ED3"/>
    <w:rsid w:val="00596AA9"/>
    <w:rsid w:val="0071601D"/>
    <w:rsid w:val="007A62E6"/>
    <w:rsid w:val="007F20FA"/>
    <w:rsid w:val="0080371C"/>
    <w:rsid w:val="0080684C"/>
    <w:rsid w:val="00871C75"/>
    <w:rsid w:val="008776DC"/>
    <w:rsid w:val="008B7440"/>
    <w:rsid w:val="0093212A"/>
    <w:rsid w:val="009446C0"/>
    <w:rsid w:val="009705C8"/>
    <w:rsid w:val="009C1CF4"/>
    <w:rsid w:val="009D6FA2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6360F9-7138-4668-871F-1D736D2E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ECE/TRANS/WP.29/GRPE/2018/19</vt:lpstr>
      <vt:lpstr>ECE/TRANS/WP.29/GRPE/2018/19</vt:lpstr>
    </vt:vector>
  </TitlesOfParts>
  <Company>DCM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ECE/TRANS/WP.29/GRPE/2018/19</dc:title>
  <dc:subject/>
  <dc:creator>Annie BEAUNEE</dc:creator>
  <cp:keywords/>
  <cp:lastModifiedBy>Benedicte Boudol</cp:lastModifiedBy>
  <cp:revision>2</cp:revision>
  <cp:lastPrinted>2018-04-18T10:00:00Z</cp:lastPrinted>
  <dcterms:created xsi:type="dcterms:W3CDTF">2018-04-19T08:14:00Z</dcterms:created>
  <dcterms:modified xsi:type="dcterms:W3CDTF">2018-04-19T08:14:00Z</dcterms:modified>
</cp:coreProperties>
</file>