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917B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917BC" w:rsidP="009917BC">
            <w:pPr>
              <w:jc w:val="right"/>
            </w:pPr>
            <w:r w:rsidRPr="009917BC">
              <w:rPr>
                <w:sz w:val="40"/>
              </w:rPr>
              <w:t>ECE</w:t>
            </w:r>
            <w:r>
              <w:t>/TRANS/WP.29/GRRF/2018/3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917B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9917BC" w:rsidRDefault="009917BC" w:rsidP="009917BC">
            <w:pPr>
              <w:spacing w:line="240" w:lineRule="exact"/>
            </w:pPr>
            <w:r>
              <w:t>30 novembre 2017</w:t>
            </w:r>
          </w:p>
          <w:p w:rsidR="009917BC" w:rsidRDefault="009917BC" w:rsidP="009917BC">
            <w:pPr>
              <w:spacing w:line="240" w:lineRule="exact"/>
            </w:pPr>
            <w:r>
              <w:t>Français</w:t>
            </w:r>
          </w:p>
          <w:p w:rsidR="009917BC" w:rsidRPr="00DB58B5" w:rsidRDefault="009917BC" w:rsidP="009917B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35E1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917BC" w:rsidRDefault="009917B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35E1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917BC" w:rsidRDefault="009917BC" w:rsidP="00257168">
      <w:pPr>
        <w:spacing w:before="120" w:after="120" w:line="240" w:lineRule="exact"/>
        <w:rPr>
          <w:b/>
        </w:rPr>
      </w:pPr>
      <w:r>
        <w:rPr>
          <w:b/>
        </w:rPr>
        <w:t>Groupe de travail en matière de roulement et de freinage</w:t>
      </w:r>
    </w:p>
    <w:p w:rsidR="009917BC" w:rsidRDefault="009917BC" w:rsidP="00257168">
      <w:pPr>
        <w:spacing w:before="120" w:line="240" w:lineRule="exact"/>
        <w:rPr>
          <w:b/>
        </w:rPr>
      </w:pPr>
      <w:r w:rsidRPr="00F41760">
        <w:rPr>
          <w:rFonts w:eastAsia="Times New Roman"/>
          <w:b/>
          <w:lang w:val="fr-FR"/>
        </w:rPr>
        <w:t>Quatre-vingt-sixième</w:t>
      </w:r>
      <w:r>
        <w:rPr>
          <w:b/>
        </w:rPr>
        <w:t xml:space="preserve"> session</w:t>
      </w:r>
    </w:p>
    <w:p w:rsidR="009917BC" w:rsidRDefault="009917BC" w:rsidP="00257168">
      <w:pPr>
        <w:spacing w:line="240" w:lineRule="exact"/>
      </w:pPr>
      <w:r>
        <w:t xml:space="preserve">Genève, </w:t>
      </w:r>
      <w:r w:rsidRPr="00F41760">
        <w:rPr>
          <w:rFonts w:eastAsia="Times New Roman"/>
          <w:lang w:val="fr-FR"/>
        </w:rPr>
        <w:t>12-16</w:t>
      </w:r>
      <w:r>
        <w:rPr>
          <w:rFonts w:eastAsia="Times New Roman"/>
          <w:lang w:val="fr-FR"/>
        </w:rPr>
        <w:t xml:space="preserve"> </w:t>
      </w:r>
      <w:r w:rsidRPr="00F41760">
        <w:rPr>
          <w:rFonts w:eastAsia="Times New Roman"/>
          <w:lang w:val="fr-FR"/>
        </w:rPr>
        <w:t>février 2018</w:t>
      </w:r>
    </w:p>
    <w:p w:rsidR="009917BC" w:rsidRDefault="009917BC" w:rsidP="00257168">
      <w:pPr>
        <w:spacing w:line="240" w:lineRule="exact"/>
      </w:pPr>
      <w:r>
        <w:t>Point 3 c) de l</w:t>
      </w:r>
      <w:r w:rsidR="00135E10">
        <w:t>’</w:t>
      </w:r>
      <w:r>
        <w:t>ordre du jour provisoire</w:t>
      </w:r>
    </w:p>
    <w:p w:rsidR="009917BC" w:rsidRPr="00F41760" w:rsidRDefault="009917BC" w:rsidP="009917BC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F41760">
        <w:rPr>
          <w:rFonts w:eastAsia="Times New Roman"/>
          <w:b/>
          <w:lang w:val="fr-FR"/>
        </w:rPr>
        <w:t>Règlements n</w:t>
      </w:r>
      <w:r w:rsidRPr="00F41760">
        <w:rPr>
          <w:rFonts w:eastAsia="Times New Roman"/>
          <w:b/>
          <w:vertAlign w:val="superscript"/>
          <w:lang w:val="fr-FR"/>
        </w:rPr>
        <w:t>os</w:t>
      </w:r>
      <w:r>
        <w:rPr>
          <w:rFonts w:eastAsia="Times New Roman"/>
          <w:b/>
          <w:lang w:val="fr-FR"/>
        </w:rPr>
        <w:t> </w:t>
      </w:r>
      <w:r w:rsidRPr="00F41760">
        <w:rPr>
          <w:rFonts w:eastAsia="Times New Roman"/>
          <w:b/>
          <w:lang w:val="fr-FR"/>
        </w:rPr>
        <w:t>13, 13-H, 139 et 140</w:t>
      </w:r>
      <w:r>
        <w:rPr>
          <w:rFonts w:eastAsia="Times New Roman"/>
          <w:b/>
          <w:lang w:val="fr-FR"/>
        </w:rPr>
        <w:t> :</w:t>
      </w:r>
    </w:p>
    <w:p w:rsidR="009917BC" w:rsidRPr="00F41760" w:rsidRDefault="009917BC" w:rsidP="009917BC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F41760">
        <w:rPr>
          <w:rFonts w:eastAsia="Times New Roman"/>
          <w:b/>
          <w:lang w:val="fr-FR"/>
        </w:rPr>
        <w:t>Précisions</w:t>
      </w:r>
    </w:p>
    <w:p w:rsidR="009917BC" w:rsidRPr="00F41760" w:rsidRDefault="009917BC" w:rsidP="009917BC">
      <w:pPr>
        <w:pStyle w:val="HChG"/>
      </w:pPr>
      <w:bookmarkStart w:id="1" w:name="OLE_LINK2"/>
      <w:r w:rsidRPr="00F41760">
        <w:rPr>
          <w:lang w:val="fr-FR"/>
        </w:rPr>
        <w:tab/>
      </w:r>
      <w:r w:rsidRPr="00F41760">
        <w:rPr>
          <w:lang w:val="fr-FR"/>
        </w:rPr>
        <w:tab/>
        <w:t xml:space="preserve">Proposition de complément au Règlement </w:t>
      </w:r>
      <w:r w:rsidRPr="009917BC">
        <w:rPr>
          <w:rFonts w:eastAsia="MS Mincho"/>
          <w:szCs w:val="22"/>
          <w:lang w:val="fr-FR"/>
        </w:rPr>
        <w:t>n</w:t>
      </w:r>
      <w:r w:rsidRPr="009917BC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140</w:t>
      </w:r>
      <w:r>
        <w:rPr>
          <w:lang w:val="fr-FR"/>
        </w:rPr>
        <w:br/>
      </w:r>
      <w:r w:rsidRPr="00F41760">
        <w:rPr>
          <w:lang w:val="fr-FR"/>
        </w:rPr>
        <w:t>(systèmes de contrôle électronique de la stabilité)</w:t>
      </w:r>
      <w:bookmarkEnd w:id="1"/>
    </w:p>
    <w:p w:rsidR="009917BC" w:rsidRPr="00F41760" w:rsidRDefault="009917BC" w:rsidP="009917BC">
      <w:pPr>
        <w:pStyle w:val="H1G"/>
        <w:rPr>
          <w:szCs w:val="24"/>
        </w:rPr>
      </w:pPr>
      <w:r w:rsidRPr="00F41760">
        <w:rPr>
          <w:lang w:val="fr-FR"/>
        </w:rPr>
        <w:tab/>
      </w:r>
      <w:r w:rsidRPr="00F41760">
        <w:rPr>
          <w:lang w:val="fr-FR"/>
        </w:rPr>
        <w:tab/>
        <w:t>Communication de l</w:t>
      </w:r>
      <w:r w:rsidR="00135E10">
        <w:rPr>
          <w:lang w:val="fr-FR"/>
        </w:rPr>
        <w:t>’</w:t>
      </w:r>
      <w:r w:rsidRPr="00F41760">
        <w:rPr>
          <w:lang w:val="fr-FR"/>
        </w:rPr>
        <w:t>expert de l</w:t>
      </w:r>
      <w:r w:rsidR="00135E10">
        <w:rPr>
          <w:lang w:val="fr-FR"/>
        </w:rPr>
        <w:t>’</w:t>
      </w:r>
      <w:r w:rsidRPr="00F41760">
        <w:rPr>
          <w:lang w:val="fr-FR"/>
        </w:rPr>
        <w:t>Australie</w:t>
      </w:r>
      <w:r w:rsidRPr="009917B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917BC" w:rsidRDefault="009917BC" w:rsidP="009917BC">
      <w:pPr>
        <w:pStyle w:val="SingleTxtG"/>
        <w:ind w:firstLine="567"/>
        <w:rPr>
          <w:lang w:val="fr-FR"/>
        </w:rPr>
      </w:pPr>
      <w:r w:rsidRPr="00F41760">
        <w:rPr>
          <w:lang w:val="fr-FR"/>
        </w:rPr>
        <w:t>Le texte reproduit ci-après, établi par l</w:t>
      </w:r>
      <w:r w:rsidR="00135E10">
        <w:rPr>
          <w:lang w:val="fr-FR"/>
        </w:rPr>
        <w:t>’</w:t>
      </w:r>
      <w:r w:rsidRPr="00F41760">
        <w:rPr>
          <w:lang w:val="fr-FR"/>
        </w:rPr>
        <w:t>expert de Australie, vise à clarifier la prescription selon laquelle un système de contrôle électronique de la stabilité doit être mo</w:t>
      </w:r>
      <w:r w:rsidRPr="009917BC">
        <w:rPr>
          <w:lang w:val="fr-FR"/>
        </w:rPr>
        <w:t>n</w:t>
      </w:r>
      <w:r w:rsidRPr="00F41760">
        <w:rPr>
          <w:lang w:val="fr-FR"/>
        </w:rPr>
        <w:t>té sur tout véhicule d</w:t>
      </w:r>
      <w:r w:rsidR="00135E10">
        <w:rPr>
          <w:lang w:val="fr-FR"/>
        </w:rPr>
        <w:t>’</w:t>
      </w:r>
      <w:r w:rsidRPr="00F41760">
        <w:rPr>
          <w:lang w:val="fr-FR"/>
        </w:rPr>
        <w:t>un type homologué conformément au Règlement n</w:t>
      </w:r>
      <w:r w:rsidRPr="00F4176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F41760">
        <w:rPr>
          <w:lang w:val="fr-FR"/>
        </w:rPr>
        <w:t xml:space="preserve">140 (Systèmes de contrôle électronique de stabilité </w:t>
      </w:r>
      <w:r>
        <w:rPr>
          <w:lang w:val="fr-FR"/>
        </w:rPr>
        <w:t>−</w:t>
      </w:r>
      <w:r w:rsidRPr="00F41760">
        <w:rPr>
          <w:lang w:val="fr-FR"/>
        </w:rPr>
        <w:t xml:space="preserve"> ESC). Les modifications qu</w:t>
      </w:r>
      <w:r w:rsidR="00135E10">
        <w:rPr>
          <w:lang w:val="fr-FR"/>
        </w:rPr>
        <w:t>’</w:t>
      </w:r>
      <w:r w:rsidRPr="00F41760">
        <w:rPr>
          <w:lang w:val="fr-FR"/>
        </w:rPr>
        <w:t>il est proposé d</w:t>
      </w:r>
      <w:r w:rsidR="00135E10">
        <w:rPr>
          <w:lang w:val="fr-FR"/>
        </w:rPr>
        <w:t>’</w:t>
      </w:r>
      <w:r w:rsidRPr="00F41760">
        <w:rPr>
          <w:lang w:val="fr-FR"/>
        </w:rPr>
        <w:t xml:space="preserve">apporter au texte actuel du Règlement sont indiquées en mode </w:t>
      </w:r>
      <w:r>
        <w:rPr>
          <w:lang w:val="fr-FR"/>
        </w:rPr>
        <w:t>« </w:t>
      </w:r>
      <w:r w:rsidRPr="00F41760">
        <w:rPr>
          <w:lang w:val="fr-FR"/>
        </w:rPr>
        <w:t>suivi des modifications</w:t>
      </w:r>
      <w:r>
        <w:rPr>
          <w:lang w:val="fr-FR"/>
        </w:rPr>
        <w:t> »</w:t>
      </w:r>
      <w:r w:rsidRPr="00F41760">
        <w:rPr>
          <w:lang w:val="fr-FR"/>
        </w:rPr>
        <w:t>.</w:t>
      </w:r>
    </w:p>
    <w:p w:rsidR="009917BC" w:rsidRPr="00F41760" w:rsidRDefault="009917BC" w:rsidP="009917BC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F41760">
        <w:rPr>
          <w:lang w:val="fr-FR"/>
        </w:rPr>
        <w:t>I.</w:t>
      </w:r>
      <w:r w:rsidRPr="00F41760">
        <w:rPr>
          <w:lang w:val="fr-FR"/>
        </w:rPr>
        <w:tab/>
        <w:t>Proposition</w:t>
      </w:r>
    </w:p>
    <w:p w:rsidR="009917BC" w:rsidRPr="00F41760" w:rsidRDefault="009917BC" w:rsidP="009917BC">
      <w:pPr>
        <w:pStyle w:val="SingleTxtG"/>
      </w:pPr>
      <w:r w:rsidRPr="00F41760">
        <w:rPr>
          <w:i/>
          <w:iCs/>
          <w:lang w:val="fr-FR"/>
        </w:rPr>
        <w:t>Paragraphe 5.1</w:t>
      </w:r>
      <w:r w:rsidRPr="00F41760">
        <w:rPr>
          <w:lang w:val="fr-FR"/>
        </w:rPr>
        <w:t>, modifier comme suit</w:t>
      </w:r>
      <w:r>
        <w:rPr>
          <w:lang w:val="fr-FR"/>
        </w:rPr>
        <w:t> </w:t>
      </w:r>
      <w:r w:rsidRPr="00F41760">
        <w:rPr>
          <w:lang w:val="fr-FR"/>
        </w:rPr>
        <w:t>:</w:t>
      </w:r>
    </w:p>
    <w:p w:rsidR="009917BC" w:rsidRPr="00F41760" w:rsidRDefault="009917BC" w:rsidP="009917BC">
      <w:pPr>
        <w:pStyle w:val="SingleTxtG"/>
        <w:ind w:left="2268" w:hanging="1134"/>
      </w:pPr>
      <w:r>
        <w:rPr>
          <w:lang w:val="fr-FR"/>
        </w:rPr>
        <w:t>« </w:t>
      </w:r>
      <w:r w:rsidRPr="00F41760">
        <w:rPr>
          <w:lang w:val="fr-FR"/>
        </w:rPr>
        <w:t>5.1</w:t>
      </w:r>
      <w:r w:rsidRPr="00F41760">
        <w:rPr>
          <w:lang w:val="fr-FR"/>
        </w:rPr>
        <w:tab/>
        <w:t>Les véhicules doivent être équipés d</w:t>
      </w:r>
      <w:r w:rsidR="00135E10">
        <w:rPr>
          <w:lang w:val="fr-FR"/>
        </w:rPr>
        <w:t>’</w:t>
      </w:r>
      <w:r w:rsidRPr="00F41760">
        <w:rPr>
          <w:lang w:val="fr-FR"/>
        </w:rPr>
        <w:t>un système de contrôle électronique de la stabilité (ESC) satisfaisant aux prescriptions fonctionnelles énoncées au paragraphe 6 et aux prescriptions d</w:t>
      </w:r>
      <w:r w:rsidR="00135E10">
        <w:rPr>
          <w:lang w:val="fr-FR"/>
        </w:rPr>
        <w:t>’</w:t>
      </w:r>
      <w:r w:rsidRPr="00F41760">
        <w:rPr>
          <w:lang w:val="fr-FR"/>
        </w:rPr>
        <w:t>efficacité énoncées au paragraphe 7, dans le cadre des procédures d</w:t>
      </w:r>
      <w:r w:rsidR="00135E10">
        <w:rPr>
          <w:lang w:val="fr-FR"/>
        </w:rPr>
        <w:t>’</w:t>
      </w:r>
      <w:r w:rsidRPr="00F41760">
        <w:rPr>
          <w:lang w:val="fr-FR"/>
        </w:rPr>
        <w:t>essai décrites au paragraphe 9 et dans les conditions d</w:t>
      </w:r>
      <w:r w:rsidR="00135E10">
        <w:rPr>
          <w:lang w:val="fr-FR"/>
        </w:rPr>
        <w:t>’</w:t>
      </w:r>
      <w:r w:rsidRPr="00F41760">
        <w:rPr>
          <w:lang w:val="fr-FR"/>
        </w:rPr>
        <w:t>essai spécifiées au paragraphe 8 du présent Règlement.</w:t>
      </w:r>
      <w:r>
        <w:t> »</w:t>
      </w:r>
      <w:r w:rsidR="00135E10">
        <w:t>.</w:t>
      </w:r>
    </w:p>
    <w:p w:rsidR="009917BC" w:rsidRPr="00F41760" w:rsidRDefault="009917BC" w:rsidP="009917BC">
      <w:pPr>
        <w:pStyle w:val="SingleTxtG"/>
        <w:rPr>
          <w:rFonts w:eastAsia="Times New Roman"/>
        </w:rPr>
      </w:pPr>
      <w:r w:rsidRPr="00F41760">
        <w:rPr>
          <w:rFonts w:eastAsia="Times New Roman"/>
          <w:i/>
          <w:iCs/>
        </w:rPr>
        <w:t>Annexe 4, paragraphe 2.1</w:t>
      </w:r>
      <w:r w:rsidRPr="00F41760">
        <w:rPr>
          <w:rFonts w:eastAsia="Times New Roman"/>
        </w:rPr>
        <w:t>, modifier comme suit</w:t>
      </w:r>
      <w:r>
        <w:rPr>
          <w:rFonts w:eastAsia="Times New Roman"/>
        </w:rPr>
        <w:t> </w:t>
      </w:r>
      <w:r w:rsidRPr="00F41760">
        <w:rPr>
          <w:rFonts w:eastAsia="Times New Roman"/>
        </w:rPr>
        <w:t>:</w:t>
      </w:r>
    </w:p>
    <w:p w:rsidR="009917BC" w:rsidRPr="00F41760" w:rsidRDefault="009917BC" w:rsidP="009917BC">
      <w:pPr>
        <w:pStyle w:val="SingleTxtG"/>
        <w:ind w:left="2268" w:hanging="1134"/>
      </w:pPr>
      <w:r>
        <w:t>« </w:t>
      </w:r>
      <w:r w:rsidR="00135E10">
        <w:t>2.1</w:t>
      </w:r>
      <w:r w:rsidRPr="00F41760">
        <w:tab/>
        <w:t>Il convient de vérifier la validité de l</w:t>
      </w:r>
      <w:r w:rsidR="00135E10">
        <w:t>’</w:t>
      </w:r>
      <w:r w:rsidRPr="00F41760">
        <w:t>outil de modélisation et de simulation utilisé en procédant à des comparaisons avec des essais effectués sur un véhicule dans des conditions réelles. Les essais à prendre en compte pour la validation doivent être les manœuvres dynamiques décrites au paragraphe 9.9 du présent Règlement.</w:t>
      </w:r>
    </w:p>
    <w:p w:rsidR="009917BC" w:rsidRPr="00F41760" w:rsidRDefault="009917BC" w:rsidP="00135E10">
      <w:pPr>
        <w:pStyle w:val="SingleTxtG"/>
        <w:ind w:left="2268"/>
      </w:pPr>
      <w:r w:rsidRPr="00F41760">
        <w:t xml:space="preserve">Pendant les essais, les variables de mouvement ci-après, selon le cas, doivent être enregistrées ou calculées conformément à la norme ISO 15037 </w:t>
      </w:r>
      <w:r w:rsidR="00135E10">
        <w:t>−</w:t>
      </w:r>
      <w:r w:rsidRPr="00F41760">
        <w:t xml:space="preserve"> Partie 1:2006 : Conditions générales pour voitures particulières ou Partie 2:2002 : Conditions générales pour véhicules lourds et autobus (selon la catégorie du véhicule) :</w:t>
      </w:r>
    </w:p>
    <w:p w:rsidR="009917BC" w:rsidRPr="00F41760" w:rsidRDefault="00135E10" w:rsidP="009917BC">
      <w:pPr>
        <w:kinsoku/>
        <w:overflowPunct/>
        <w:autoSpaceDE/>
        <w:autoSpaceDN/>
        <w:adjustRightInd/>
        <w:snapToGrid/>
        <w:spacing w:after="120"/>
        <w:ind w:left="2268" w:right="1133"/>
        <w:jc w:val="both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</w:r>
      <w:r w:rsidR="009917BC" w:rsidRPr="00F41760">
        <w:rPr>
          <w:rFonts w:eastAsia="Times New Roman"/>
        </w:rPr>
        <w:t>Angle au volant (</w:t>
      </w:r>
      <w:r w:rsidR="009917BC" w:rsidRPr="00F41760">
        <w:rPr>
          <w:rFonts w:eastAsia="Times New Roman"/>
          <w:i/>
          <w:lang w:val="en-GB"/>
        </w:rPr>
        <w:sym w:font="Symbol" w:char="F064"/>
      </w:r>
      <w:r w:rsidR="009917BC" w:rsidRPr="00F41760">
        <w:rPr>
          <w:rFonts w:eastAsia="Times New Roman"/>
        </w:rPr>
        <w:t>H)</w:t>
      </w:r>
      <w:r>
        <w:rPr>
          <w:rFonts w:eastAsia="Times New Roman"/>
        </w:rPr>
        <w:t> ;</w:t>
      </w:r>
    </w:p>
    <w:p w:rsidR="009917BC" w:rsidRPr="00F41760" w:rsidRDefault="00135E10" w:rsidP="009917BC">
      <w:pPr>
        <w:kinsoku/>
        <w:overflowPunct/>
        <w:autoSpaceDE/>
        <w:autoSpaceDN/>
        <w:adjustRightInd/>
        <w:snapToGrid/>
        <w:spacing w:after="120"/>
        <w:ind w:left="2268" w:right="1133"/>
        <w:jc w:val="both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</w:r>
      <w:r w:rsidR="009917BC" w:rsidRPr="00F41760">
        <w:rPr>
          <w:rFonts w:eastAsia="Times New Roman"/>
        </w:rPr>
        <w:t>Vitesse longitudinale (</w:t>
      </w:r>
      <w:proofErr w:type="spellStart"/>
      <w:r w:rsidR="009917BC" w:rsidRPr="00F41760">
        <w:rPr>
          <w:rFonts w:eastAsia="Times New Roman"/>
          <w:i/>
        </w:rPr>
        <w:t>vX</w:t>
      </w:r>
      <w:proofErr w:type="spellEnd"/>
      <w:r>
        <w:rPr>
          <w:rFonts w:eastAsia="Times New Roman"/>
        </w:rPr>
        <w:t>) ;</w:t>
      </w:r>
    </w:p>
    <w:p w:rsidR="009917BC" w:rsidRPr="00F41760" w:rsidRDefault="00135E10" w:rsidP="009917BC">
      <w:pPr>
        <w:kinsoku/>
        <w:overflowPunct/>
        <w:autoSpaceDE/>
        <w:autoSpaceDN/>
        <w:adjustRightInd/>
        <w:snapToGrid/>
        <w:spacing w:after="120"/>
        <w:ind w:left="2268" w:right="1133"/>
        <w:jc w:val="both"/>
        <w:rPr>
          <w:rFonts w:eastAsia="Times New Roman"/>
        </w:rPr>
      </w:pPr>
      <w:r>
        <w:rPr>
          <w:rFonts w:eastAsia="Times New Roman"/>
        </w:rPr>
        <w:t>c)</w:t>
      </w:r>
      <w:r>
        <w:rPr>
          <w:rFonts w:eastAsia="Times New Roman"/>
        </w:rPr>
        <w:tab/>
      </w:r>
      <w:r w:rsidR="009917BC" w:rsidRPr="00F41760">
        <w:rPr>
          <w:rFonts w:eastAsia="Times New Roman"/>
        </w:rPr>
        <w:t>Angle de dérive (</w:t>
      </w:r>
      <w:r w:rsidR="009917BC" w:rsidRPr="00F41760">
        <w:rPr>
          <w:rFonts w:eastAsia="Times New Roman"/>
          <w:i/>
          <w:lang w:val="en-GB"/>
        </w:rPr>
        <w:sym w:font="Symbol" w:char="F062"/>
      </w:r>
      <w:r w:rsidR="009917BC" w:rsidRPr="00F41760">
        <w:rPr>
          <w:rFonts w:eastAsia="Times New Roman"/>
        </w:rPr>
        <w:t>) ou vitesse latérale (</w:t>
      </w:r>
      <w:proofErr w:type="spellStart"/>
      <w:r w:rsidR="009917BC" w:rsidRPr="00F41760">
        <w:rPr>
          <w:rFonts w:eastAsia="Times New Roman"/>
          <w:i/>
        </w:rPr>
        <w:t>vY</w:t>
      </w:r>
      <w:proofErr w:type="spellEnd"/>
      <w:r w:rsidR="009917BC" w:rsidRPr="00F41760">
        <w:rPr>
          <w:rFonts w:eastAsia="Times New Roman"/>
        </w:rPr>
        <w:t>)</w:t>
      </w:r>
      <w:r w:rsidR="00C72E92">
        <w:rPr>
          <w:rFonts w:eastAsia="Times New Roman"/>
        </w:rPr>
        <w:t> </w:t>
      </w:r>
      <w:r w:rsidR="009917BC" w:rsidRPr="00F41760">
        <w:rPr>
          <w:rFonts w:eastAsia="Times New Roman"/>
        </w:rPr>
        <w:t>; (facultatif) ;</w:t>
      </w:r>
    </w:p>
    <w:p w:rsidR="009917BC" w:rsidRPr="00F41760" w:rsidRDefault="00135E10" w:rsidP="009917BC">
      <w:pPr>
        <w:kinsoku/>
        <w:overflowPunct/>
        <w:autoSpaceDE/>
        <w:autoSpaceDN/>
        <w:adjustRightInd/>
        <w:snapToGrid/>
        <w:spacing w:after="120"/>
        <w:ind w:left="2268" w:right="1133"/>
        <w:jc w:val="both"/>
        <w:rPr>
          <w:rFonts w:eastAsia="Times New Roman"/>
        </w:rPr>
      </w:pPr>
      <w:r>
        <w:rPr>
          <w:rFonts w:eastAsia="Times New Roman"/>
        </w:rPr>
        <w:t>d)</w:t>
      </w:r>
      <w:r>
        <w:rPr>
          <w:rFonts w:eastAsia="Times New Roman"/>
        </w:rPr>
        <w:tab/>
      </w:r>
      <w:r w:rsidR="009917BC" w:rsidRPr="00F41760">
        <w:rPr>
          <w:rFonts w:eastAsia="Times New Roman"/>
        </w:rPr>
        <w:t>Accélération longitudinale (</w:t>
      </w:r>
      <w:proofErr w:type="spellStart"/>
      <w:r w:rsidR="009917BC" w:rsidRPr="00F41760">
        <w:rPr>
          <w:rFonts w:eastAsia="Times New Roman"/>
          <w:i/>
        </w:rPr>
        <w:t>aX</w:t>
      </w:r>
      <w:proofErr w:type="spellEnd"/>
      <w:r w:rsidR="009917BC" w:rsidRPr="00F41760">
        <w:rPr>
          <w:rFonts w:eastAsia="Times New Roman"/>
        </w:rPr>
        <w:t>)</w:t>
      </w:r>
      <w:r w:rsidR="00C72E92">
        <w:rPr>
          <w:rFonts w:eastAsia="Times New Roman"/>
        </w:rPr>
        <w:t> </w:t>
      </w:r>
      <w:r w:rsidR="009917BC" w:rsidRPr="00F41760">
        <w:rPr>
          <w:rFonts w:eastAsia="Times New Roman"/>
        </w:rPr>
        <w:t>; (facultatif) ;</w:t>
      </w:r>
    </w:p>
    <w:p w:rsidR="009917BC" w:rsidRPr="00F41760" w:rsidRDefault="00135E10" w:rsidP="009917BC">
      <w:pPr>
        <w:kinsoku/>
        <w:overflowPunct/>
        <w:autoSpaceDE/>
        <w:autoSpaceDN/>
        <w:adjustRightInd/>
        <w:snapToGrid/>
        <w:spacing w:after="120"/>
        <w:ind w:left="2268" w:right="1133"/>
        <w:jc w:val="both"/>
        <w:rPr>
          <w:rFonts w:eastAsia="Times New Roman"/>
        </w:rPr>
      </w:pPr>
      <w:r>
        <w:rPr>
          <w:rFonts w:eastAsia="Times New Roman"/>
        </w:rPr>
        <w:t>e)</w:t>
      </w:r>
      <w:r>
        <w:rPr>
          <w:rFonts w:eastAsia="Times New Roman"/>
        </w:rPr>
        <w:tab/>
      </w:r>
      <w:r w:rsidR="009917BC" w:rsidRPr="00F41760">
        <w:rPr>
          <w:rFonts w:eastAsia="Times New Roman"/>
        </w:rPr>
        <w:t>Accélération latérale (</w:t>
      </w:r>
      <w:r w:rsidR="009917BC" w:rsidRPr="00F41760">
        <w:rPr>
          <w:rFonts w:eastAsia="Times New Roman"/>
          <w:i/>
        </w:rPr>
        <w:t>a</w:t>
      </w:r>
      <w:r w:rsidR="009917BC" w:rsidRPr="00F41760">
        <w:rPr>
          <w:rFonts w:eastAsia="Times New Roman"/>
          <w:i/>
          <w:lang w:val="en-GB"/>
        </w:rPr>
        <w:t>Ү</w:t>
      </w:r>
      <w:r w:rsidR="009917BC" w:rsidRPr="00F41760">
        <w:rPr>
          <w:rFonts w:eastAsia="Times New Roman"/>
        </w:rPr>
        <w:t>) ;</w:t>
      </w:r>
    </w:p>
    <w:p w:rsidR="009917BC" w:rsidRPr="00F41760" w:rsidRDefault="00135E10" w:rsidP="009917BC">
      <w:pPr>
        <w:kinsoku/>
        <w:overflowPunct/>
        <w:autoSpaceDE/>
        <w:autoSpaceDN/>
        <w:adjustRightInd/>
        <w:snapToGrid/>
        <w:spacing w:after="120"/>
        <w:ind w:left="2268" w:right="1133"/>
        <w:jc w:val="both"/>
        <w:rPr>
          <w:rFonts w:eastAsia="Times New Roman"/>
        </w:rPr>
      </w:pPr>
      <w:r>
        <w:rPr>
          <w:rFonts w:eastAsia="Times New Roman"/>
        </w:rPr>
        <w:t>f)</w:t>
      </w:r>
      <w:r>
        <w:rPr>
          <w:rFonts w:eastAsia="Times New Roman"/>
        </w:rPr>
        <w:tab/>
      </w:r>
      <w:r w:rsidR="009917BC" w:rsidRPr="00F41760">
        <w:rPr>
          <w:rFonts w:eastAsia="Times New Roman"/>
        </w:rPr>
        <w:t>Vitesse de lacet (d</w:t>
      </w:r>
      <w:r w:rsidR="009917BC" w:rsidRPr="00F41760">
        <w:rPr>
          <w:rFonts w:eastAsia="Times New Roman"/>
          <w:i/>
          <w:lang w:val="en-GB"/>
        </w:rPr>
        <w:sym w:font="Symbol" w:char="F079"/>
      </w:r>
      <w:r w:rsidR="009917BC" w:rsidRPr="00F41760">
        <w:rPr>
          <w:rFonts w:eastAsia="Times New Roman"/>
        </w:rPr>
        <w:t>/</w:t>
      </w:r>
      <w:proofErr w:type="spellStart"/>
      <w:r w:rsidR="009917BC" w:rsidRPr="00F41760">
        <w:rPr>
          <w:rFonts w:eastAsia="Times New Roman"/>
        </w:rPr>
        <w:t>d</w:t>
      </w:r>
      <w:r w:rsidR="009917BC" w:rsidRPr="00F41760">
        <w:rPr>
          <w:rFonts w:eastAsia="Times New Roman"/>
          <w:i/>
        </w:rPr>
        <w:t>t</w:t>
      </w:r>
      <w:proofErr w:type="spellEnd"/>
      <w:r w:rsidR="009917BC" w:rsidRPr="00F41760">
        <w:rPr>
          <w:rFonts w:eastAsia="Times New Roman"/>
        </w:rPr>
        <w:t>) ;</w:t>
      </w:r>
    </w:p>
    <w:p w:rsidR="009917BC" w:rsidRPr="00F41760" w:rsidRDefault="00135E10" w:rsidP="009917BC">
      <w:pPr>
        <w:kinsoku/>
        <w:overflowPunct/>
        <w:autoSpaceDE/>
        <w:autoSpaceDN/>
        <w:adjustRightInd/>
        <w:snapToGrid/>
        <w:spacing w:after="120"/>
        <w:ind w:left="2268" w:right="1133"/>
        <w:jc w:val="both"/>
        <w:rPr>
          <w:rFonts w:eastAsia="Times New Roman"/>
        </w:rPr>
      </w:pPr>
      <w:r>
        <w:rPr>
          <w:rFonts w:eastAsia="Times New Roman"/>
        </w:rPr>
        <w:t>g)</w:t>
      </w:r>
      <w:r>
        <w:rPr>
          <w:rFonts w:eastAsia="Times New Roman"/>
        </w:rPr>
        <w:tab/>
      </w:r>
      <w:r w:rsidR="009917BC" w:rsidRPr="00F41760">
        <w:rPr>
          <w:rFonts w:eastAsia="Times New Roman"/>
        </w:rPr>
        <w:t>Vitesse de roulis (d</w:t>
      </w:r>
      <w:r w:rsidR="009917BC" w:rsidRPr="00F41760">
        <w:rPr>
          <w:rFonts w:eastAsia="Times New Roman"/>
          <w:i/>
          <w:lang w:val="en-GB"/>
        </w:rPr>
        <w:sym w:font="Symbol" w:char="F06A"/>
      </w:r>
      <w:r w:rsidR="009917BC" w:rsidRPr="00F41760">
        <w:rPr>
          <w:rFonts w:eastAsia="Times New Roman"/>
        </w:rPr>
        <w:t>/</w:t>
      </w:r>
      <w:proofErr w:type="spellStart"/>
      <w:r w:rsidR="009917BC" w:rsidRPr="00F41760">
        <w:rPr>
          <w:rFonts w:eastAsia="Times New Roman"/>
        </w:rPr>
        <w:t>d</w:t>
      </w:r>
      <w:r w:rsidR="009917BC" w:rsidRPr="00F41760">
        <w:rPr>
          <w:rFonts w:eastAsia="Times New Roman"/>
          <w:i/>
        </w:rPr>
        <w:t>t</w:t>
      </w:r>
      <w:proofErr w:type="spellEnd"/>
      <w:r w:rsidR="009917BC" w:rsidRPr="00F41760">
        <w:rPr>
          <w:rFonts w:eastAsia="Times New Roman"/>
        </w:rPr>
        <w:t>) ;</w:t>
      </w:r>
    </w:p>
    <w:p w:rsidR="009917BC" w:rsidRPr="00F41760" w:rsidRDefault="00135E10" w:rsidP="009917BC">
      <w:pPr>
        <w:kinsoku/>
        <w:overflowPunct/>
        <w:autoSpaceDE/>
        <w:autoSpaceDN/>
        <w:adjustRightInd/>
        <w:snapToGrid/>
        <w:spacing w:after="120"/>
        <w:ind w:left="2268" w:right="1133"/>
        <w:jc w:val="both"/>
        <w:rPr>
          <w:rFonts w:eastAsia="Times New Roman"/>
        </w:rPr>
      </w:pPr>
      <w:r>
        <w:rPr>
          <w:rFonts w:eastAsia="Times New Roman"/>
        </w:rPr>
        <w:t>h)</w:t>
      </w:r>
      <w:r>
        <w:rPr>
          <w:rFonts w:eastAsia="Times New Roman"/>
        </w:rPr>
        <w:tab/>
      </w:r>
      <w:r w:rsidR="009917BC" w:rsidRPr="00F41760">
        <w:rPr>
          <w:rFonts w:eastAsia="Times New Roman"/>
        </w:rPr>
        <w:t>Vitesse de tangage (d</w:t>
      </w:r>
      <w:r w:rsidR="009917BC" w:rsidRPr="00F41760">
        <w:rPr>
          <w:rFonts w:eastAsia="Times New Roman"/>
          <w:lang w:val="en-GB"/>
        </w:rPr>
        <w:sym w:font="Symbol" w:char="F071"/>
      </w:r>
      <w:r w:rsidR="009917BC" w:rsidRPr="00F41760">
        <w:rPr>
          <w:rFonts w:eastAsia="Times New Roman"/>
        </w:rPr>
        <w:t>/</w:t>
      </w:r>
      <w:proofErr w:type="spellStart"/>
      <w:r w:rsidR="009917BC" w:rsidRPr="00F41760">
        <w:rPr>
          <w:rFonts w:eastAsia="Times New Roman"/>
        </w:rPr>
        <w:t>dt</w:t>
      </w:r>
      <w:proofErr w:type="spellEnd"/>
      <w:r w:rsidR="009917BC" w:rsidRPr="00F41760">
        <w:rPr>
          <w:rFonts w:eastAsia="Times New Roman"/>
        </w:rPr>
        <w:t>) ;</w:t>
      </w:r>
    </w:p>
    <w:p w:rsidR="009917BC" w:rsidRPr="00F41760" w:rsidRDefault="00135E10" w:rsidP="009917BC">
      <w:pPr>
        <w:kinsoku/>
        <w:overflowPunct/>
        <w:autoSpaceDE/>
        <w:autoSpaceDN/>
        <w:adjustRightInd/>
        <w:snapToGrid/>
        <w:spacing w:after="120"/>
        <w:ind w:left="2268" w:right="1133"/>
        <w:jc w:val="both"/>
        <w:rPr>
          <w:rFonts w:eastAsia="Times New Roman"/>
        </w:rPr>
      </w:pPr>
      <w:r>
        <w:rPr>
          <w:rFonts w:eastAsia="Times New Roman"/>
        </w:rPr>
        <w:t>i)</w:t>
      </w:r>
      <w:r>
        <w:rPr>
          <w:rFonts w:eastAsia="Times New Roman"/>
        </w:rPr>
        <w:tab/>
      </w:r>
      <w:r w:rsidR="009917BC" w:rsidRPr="00F41760">
        <w:rPr>
          <w:rFonts w:eastAsia="Times New Roman"/>
        </w:rPr>
        <w:t>Angle de roulis (</w:t>
      </w:r>
      <w:r w:rsidR="009917BC" w:rsidRPr="00F41760">
        <w:rPr>
          <w:rFonts w:eastAsia="Times New Roman"/>
          <w:i/>
          <w:lang w:val="en-GB"/>
        </w:rPr>
        <w:sym w:font="Symbol" w:char="F06A"/>
      </w:r>
      <w:r w:rsidR="009917BC" w:rsidRPr="00F41760">
        <w:rPr>
          <w:rFonts w:eastAsia="Times New Roman"/>
        </w:rPr>
        <w:t>) ;</w:t>
      </w:r>
    </w:p>
    <w:p w:rsidR="009917BC" w:rsidRPr="00F41760" w:rsidRDefault="00135E10" w:rsidP="009917BC">
      <w:pPr>
        <w:kinsoku/>
        <w:overflowPunct/>
        <w:autoSpaceDE/>
        <w:autoSpaceDN/>
        <w:adjustRightInd/>
        <w:snapToGrid/>
        <w:spacing w:after="120"/>
        <w:ind w:left="2268" w:right="1133"/>
        <w:jc w:val="both"/>
        <w:rPr>
          <w:rFonts w:eastAsia="Times New Roman"/>
        </w:rPr>
      </w:pPr>
      <w:r>
        <w:rPr>
          <w:rFonts w:eastAsia="Times New Roman"/>
        </w:rPr>
        <w:t>j)</w:t>
      </w:r>
      <w:r>
        <w:rPr>
          <w:rFonts w:eastAsia="Times New Roman"/>
        </w:rPr>
        <w:tab/>
      </w:r>
      <w:r w:rsidR="009917BC" w:rsidRPr="00F41760">
        <w:rPr>
          <w:rFonts w:eastAsia="Times New Roman"/>
        </w:rPr>
        <w:t>Angle de tangage (</w:t>
      </w:r>
      <w:r w:rsidR="009917BC" w:rsidRPr="00F41760">
        <w:rPr>
          <w:rFonts w:eastAsia="Times New Roman"/>
          <w:i/>
          <w:lang w:val="en-GB"/>
        </w:rPr>
        <w:sym w:font="Symbol" w:char="F071"/>
      </w:r>
      <w:r w:rsidR="009917BC" w:rsidRPr="00F41760">
        <w:rPr>
          <w:rFonts w:eastAsia="Times New Roman"/>
        </w:rPr>
        <w:t>)</w:t>
      </w:r>
      <w:r w:rsidR="009917BC">
        <w:rPr>
          <w:rFonts w:eastAsia="Times New Roman"/>
        </w:rPr>
        <w:t> »</w:t>
      </w:r>
      <w:r>
        <w:rPr>
          <w:rFonts w:eastAsia="Times New Roman"/>
        </w:rPr>
        <w:t>.</w:t>
      </w:r>
    </w:p>
    <w:p w:rsidR="009917BC" w:rsidRPr="00F41760" w:rsidRDefault="00135E10" w:rsidP="00135E10">
      <w:pPr>
        <w:pStyle w:val="HChG"/>
      </w:pPr>
      <w:r>
        <w:rPr>
          <w:lang w:val="fr-FR"/>
        </w:rPr>
        <w:tab/>
      </w:r>
      <w:r w:rsidR="009917BC" w:rsidRPr="00F41760">
        <w:rPr>
          <w:lang w:val="fr-FR"/>
        </w:rPr>
        <w:t>II.</w:t>
      </w:r>
      <w:r w:rsidR="009917BC" w:rsidRPr="00F41760">
        <w:rPr>
          <w:lang w:val="fr-FR"/>
        </w:rPr>
        <w:tab/>
        <w:t>Justification</w:t>
      </w:r>
    </w:p>
    <w:p w:rsidR="009917BC" w:rsidRPr="00F41760" w:rsidRDefault="009917BC" w:rsidP="00135E10">
      <w:pPr>
        <w:pStyle w:val="SingleTxtG"/>
      </w:pPr>
      <w:r w:rsidRPr="00F41760">
        <w:rPr>
          <w:lang w:val="fr-FR"/>
        </w:rPr>
        <w:t>1.</w:t>
      </w:r>
      <w:r w:rsidRPr="00F41760">
        <w:rPr>
          <w:lang w:val="fr-FR"/>
        </w:rPr>
        <w:tab/>
      </w:r>
      <w:r w:rsidRPr="00135E10">
        <w:t>Le</w:t>
      </w:r>
      <w:r w:rsidRPr="00F41760">
        <w:rPr>
          <w:lang w:val="fr-FR"/>
        </w:rPr>
        <w:t xml:space="preserve"> libellé actuel du paragraphe 5.1 est repris du Règlement n</w:t>
      </w:r>
      <w:r w:rsidRPr="00F41760">
        <w:rPr>
          <w:vertAlign w:val="superscript"/>
          <w:lang w:val="fr-FR"/>
        </w:rPr>
        <w:t>o</w:t>
      </w:r>
      <w:r w:rsidR="00135E10">
        <w:rPr>
          <w:lang w:val="fr-FR"/>
        </w:rPr>
        <w:t> </w:t>
      </w:r>
      <w:r w:rsidRPr="00F41760">
        <w:rPr>
          <w:lang w:val="fr-FR"/>
        </w:rPr>
        <w:t>13-H dans sa version originale. Ce texte spécifie toutefois que les prescriptions relatives aux systèmes de contrôle électronique de stabilité ne s</w:t>
      </w:r>
      <w:r w:rsidR="00135E10">
        <w:rPr>
          <w:lang w:val="fr-FR"/>
        </w:rPr>
        <w:t>’</w:t>
      </w:r>
      <w:r w:rsidRPr="00F41760">
        <w:rPr>
          <w:lang w:val="fr-FR"/>
        </w:rPr>
        <w:t xml:space="preserve">appliquent </w:t>
      </w:r>
      <w:r w:rsidRPr="00F41760">
        <w:rPr>
          <w:i/>
          <w:iCs/>
          <w:lang w:val="fr-FR"/>
        </w:rPr>
        <w:t>que si le véhicule en est équipé</w:t>
      </w:r>
      <w:r w:rsidR="00135E10">
        <w:rPr>
          <w:lang w:val="fr-FR"/>
        </w:rPr>
        <w:t xml:space="preserve">. </w:t>
      </w:r>
      <w:r w:rsidRPr="00F41760">
        <w:rPr>
          <w:lang w:val="fr-FR"/>
        </w:rPr>
        <w:t>D</w:t>
      </w:r>
      <w:r w:rsidR="00135E10">
        <w:rPr>
          <w:lang w:val="fr-FR"/>
        </w:rPr>
        <w:t>’</w:t>
      </w:r>
      <w:r w:rsidRPr="00F41760">
        <w:rPr>
          <w:lang w:val="fr-FR"/>
        </w:rPr>
        <w:t>un autre côté, il est prévu que tous les véhicules d</w:t>
      </w:r>
      <w:r w:rsidR="00135E10">
        <w:rPr>
          <w:lang w:val="fr-FR"/>
        </w:rPr>
        <w:t>’</w:t>
      </w:r>
      <w:r w:rsidRPr="00F41760">
        <w:rPr>
          <w:lang w:val="fr-FR"/>
        </w:rPr>
        <w:t>un type homologué conformément au Règlement n</w:t>
      </w:r>
      <w:r w:rsidRPr="00F41760">
        <w:rPr>
          <w:vertAlign w:val="superscript"/>
          <w:lang w:val="fr-FR"/>
        </w:rPr>
        <w:t>o</w:t>
      </w:r>
      <w:r w:rsidR="00135E10">
        <w:rPr>
          <w:lang w:val="fr-FR"/>
        </w:rPr>
        <w:t> </w:t>
      </w:r>
      <w:r w:rsidRPr="00F41760">
        <w:rPr>
          <w:lang w:val="fr-FR"/>
        </w:rPr>
        <w:t>140 doivent être équipés d</w:t>
      </w:r>
      <w:r w:rsidR="00135E10">
        <w:rPr>
          <w:lang w:val="fr-FR"/>
        </w:rPr>
        <w:t>’</w:t>
      </w:r>
      <w:r w:rsidRPr="00F41760">
        <w:rPr>
          <w:lang w:val="fr-FR"/>
        </w:rPr>
        <w:t>un système de contrôle électronique de stabilité. Il est donc proposé de modifier le paragraphe 5.1 pour clarifier cette prescription. Une telle modification serait utile à toute les Parties contractantes (telles que l</w:t>
      </w:r>
      <w:r w:rsidR="00135E10">
        <w:rPr>
          <w:lang w:val="fr-FR"/>
        </w:rPr>
        <w:t>’</w:t>
      </w:r>
      <w:r w:rsidRPr="00F41760">
        <w:rPr>
          <w:lang w:val="fr-FR"/>
        </w:rPr>
        <w:t>Australie) acceptant (par l</w:t>
      </w:r>
      <w:r w:rsidR="00135E10">
        <w:rPr>
          <w:lang w:val="fr-FR"/>
        </w:rPr>
        <w:t>’</w:t>
      </w:r>
      <w:r w:rsidRPr="00F41760">
        <w:rPr>
          <w:lang w:val="fr-FR"/>
        </w:rPr>
        <w:t>intermédiaire de leur législation nationale) les véhicules satisfaisant aux prescriptions techniques du présent Règlement ainsi que les types de véhicules homologués conformément audit Règlement.</w:t>
      </w:r>
    </w:p>
    <w:p w:rsidR="00F9573C" w:rsidRDefault="009917BC" w:rsidP="00135E10">
      <w:pPr>
        <w:pStyle w:val="SingleTxtG"/>
        <w:rPr>
          <w:lang w:val="fr-FR"/>
        </w:rPr>
      </w:pPr>
      <w:r w:rsidRPr="00F41760">
        <w:rPr>
          <w:lang w:val="fr-FR"/>
        </w:rPr>
        <w:t>2.</w:t>
      </w:r>
      <w:r w:rsidRPr="00F41760">
        <w:rPr>
          <w:lang w:val="fr-FR"/>
        </w:rPr>
        <w:tab/>
        <w:t>Il est également proposé, étant donné qu</w:t>
      </w:r>
      <w:r w:rsidR="00135E10">
        <w:rPr>
          <w:lang w:val="fr-FR"/>
        </w:rPr>
        <w:t>’</w:t>
      </w:r>
      <w:r w:rsidRPr="00F41760">
        <w:rPr>
          <w:lang w:val="fr-FR"/>
        </w:rPr>
        <w:t>il n</w:t>
      </w:r>
      <w:r w:rsidR="00135E10">
        <w:rPr>
          <w:lang w:val="fr-FR"/>
        </w:rPr>
        <w:t>’</w:t>
      </w:r>
      <w:r w:rsidRPr="00F41760">
        <w:rPr>
          <w:lang w:val="fr-FR"/>
        </w:rPr>
        <w:t xml:space="preserve">existe pas de version 2005 de la norme ISO 15037 </w:t>
      </w:r>
      <w:r w:rsidR="00135E10">
        <w:rPr>
          <w:lang w:val="fr-FR"/>
        </w:rPr>
        <w:t>−</w:t>
      </w:r>
      <w:r w:rsidRPr="00F41760">
        <w:rPr>
          <w:lang w:val="fr-FR"/>
        </w:rPr>
        <w:t xml:space="preserve"> Partie 1, d</w:t>
      </w:r>
      <w:r w:rsidR="00135E10">
        <w:rPr>
          <w:lang w:val="fr-FR"/>
        </w:rPr>
        <w:t>’</w:t>
      </w:r>
      <w:r w:rsidRPr="00F41760">
        <w:rPr>
          <w:lang w:val="fr-FR"/>
        </w:rPr>
        <w:t>apporter une correction au paragraphe 2 de l</w:t>
      </w:r>
      <w:r w:rsidR="00135E10">
        <w:rPr>
          <w:lang w:val="fr-FR"/>
        </w:rPr>
        <w:t>’</w:t>
      </w:r>
      <w:r w:rsidRPr="00F41760">
        <w:rPr>
          <w:lang w:val="fr-FR"/>
        </w:rPr>
        <w:t xml:space="preserve">annexe 4. </w:t>
      </w:r>
      <w:r w:rsidR="00135E10">
        <w:rPr>
          <w:lang w:val="fr-FR"/>
        </w:rPr>
        <w:t>« </w:t>
      </w:r>
      <w:r w:rsidRPr="00F41760">
        <w:rPr>
          <w:lang w:val="fr-FR"/>
        </w:rPr>
        <w:t xml:space="preserve">ISO 15037 </w:t>
      </w:r>
      <w:r w:rsidR="00135E10">
        <w:rPr>
          <w:lang w:val="fr-FR"/>
        </w:rPr>
        <w:t>−</w:t>
      </w:r>
      <w:r w:rsidRPr="00F41760">
        <w:rPr>
          <w:lang w:val="fr-FR"/>
        </w:rPr>
        <w:t xml:space="preserve"> Partie 1:2005</w:t>
      </w:r>
      <w:r w:rsidR="00135E10">
        <w:rPr>
          <w:lang w:val="fr-FR"/>
        </w:rPr>
        <w:t> »</w:t>
      </w:r>
      <w:r w:rsidRPr="00F41760">
        <w:rPr>
          <w:lang w:val="fr-FR"/>
        </w:rPr>
        <w:t xml:space="preserve"> doit être remplacé par </w:t>
      </w:r>
      <w:r w:rsidR="00135E10">
        <w:rPr>
          <w:lang w:val="fr-FR"/>
        </w:rPr>
        <w:t>« </w:t>
      </w:r>
      <w:r w:rsidRPr="00F41760">
        <w:rPr>
          <w:lang w:val="fr-FR"/>
        </w:rPr>
        <w:t xml:space="preserve">ISO 15037 </w:t>
      </w:r>
      <w:r w:rsidR="00135E10">
        <w:rPr>
          <w:lang w:val="fr-FR"/>
        </w:rPr>
        <w:t>−</w:t>
      </w:r>
      <w:r w:rsidRPr="00F41760">
        <w:rPr>
          <w:lang w:val="fr-FR"/>
        </w:rPr>
        <w:t xml:space="preserve"> Partie 1:2006</w:t>
      </w:r>
      <w:r w:rsidR="00135E10">
        <w:rPr>
          <w:lang w:val="fr-FR"/>
        </w:rPr>
        <w:t> »</w:t>
      </w:r>
      <w:r w:rsidRPr="00F41760">
        <w:rPr>
          <w:lang w:val="fr-FR"/>
        </w:rPr>
        <w:t>.</w:t>
      </w:r>
    </w:p>
    <w:p w:rsidR="00135E10" w:rsidRPr="00135E10" w:rsidRDefault="00135E10" w:rsidP="00135E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5E10" w:rsidRPr="00135E10" w:rsidSect="009917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D5" w:rsidRDefault="00A42ED5" w:rsidP="00F95C08">
      <w:pPr>
        <w:spacing w:line="240" w:lineRule="auto"/>
      </w:pPr>
    </w:p>
  </w:endnote>
  <w:endnote w:type="continuationSeparator" w:id="0">
    <w:p w:rsidR="00A42ED5" w:rsidRPr="00AC3823" w:rsidRDefault="00A42ED5" w:rsidP="00AC3823">
      <w:pPr>
        <w:pStyle w:val="Footer"/>
      </w:pPr>
    </w:p>
  </w:endnote>
  <w:endnote w:type="continuationNotice" w:id="1">
    <w:p w:rsidR="00A42ED5" w:rsidRDefault="00A42E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C" w:rsidRPr="009917BC" w:rsidRDefault="009917BC" w:rsidP="009917BC">
    <w:pPr>
      <w:pStyle w:val="Footer"/>
      <w:tabs>
        <w:tab w:val="right" w:pos="9638"/>
      </w:tabs>
    </w:pPr>
    <w:r w:rsidRPr="009917BC">
      <w:rPr>
        <w:b/>
        <w:sz w:val="18"/>
      </w:rPr>
      <w:fldChar w:fldCharType="begin"/>
    </w:r>
    <w:r w:rsidRPr="009917BC">
      <w:rPr>
        <w:b/>
        <w:sz w:val="18"/>
      </w:rPr>
      <w:instrText xml:space="preserve"> PAGE  \* MERGEFORMAT </w:instrText>
    </w:r>
    <w:r w:rsidRPr="009917BC">
      <w:rPr>
        <w:b/>
        <w:sz w:val="18"/>
      </w:rPr>
      <w:fldChar w:fldCharType="separate"/>
    </w:r>
    <w:r w:rsidR="00C5442E">
      <w:rPr>
        <w:b/>
        <w:noProof/>
        <w:sz w:val="18"/>
      </w:rPr>
      <w:t>2</w:t>
    </w:r>
    <w:r w:rsidRPr="009917BC">
      <w:rPr>
        <w:b/>
        <w:sz w:val="18"/>
      </w:rPr>
      <w:fldChar w:fldCharType="end"/>
    </w:r>
    <w:r>
      <w:rPr>
        <w:b/>
        <w:sz w:val="18"/>
      </w:rPr>
      <w:tab/>
    </w:r>
    <w:r>
      <w:t>GE.17-21296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C" w:rsidRPr="009917BC" w:rsidRDefault="009917BC" w:rsidP="009917BC">
    <w:pPr>
      <w:pStyle w:val="Footer"/>
      <w:tabs>
        <w:tab w:val="right" w:pos="9638"/>
      </w:tabs>
      <w:rPr>
        <w:b/>
        <w:sz w:val="18"/>
      </w:rPr>
    </w:pPr>
    <w:r>
      <w:t>GE.17-21296</w:t>
    </w:r>
    <w:r>
      <w:tab/>
    </w:r>
    <w:r w:rsidRPr="009917BC">
      <w:rPr>
        <w:b/>
        <w:sz w:val="18"/>
      </w:rPr>
      <w:fldChar w:fldCharType="begin"/>
    </w:r>
    <w:r w:rsidRPr="009917BC">
      <w:rPr>
        <w:b/>
        <w:sz w:val="18"/>
      </w:rPr>
      <w:instrText xml:space="preserve"> PAGE  \* MERGEFORMAT </w:instrText>
    </w:r>
    <w:r w:rsidRPr="009917BC">
      <w:rPr>
        <w:b/>
        <w:sz w:val="18"/>
      </w:rPr>
      <w:fldChar w:fldCharType="separate"/>
    </w:r>
    <w:r w:rsidR="00AF306E">
      <w:rPr>
        <w:b/>
        <w:noProof/>
        <w:sz w:val="18"/>
      </w:rPr>
      <w:t>2</w:t>
    </w:r>
    <w:r w:rsidRPr="009917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9917BC" w:rsidRDefault="009917BC" w:rsidP="009917B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17-21296  (F)</w:t>
    </w:r>
    <w:r w:rsidR="00B016B4">
      <w:rPr>
        <w:sz w:val="20"/>
      </w:rPr>
      <w:t xml:space="preserve">    201217    201217</w:t>
    </w:r>
    <w:r>
      <w:rPr>
        <w:sz w:val="20"/>
      </w:rPr>
      <w:br/>
    </w:r>
    <w:r w:rsidRPr="009917BC">
      <w:rPr>
        <w:rFonts w:ascii="C39T30Lfz" w:hAnsi="C39T30Lfz"/>
        <w:sz w:val="56"/>
      </w:rPr>
      <w:t></w:t>
    </w:r>
    <w:r w:rsidRPr="009917BC">
      <w:rPr>
        <w:rFonts w:ascii="C39T30Lfz" w:hAnsi="C39T30Lfz"/>
        <w:sz w:val="56"/>
      </w:rPr>
      <w:t></w:t>
    </w:r>
    <w:r w:rsidRPr="009917BC">
      <w:rPr>
        <w:rFonts w:ascii="C39T30Lfz" w:hAnsi="C39T30Lfz"/>
        <w:sz w:val="56"/>
      </w:rPr>
      <w:t></w:t>
    </w:r>
    <w:r w:rsidRPr="009917BC">
      <w:rPr>
        <w:rFonts w:ascii="C39T30Lfz" w:hAnsi="C39T30Lfz"/>
        <w:sz w:val="56"/>
      </w:rPr>
      <w:t></w:t>
    </w:r>
    <w:r w:rsidRPr="009917BC">
      <w:rPr>
        <w:rFonts w:ascii="C39T30Lfz" w:hAnsi="C39T30Lfz"/>
        <w:sz w:val="56"/>
      </w:rPr>
      <w:t></w:t>
    </w:r>
    <w:r w:rsidRPr="009917BC">
      <w:rPr>
        <w:rFonts w:ascii="C39T30Lfz" w:hAnsi="C39T30Lfz"/>
        <w:sz w:val="56"/>
      </w:rPr>
      <w:t></w:t>
    </w:r>
    <w:r w:rsidRPr="009917BC">
      <w:rPr>
        <w:rFonts w:ascii="C39T30Lfz" w:hAnsi="C39T30Lfz"/>
        <w:sz w:val="56"/>
      </w:rPr>
      <w:t></w:t>
    </w:r>
    <w:r w:rsidRPr="009917BC">
      <w:rPr>
        <w:rFonts w:ascii="C39T30Lfz" w:hAnsi="C39T30Lfz"/>
        <w:sz w:val="56"/>
      </w:rPr>
      <w:t></w:t>
    </w:r>
    <w:r w:rsidRPr="009917B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RF/2018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D5" w:rsidRPr="00AC3823" w:rsidRDefault="00A42ED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2ED5" w:rsidRPr="00AC3823" w:rsidRDefault="00A42ED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42ED5" w:rsidRPr="00AC3823" w:rsidRDefault="00A42ED5">
      <w:pPr>
        <w:spacing w:line="240" w:lineRule="auto"/>
        <w:rPr>
          <w:sz w:val="2"/>
          <w:szCs w:val="2"/>
        </w:rPr>
      </w:pPr>
    </w:p>
  </w:footnote>
  <w:footnote w:id="2">
    <w:p w:rsidR="009917BC" w:rsidRPr="009917BC" w:rsidRDefault="009917BC">
      <w:pPr>
        <w:pStyle w:val="FootnoteText"/>
      </w:pPr>
      <w:r>
        <w:rPr>
          <w:rStyle w:val="FootnoteReference"/>
        </w:rPr>
        <w:tab/>
      </w:r>
      <w:r w:rsidRPr="009917B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2014-2018 (ECE/TRANS/240, par. 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C" w:rsidRPr="009917BC" w:rsidRDefault="00C544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F306E">
      <w:t>ECE/TRANS/WP.29/GRRF/2018/3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C" w:rsidRPr="009917BC" w:rsidRDefault="00C5442E" w:rsidP="009917B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F306E">
      <w:t>ECE/TRANS/WP.29/GRRF/2018/3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D5"/>
    <w:rsid w:val="00017F94"/>
    <w:rsid w:val="00023842"/>
    <w:rsid w:val="000334F9"/>
    <w:rsid w:val="00045FEB"/>
    <w:rsid w:val="0007796D"/>
    <w:rsid w:val="000B7790"/>
    <w:rsid w:val="00111F2F"/>
    <w:rsid w:val="00135E10"/>
    <w:rsid w:val="0014365E"/>
    <w:rsid w:val="00143C66"/>
    <w:rsid w:val="00147E8D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917BC"/>
    <w:rsid w:val="009C1CF4"/>
    <w:rsid w:val="009F6B74"/>
    <w:rsid w:val="00A30353"/>
    <w:rsid w:val="00A42ED5"/>
    <w:rsid w:val="00A63FF5"/>
    <w:rsid w:val="00AC3823"/>
    <w:rsid w:val="00AE323C"/>
    <w:rsid w:val="00AF0CB5"/>
    <w:rsid w:val="00AF306E"/>
    <w:rsid w:val="00B00181"/>
    <w:rsid w:val="00B00B0D"/>
    <w:rsid w:val="00B016B4"/>
    <w:rsid w:val="00B765F7"/>
    <w:rsid w:val="00BA0CA9"/>
    <w:rsid w:val="00C02897"/>
    <w:rsid w:val="00C5442E"/>
    <w:rsid w:val="00C72E92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76347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B70E9A-0D73-4C06-8467-08A66D65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ECE/TRANS/WP.29/GRRF/2018/3</vt:lpstr>
      <vt:lpstr>ECE/TRANS/WP.29/GRRF/2018/3</vt:lpstr>
    </vt:vector>
  </TitlesOfParts>
  <Company>DCM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ECE/TRANS/WP.29/GRRF/2018/3</dc:title>
  <dc:subject/>
  <dc:creator>Fabienne CRELIER</dc:creator>
  <cp:keywords/>
  <cp:lastModifiedBy>Benedicte Boudol</cp:lastModifiedBy>
  <cp:revision>2</cp:revision>
  <cp:lastPrinted>2017-12-20T07:43:00Z</cp:lastPrinted>
  <dcterms:created xsi:type="dcterms:W3CDTF">2017-12-28T14:14:00Z</dcterms:created>
  <dcterms:modified xsi:type="dcterms:W3CDTF">2017-12-28T14:14:00Z</dcterms:modified>
</cp:coreProperties>
</file>