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32AC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32ACD" w:rsidP="00232ACD">
            <w:pPr>
              <w:jc w:val="right"/>
            </w:pPr>
            <w:r w:rsidRPr="00232ACD">
              <w:rPr>
                <w:sz w:val="40"/>
              </w:rPr>
              <w:t>ECE</w:t>
            </w:r>
            <w:r>
              <w:t>/TRANS/WP.29/GRSG/2018/6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32ACD" w:rsidP="00C97039">
            <w:pPr>
              <w:spacing w:before="240"/>
            </w:pPr>
            <w:r>
              <w:t>Distr. générale</w:t>
            </w:r>
          </w:p>
          <w:p w:rsidR="00232ACD" w:rsidRDefault="00232ACD" w:rsidP="00232ACD">
            <w:pPr>
              <w:spacing w:line="240" w:lineRule="exact"/>
            </w:pPr>
            <w:r>
              <w:t>23 janvier 2018</w:t>
            </w:r>
          </w:p>
          <w:p w:rsidR="00232ACD" w:rsidRDefault="00232ACD" w:rsidP="00232ACD">
            <w:pPr>
              <w:spacing w:line="240" w:lineRule="exact"/>
            </w:pPr>
            <w:r>
              <w:t>Français</w:t>
            </w:r>
          </w:p>
          <w:p w:rsidR="00232ACD" w:rsidRPr="00DB58B5" w:rsidRDefault="00232ACD" w:rsidP="00232AC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32ACD" w:rsidRDefault="00232AC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32ACD" w:rsidRDefault="00232ACD" w:rsidP="00257168">
      <w:pPr>
        <w:spacing w:before="120" w:after="120" w:line="240" w:lineRule="exact"/>
        <w:rPr>
          <w:b/>
        </w:rPr>
      </w:pPr>
      <w:r>
        <w:rPr>
          <w:b/>
        </w:rPr>
        <w:t>Groupe de travail des dispositions générales de sécurité</w:t>
      </w:r>
    </w:p>
    <w:p w:rsidR="00232ACD" w:rsidRDefault="00232ACD" w:rsidP="00257168">
      <w:pPr>
        <w:spacing w:before="120" w:line="240" w:lineRule="exact"/>
        <w:rPr>
          <w:b/>
        </w:rPr>
      </w:pPr>
      <w:r w:rsidRPr="002A1F4F">
        <w:rPr>
          <w:b/>
        </w:rPr>
        <w:t>174</w:t>
      </w:r>
      <w:r w:rsidRPr="002A1F4F">
        <w:rPr>
          <w:b/>
          <w:vertAlign w:val="superscript"/>
        </w:rPr>
        <w:t>e</w:t>
      </w:r>
      <w:r w:rsidRPr="002A1F4F">
        <w:rPr>
          <w:b/>
        </w:rPr>
        <w:t xml:space="preserve"> </w:t>
      </w:r>
      <w:r>
        <w:rPr>
          <w:b/>
        </w:rPr>
        <w:t>session</w:t>
      </w:r>
    </w:p>
    <w:p w:rsidR="00232ACD" w:rsidRDefault="00232ACD" w:rsidP="00257168">
      <w:pPr>
        <w:spacing w:line="240" w:lineRule="exact"/>
      </w:pPr>
      <w:r>
        <w:t xml:space="preserve">Genève, </w:t>
      </w:r>
      <w:r w:rsidRPr="002A1F4F">
        <w:t>9-13 avril</w:t>
      </w:r>
      <w:r w:rsidR="008C6682">
        <w:t xml:space="preserve"> 2018</w:t>
      </w:r>
    </w:p>
    <w:p w:rsidR="00F9573C" w:rsidRDefault="00232ACD" w:rsidP="008C6682">
      <w:pPr>
        <w:spacing w:line="240" w:lineRule="exact"/>
      </w:pPr>
      <w:r>
        <w:t xml:space="preserve">Point </w:t>
      </w:r>
      <w:r w:rsidR="008C6682">
        <w:t>9 de l’ordre du jour provisoire</w:t>
      </w:r>
    </w:p>
    <w:p w:rsidR="008C6682" w:rsidRDefault="008C6682" w:rsidP="008C6682">
      <w:pPr>
        <w:spacing w:line="240" w:lineRule="exact"/>
        <w:rPr>
          <w:b/>
        </w:rPr>
      </w:pPr>
      <w:r w:rsidRPr="008C6682">
        <w:rPr>
          <w:b/>
        </w:rPr>
        <w:t>Règlement n</w:t>
      </w:r>
      <w:r w:rsidRPr="008C6682">
        <w:rPr>
          <w:b/>
          <w:vertAlign w:val="superscript"/>
        </w:rPr>
        <w:t>o</w:t>
      </w:r>
      <w:r w:rsidRPr="008C6682">
        <w:rPr>
          <w:b/>
        </w:rPr>
        <w:t xml:space="preserve"> 121 (Identification des commandes manuelles, </w:t>
      </w:r>
      <w:r>
        <w:rPr>
          <w:b/>
        </w:rPr>
        <w:br/>
      </w:r>
      <w:r w:rsidRPr="008C6682">
        <w:rPr>
          <w:b/>
        </w:rPr>
        <w:t>des témoins et des indicateurs)</w:t>
      </w:r>
    </w:p>
    <w:p w:rsidR="008C6682" w:rsidRPr="008C6682" w:rsidRDefault="008C6682" w:rsidP="008C6682">
      <w:pPr>
        <w:pStyle w:val="HChG"/>
      </w:pPr>
      <w:r>
        <w:tab/>
      </w:r>
      <w:r>
        <w:tab/>
      </w:r>
      <w:r w:rsidRPr="008C6682">
        <w:t>Proposition de complément 10 à la série initiale d’amendements et de complément 2 à la série 01 d’amendements au Règlement n</w:t>
      </w:r>
      <w:r w:rsidRPr="008C6682">
        <w:rPr>
          <w:vertAlign w:val="superscript"/>
        </w:rPr>
        <w:t>o</w:t>
      </w:r>
      <w:r w:rsidRPr="008C6682">
        <w:t> 121 (Identification des commandes manuelles, des témoins et des indicateurs)</w:t>
      </w:r>
    </w:p>
    <w:p w:rsidR="008C6682" w:rsidRPr="008C6682" w:rsidRDefault="008C6682" w:rsidP="008C6682">
      <w:pPr>
        <w:pStyle w:val="H1G"/>
        <w:rPr>
          <w:b w:val="0"/>
          <w:sz w:val="20"/>
        </w:rPr>
      </w:pPr>
      <w:r>
        <w:tab/>
      </w:r>
      <w:r>
        <w:tab/>
      </w:r>
      <w:r w:rsidRPr="008C6682">
        <w:t xml:space="preserve">Communication de l’expert de l’Organisation internationale </w:t>
      </w:r>
      <w:r>
        <w:br/>
      </w:r>
      <w:r w:rsidRPr="008C6682">
        <w:t>des constructeurs d’automobiles</w:t>
      </w:r>
      <w:r w:rsidRPr="008C6682">
        <w:rPr>
          <w:b w:val="0"/>
          <w:sz w:val="20"/>
        </w:rPr>
        <w:footnoteReference w:customMarkFollows="1" w:id="2"/>
        <w:t>*</w:t>
      </w:r>
    </w:p>
    <w:p w:rsidR="008C6682" w:rsidRPr="008C6682" w:rsidRDefault="008C6682" w:rsidP="008C6682">
      <w:pPr>
        <w:pStyle w:val="SingleTxtG"/>
        <w:ind w:firstLine="567"/>
      </w:pPr>
      <w:r w:rsidRPr="008C6682">
        <w:t>Le texte ci-après a été établi par l’expert de l’Organisation internationale des constructeurs d’automobiles (OICA) dans le but de simplifier le traitement des changements de couleur des commandes manuelles, des témoins et des indicateurs, dans le Règlement n</w:t>
      </w:r>
      <w:r w:rsidRPr="008C6682">
        <w:rPr>
          <w:vertAlign w:val="superscript"/>
        </w:rPr>
        <w:t>o</w:t>
      </w:r>
      <w:r w:rsidRPr="008C6682">
        <w:t> 121 ainsi que d’autres Règlements. Il est fondé principalement sur le document informel GRSG-113-39, lequel a été présenté à la 113</w:t>
      </w:r>
      <w:r w:rsidRPr="008C6682">
        <w:rPr>
          <w:vertAlign w:val="superscript"/>
        </w:rPr>
        <w:t>e </w:t>
      </w:r>
      <w:r w:rsidRPr="008C6682">
        <w:t>session du Groupe de travail des dispositions générales de sécurité (GRSG) (voir le rapport ECE/TRANS/WP.29/GRSG/92, par. 51). Les modifications qu’il est proposé d’apporter au texte actuel du Règlement n</w:t>
      </w:r>
      <w:r w:rsidRPr="008C6682">
        <w:rPr>
          <w:vertAlign w:val="superscript"/>
        </w:rPr>
        <w:t>o</w:t>
      </w:r>
      <w:r w:rsidRPr="008C6682">
        <w:t> 121 figurent en caractères gras pour les ajouts et biffés pour les suppressions.</w:t>
      </w:r>
    </w:p>
    <w:p w:rsidR="008C6682" w:rsidRPr="008C6682" w:rsidRDefault="008C6682" w:rsidP="008C6682">
      <w:pPr>
        <w:pStyle w:val="HChG"/>
      </w:pPr>
      <w:r w:rsidRPr="008C6682">
        <w:br w:type="page"/>
      </w:r>
      <w:r>
        <w:lastRenderedPageBreak/>
        <w:tab/>
      </w:r>
      <w:r w:rsidRPr="008C6682">
        <w:t>I.</w:t>
      </w:r>
      <w:r w:rsidRPr="008C6682">
        <w:tab/>
        <w:t>Proposition</w:t>
      </w:r>
    </w:p>
    <w:p w:rsidR="008C6682" w:rsidRPr="008C6682" w:rsidRDefault="008C6682" w:rsidP="008C6682">
      <w:pPr>
        <w:pStyle w:val="SingleTxtG"/>
        <w:keepNext/>
        <w:keepLines/>
      </w:pPr>
      <w:r w:rsidRPr="008C6682">
        <w:rPr>
          <w:i/>
        </w:rPr>
        <w:t>Paragraphe 5.4.1.1</w:t>
      </w:r>
      <w:r w:rsidRPr="008C6682">
        <w:t>, modifier comme suit :</w:t>
      </w:r>
    </w:p>
    <w:p w:rsidR="008C6682" w:rsidRPr="008C6682" w:rsidRDefault="008C6682" w:rsidP="008C6682">
      <w:pPr>
        <w:pStyle w:val="SingleTxtG"/>
        <w:ind w:left="2268" w:hanging="1134"/>
      </w:pPr>
      <w:r w:rsidRPr="008C6682">
        <w:t>« 5.4.1.1</w:t>
      </w:r>
      <w:r w:rsidRPr="008C6682">
        <w:tab/>
        <w:t xml:space="preserve">Toutefois, si le véhicule en est déjà muni comme prescrit au tableau 1 avec la spécification de couleur de la colonne 5, chaque symbole </w:t>
      </w:r>
      <w:r w:rsidRPr="008C6682">
        <w:rPr>
          <w:strike/>
        </w:rPr>
        <w:t>assorti de la note de bas de page 18</w:t>
      </w:r>
      <w:r w:rsidRPr="008C6682">
        <w:t xml:space="preserve"> peut être d’une autre couleur pour indiquer un changement de signification, conformément au code général des couleurs figurant au paragraphe 5 de la norme ISO 2575:2004.</w:t>
      </w:r>
      <w:r>
        <w:t> »</w:t>
      </w:r>
    </w:p>
    <w:p w:rsidR="008C6682" w:rsidRPr="008C6682" w:rsidRDefault="008C6682" w:rsidP="008C6682">
      <w:pPr>
        <w:pStyle w:val="SingleTxtG"/>
      </w:pPr>
      <w:r w:rsidRPr="008C6682">
        <w:rPr>
          <w:i/>
        </w:rPr>
        <w:t>Tableau</w:t>
      </w:r>
      <w:r>
        <w:rPr>
          <w:i/>
        </w:rPr>
        <w:t> </w:t>
      </w:r>
      <w:r w:rsidRPr="008C6682">
        <w:rPr>
          <w:i/>
        </w:rPr>
        <w:t>1</w:t>
      </w:r>
      <w:r w:rsidRPr="008C6682">
        <w:t>, modifier comme suit (en supprimant les renvois à la note de bas de page</w:t>
      </w:r>
      <w:r w:rsidRPr="008C6682">
        <w:rPr>
          <w:vertAlign w:val="superscript"/>
        </w:rPr>
        <w:t>18</w:t>
      </w:r>
      <w:r w:rsidRPr="008C6682">
        <w:t>) :</w:t>
      </w:r>
    </w:p>
    <w:p w:rsidR="008C6682" w:rsidRDefault="008C6682" w:rsidP="008C6682">
      <w:pPr>
        <w:pStyle w:val="SingleTxtG"/>
      </w:pPr>
      <w:r w:rsidRPr="008C6682">
        <w:t>«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7"/>
        <w:gridCol w:w="1607"/>
        <w:gridCol w:w="1607"/>
        <w:gridCol w:w="1606"/>
        <w:gridCol w:w="1606"/>
        <w:gridCol w:w="1606"/>
      </w:tblGrid>
      <w:tr w:rsidR="00A10C15" w:rsidRPr="008C6682" w:rsidTr="00A10C15">
        <w:tc>
          <w:tcPr>
            <w:tcW w:w="1607" w:type="dxa"/>
            <w:tcBorders>
              <w:top w:val="single" w:sz="4" w:space="0" w:color="auto"/>
              <w:left w:val="single" w:sz="4" w:space="0" w:color="auto"/>
              <w:right w:val="single" w:sz="4" w:space="0" w:color="auto"/>
            </w:tcBorders>
            <w:shd w:val="clear" w:color="auto" w:fill="auto"/>
            <w:vAlign w:val="center"/>
          </w:tcPr>
          <w:p w:rsidR="008C6682" w:rsidRPr="008C6682" w:rsidRDefault="008C6682" w:rsidP="00A10C15">
            <w:pPr>
              <w:spacing w:before="80" w:after="80" w:line="200" w:lineRule="exact"/>
              <w:ind w:left="57" w:right="57"/>
              <w:rPr>
                <w:rFonts w:eastAsia="MS Mincho"/>
                <w:i/>
                <w:sz w:val="16"/>
                <w:szCs w:val="16"/>
              </w:rPr>
            </w:pPr>
            <w:r w:rsidRPr="008C6682">
              <w:rPr>
                <w:rFonts w:eastAsia="MS Mincho"/>
                <w:i/>
                <w:sz w:val="16"/>
                <w:szCs w:val="16"/>
              </w:rPr>
              <w:t>N°</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8C6682" w:rsidRPr="008C6682" w:rsidRDefault="008C6682" w:rsidP="00A10C15">
            <w:pPr>
              <w:spacing w:before="80" w:after="80" w:line="200" w:lineRule="exact"/>
              <w:ind w:left="57" w:right="57"/>
              <w:rPr>
                <w:rFonts w:eastAsia="MS Mincho"/>
                <w:i/>
                <w:sz w:val="16"/>
                <w:szCs w:val="16"/>
              </w:rPr>
            </w:pPr>
            <w:r w:rsidRPr="008C6682">
              <w:rPr>
                <w:rFonts w:eastAsia="MS Mincho"/>
                <w:i/>
                <w:sz w:val="16"/>
                <w:szCs w:val="16"/>
              </w:rPr>
              <w:t>Colonne 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8C6682" w:rsidRPr="008C6682" w:rsidRDefault="008C6682" w:rsidP="00A10C15">
            <w:pPr>
              <w:spacing w:before="80" w:after="80" w:line="200" w:lineRule="exact"/>
              <w:ind w:left="57" w:right="57"/>
              <w:outlineLvl w:val="2"/>
              <w:rPr>
                <w:rFonts w:eastAsia="MS Mincho"/>
                <w:bCs/>
                <w:i/>
                <w:sz w:val="16"/>
                <w:szCs w:val="16"/>
              </w:rPr>
            </w:pPr>
            <w:r w:rsidRPr="008C6682">
              <w:rPr>
                <w:rFonts w:eastAsia="MS Mincho"/>
                <w:bCs/>
                <w:i/>
                <w:sz w:val="16"/>
                <w:szCs w:val="16"/>
              </w:rPr>
              <w:t>Colonne 2</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8C6682" w:rsidRPr="008C6682" w:rsidRDefault="008C6682" w:rsidP="00A10C15">
            <w:pPr>
              <w:spacing w:before="80" w:after="80" w:line="200" w:lineRule="exact"/>
              <w:ind w:left="57" w:right="57"/>
              <w:rPr>
                <w:rFonts w:eastAsia="MS Mincho"/>
                <w:i/>
                <w:sz w:val="16"/>
                <w:szCs w:val="16"/>
              </w:rPr>
            </w:pPr>
            <w:r w:rsidRPr="008C6682">
              <w:rPr>
                <w:rFonts w:eastAsia="MS Mincho"/>
                <w:i/>
                <w:sz w:val="16"/>
                <w:szCs w:val="16"/>
              </w:rPr>
              <w:t>Colonne 3</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8C6682" w:rsidRPr="008C6682" w:rsidRDefault="008C6682" w:rsidP="00A10C15">
            <w:pPr>
              <w:spacing w:before="80" w:after="80" w:line="200" w:lineRule="exact"/>
              <w:ind w:left="57" w:right="57"/>
              <w:rPr>
                <w:rFonts w:eastAsia="MS Mincho"/>
                <w:i/>
                <w:sz w:val="16"/>
                <w:szCs w:val="16"/>
              </w:rPr>
            </w:pPr>
            <w:r w:rsidRPr="008C6682">
              <w:rPr>
                <w:rFonts w:eastAsia="MS Mincho"/>
                <w:i/>
                <w:sz w:val="16"/>
                <w:szCs w:val="16"/>
              </w:rPr>
              <w:t>Colonne 4</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8C6682" w:rsidRPr="008C6682" w:rsidRDefault="008C6682" w:rsidP="00A10C15">
            <w:pPr>
              <w:spacing w:before="80" w:after="80" w:line="200" w:lineRule="exact"/>
              <w:ind w:left="57" w:right="57"/>
              <w:rPr>
                <w:rFonts w:eastAsia="MS Mincho"/>
                <w:i/>
                <w:sz w:val="16"/>
                <w:szCs w:val="16"/>
              </w:rPr>
            </w:pPr>
            <w:r w:rsidRPr="008C6682">
              <w:rPr>
                <w:rFonts w:eastAsia="MS Mincho"/>
                <w:i/>
                <w:sz w:val="16"/>
                <w:szCs w:val="16"/>
              </w:rPr>
              <w:t>Colonne 5</w:t>
            </w:r>
          </w:p>
        </w:tc>
      </w:tr>
      <w:tr w:rsidR="008C6682" w:rsidRPr="008C6682" w:rsidTr="00A10C15">
        <w:tc>
          <w:tcPr>
            <w:tcW w:w="1607" w:type="dxa"/>
            <w:tcBorders>
              <w:left w:val="single" w:sz="4" w:space="0" w:color="auto"/>
              <w:bottom w:val="single" w:sz="12" w:space="0" w:color="auto"/>
              <w:right w:val="single" w:sz="4" w:space="0" w:color="auto"/>
            </w:tcBorders>
            <w:shd w:val="clear" w:color="auto" w:fill="auto"/>
          </w:tcPr>
          <w:p w:rsidR="008C6682" w:rsidRPr="008C6682" w:rsidRDefault="008C6682" w:rsidP="00A10C15">
            <w:pPr>
              <w:spacing w:before="80" w:after="80" w:line="200" w:lineRule="exact"/>
              <w:ind w:left="57" w:right="57"/>
              <w:rPr>
                <w:rFonts w:eastAsia="MS Mincho"/>
                <w:i/>
                <w:sz w:val="16"/>
                <w:szCs w:val="16"/>
              </w:rPr>
            </w:pPr>
          </w:p>
        </w:tc>
        <w:tc>
          <w:tcPr>
            <w:tcW w:w="1607" w:type="dxa"/>
            <w:tcBorders>
              <w:top w:val="single" w:sz="4" w:space="0" w:color="auto"/>
              <w:left w:val="single" w:sz="4" w:space="0" w:color="auto"/>
              <w:bottom w:val="single" w:sz="12" w:space="0" w:color="auto"/>
              <w:right w:val="single" w:sz="4" w:space="0" w:color="auto"/>
            </w:tcBorders>
            <w:shd w:val="clear" w:color="auto" w:fill="auto"/>
          </w:tcPr>
          <w:p w:rsidR="008C6682" w:rsidRPr="008C6682" w:rsidRDefault="008C6682" w:rsidP="00A10C15">
            <w:pPr>
              <w:spacing w:before="80" w:after="80" w:line="200" w:lineRule="exact"/>
              <w:ind w:left="57" w:right="57"/>
              <w:rPr>
                <w:rFonts w:eastAsia="MS Mincho"/>
                <w:bCs/>
                <w:i/>
                <w:sz w:val="16"/>
                <w:szCs w:val="16"/>
              </w:rPr>
            </w:pPr>
            <w:r w:rsidRPr="008C6682">
              <w:rPr>
                <w:rFonts w:eastAsia="MS Mincho"/>
                <w:bCs/>
                <w:i/>
                <w:sz w:val="16"/>
                <w:szCs w:val="16"/>
              </w:rPr>
              <w:t>Équipement</w:t>
            </w:r>
          </w:p>
        </w:tc>
        <w:tc>
          <w:tcPr>
            <w:tcW w:w="1607" w:type="dxa"/>
            <w:tcBorders>
              <w:top w:val="single" w:sz="4" w:space="0" w:color="auto"/>
              <w:left w:val="single" w:sz="4" w:space="0" w:color="auto"/>
              <w:bottom w:val="single" w:sz="12" w:space="0" w:color="auto"/>
              <w:right w:val="single" w:sz="4" w:space="0" w:color="auto"/>
            </w:tcBorders>
            <w:shd w:val="clear" w:color="auto" w:fill="auto"/>
          </w:tcPr>
          <w:p w:rsidR="008C6682" w:rsidRPr="008C6682" w:rsidRDefault="008C6682" w:rsidP="00A10C15">
            <w:pPr>
              <w:spacing w:before="80" w:after="80" w:line="200" w:lineRule="exact"/>
              <w:ind w:left="57" w:right="57"/>
              <w:rPr>
                <w:rFonts w:eastAsia="MS Mincho"/>
                <w:bCs/>
                <w:i/>
                <w:sz w:val="16"/>
                <w:szCs w:val="16"/>
              </w:rPr>
            </w:pPr>
            <w:r w:rsidRPr="008C6682">
              <w:rPr>
                <w:rFonts w:eastAsia="MS Mincho"/>
                <w:bCs/>
                <w:i/>
                <w:sz w:val="16"/>
                <w:szCs w:val="16"/>
              </w:rPr>
              <w:t xml:space="preserve">Symbole </w:t>
            </w:r>
            <w:r w:rsidRPr="008C6682">
              <w:rPr>
                <w:rFonts w:eastAsia="MS Mincho"/>
                <w:sz w:val="16"/>
                <w:szCs w:val="16"/>
                <w:vertAlign w:val="superscript"/>
              </w:rPr>
              <w:t>2</w:t>
            </w:r>
          </w:p>
        </w:tc>
        <w:tc>
          <w:tcPr>
            <w:tcW w:w="1606" w:type="dxa"/>
            <w:tcBorders>
              <w:top w:val="single" w:sz="4" w:space="0" w:color="auto"/>
              <w:left w:val="single" w:sz="4" w:space="0" w:color="auto"/>
              <w:bottom w:val="single" w:sz="12" w:space="0" w:color="auto"/>
              <w:right w:val="single" w:sz="4" w:space="0" w:color="auto"/>
            </w:tcBorders>
            <w:shd w:val="clear" w:color="auto" w:fill="auto"/>
          </w:tcPr>
          <w:p w:rsidR="008C6682" w:rsidRPr="008C6682" w:rsidRDefault="008C6682" w:rsidP="00A10C15">
            <w:pPr>
              <w:spacing w:before="80" w:after="80" w:line="200" w:lineRule="exact"/>
              <w:ind w:left="57" w:right="57"/>
              <w:rPr>
                <w:rFonts w:eastAsia="MS Mincho"/>
                <w:bCs/>
                <w:i/>
                <w:sz w:val="16"/>
                <w:szCs w:val="16"/>
              </w:rPr>
            </w:pPr>
            <w:r w:rsidRPr="008C6682">
              <w:rPr>
                <w:rFonts w:eastAsia="MS Mincho"/>
                <w:bCs/>
                <w:i/>
                <w:sz w:val="16"/>
                <w:szCs w:val="16"/>
              </w:rPr>
              <w:t>Fonction</w:t>
            </w:r>
          </w:p>
        </w:tc>
        <w:tc>
          <w:tcPr>
            <w:tcW w:w="1606" w:type="dxa"/>
            <w:tcBorders>
              <w:top w:val="single" w:sz="4" w:space="0" w:color="auto"/>
              <w:left w:val="single" w:sz="4" w:space="0" w:color="auto"/>
              <w:bottom w:val="single" w:sz="12" w:space="0" w:color="auto"/>
              <w:right w:val="single" w:sz="4" w:space="0" w:color="auto"/>
            </w:tcBorders>
            <w:shd w:val="clear" w:color="auto" w:fill="auto"/>
          </w:tcPr>
          <w:p w:rsidR="008C6682" w:rsidRPr="008C6682" w:rsidRDefault="008C6682" w:rsidP="00A10C15">
            <w:pPr>
              <w:spacing w:before="80" w:after="80" w:line="200" w:lineRule="exact"/>
              <w:ind w:left="57" w:right="57"/>
              <w:outlineLvl w:val="4"/>
              <w:rPr>
                <w:rFonts w:eastAsia="MS Mincho"/>
                <w:bCs/>
                <w:i/>
                <w:sz w:val="16"/>
                <w:szCs w:val="16"/>
              </w:rPr>
            </w:pPr>
            <w:r w:rsidRPr="008C6682">
              <w:rPr>
                <w:rFonts w:eastAsia="MS Mincho"/>
                <w:bCs/>
                <w:i/>
                <w:sz w:val="16"/>
                <w:szCs w:val="16"/>
              </w:rPr>
              <w:t>Éclairage</w:t>
            </w:r>
          </w:p>
        </w:tc>
        <w:tc>
          <w:tcPr>
            <w:tcW w:w="1606" w:type="dxa"/>
            <w:tcBorders>
              <w:top w:val="single" w:sz="4" w:space="0" w:color="auto"/>
              <w:left w:val="single" w:sz="4" w:space="0" w:color="auto"/>
              <w:bottom w:val="single" w:sz="12" w:space="0" w:color="auto"/>
              <w:right w:val="single" w:sz="4" w:space="0" w:color="auto"/>
            </w:tcBorders>
            <w:shd w:val="clear" w:color="auto" w:fill="auto"/>
          </w:tcPr>
          <w:p w:rsidR="008C6682" w:rsidRPr="008C6682" w:rsidRDefault="008C6682" w:rsidP="00A10C15">
            <w:pPr>
              <w:spacing w:before="80" w:after="80" w:line="200" w:lineRule="exact"/>
              <w:ind w:left="57" w:right="57"/>
              <w:rPr>
                <w:rFonts w:eastAsia="MS Mincho"/>
                <w:bCs/>
                <w:i/>
                <w:sz w:val="16"/>
                <w:szCs w:val="16"/>
              </w:rPr>
            </w:pPr>
            <w:r w:rsidRPr="008C6682">
              <w:rPr>
                <w:rFonts w:eastAsia="MS Mincho"/>
                <w:bCs/>
                <w:i/>
                <w:sz w:val="16"/>
                <w:szCs w:val="16"/>
              </w:rPr>
              <w:t>Couleur</w:t>
            </w:r>
          </w:p>
        </w:tc>
      </w:tr>
      <w:tr w:rsidR="00A10C15" w:rsidRPr="00A10C15" w:rsidTr="00A10C15">
        <w:tc>
          <w:tcPr>
            <w:tcW w:w="1607" w:type="dxa"/>
            <w:tcBorders>
              <w:top w:val="single" w:sz="12" w:space="0" w:color="auto"/>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rFonts w:eastAsia="MS Mincho"/>
                <w:sz w:val="18"/>
                <w:szCs w:val="18"/>
              </w:rPr>
            </w:pPr>
            <w:r w:rsidRPr="008C6682">
              <w:rPr>
                <w:rFonts w:eastAsia="MS Mincho"/>
                <w:sz w:val="18"/>
                <w:szCs w:val="18"/>
              </w:rPr>
              <w:t>…</w:t>
            </w:r>
          </w:p>
        </w:tc>
        <w:tc>
          <w:tcPr>
            <w:tcW w:w="1607" w:type="dxa"/>
            <w:tcBorders>
              <w:top w:val="single" w:sz="12" w:space="0" w:color="auto"/>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rFonts w:eastAsia="MS Mincho"/>
                <w:sz w:val="18"/>
                <w:szCs w:val="18"/>
              </w:rPr>
            </w:pPr>
            <w:r w:rsidRPr="008C6682">
              <w:rPr>
                <w:rFonts w:eastAsia="MS Mincho"/>
                <w:sz w:val="18"/>
                <w:szCs w:val="18"/>
              </w:rPr>
              <w:t>…</w:t>
            </w:r>
          </w:p>
        </w:tc>
        <w:tc>
          <w:tcPr>
            <w:tcW w:w="1607" w:type="dxa"/>
            <w:tcBorders>
              <w:top w:val="single" w:sz="12" w:space="0" w:color="auto"/>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rFonts w:eastAsia="MS Mincho"/>
                <w:sz w:val="18"/>
                <w:szCs w:val="18"/>
              </w:rPr>
            </w:pPr>
            <w:r w:rsidRPr="008C6682">
              <w:rPr>
                <w:rFonts w:eastAsia="MS Mincho"/>
                <w:sz w:val="18"/>
                <w:szCs w:val="18"/>
              </w:rPr>
              <w:t>…</w:t>
            </w:r>
          </w:p>
        </w:tc>
        <w:tc>
          <w:tcPr>
            <w:tcW w:w="1606" w:type="dxa"/>
            <w:tcBorders>
              <w:top w:val="single" w:sz="12" w:space="0" w:color="auto"/>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rFonts w:eastAsia="MS Mincho"/>
                <w:sz w:val="18"/>
                <w:szCs w:val="18"/>
              </w:rPr>
            </w:pPr>
            <w:r w:rsidRPr="008C6682">
              <w:rPr>
                <w:rFonts w:eastAsia="MS Mincho"/>
                <w:sz w:val="18"/>
                <w:szCs w:val="18"/>
              </w:rPr>
              <w:t>…</w:t>
            </w:r>
          </w:p>
        </w:tc>
        <w:tc>
          <w:tcPr>
            <w:tcW w:w="1606" w:type="dxa"/>
            <w:tcBorders>
              <w:top w:val="single" w:sz="12" w:space="0" w:color="auto"/>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rFonts w:eastAsia="MS Mincho"/>
                <w:sz w:val="18"/>
                <w:szCs w:val="18"/>
              </w:rPr>
            </w:pPr>
            <w:r w:rsidRPr="008C6682">
              <w:rPr>
                <w:rFonts w:eastAsia="MS Mincho"/>
                <w:sz w:val="18"/>
                <w:szCs w:val="18"/>
              </w:rPr>
              <w:t>…</w:t>
            </w:r>
          </w:p>
        </w:tc>
        <w:tc>
          <w:tcPr>
            <w:tcW w:w="1606" w:type="dxa"/>
            <w:tcBorders>
              <w:top w:val="single" w:sz="12" w:space="0" w:color="auto"/>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rFonts w:eastAsia="MS Mincho"/>
                <w:sz w:val="18"/>
                <w:szCs w:val="18"/>
              </w:rPr>
            </w:pPr>
            <w:r w:rsidRPr="008C6682">
              <w:rPr>
                <w:rFonts w:eastAsia="MS Mincho"/>
                <w:sz w:val="18"/>
                <w:szCs w:val="18"/>
              </w:rPr>
              <w:t>…</w:t>
            </w:r>
          </w:p>
        </w:tc>
      </w:tr>
      <w:tr w:rsidR="00A10C15" w:rsidRPr="00A10C15" w:rsidTr="00A10C15">
        <w:tc>
          <w:tcPr>
            <w:tcW w:w="1607" w:type="dxa"/>
            <w:vMerge w:val="restart"/>
            <w:tcBorders>
              <w:top w:val="single" w:sz="4" w:space="0" w:color="auto"/>
              <w:left w:val="single" w:sz="4" w:space="0" w:color="auto"/>
              <w:right w:val="single" w:sz="4" w:space="0" w:color="auto"/>
            </w:tcBorders>
            <w:shd w:val="clear" w:color="auto" w:fill="auto"/>
          </w:tcPr>
          <w:p w:rsidR="00A10C15" w:rsidRPr="008C6682" w:rsidRDefault="00A10C15" w:rsidP="00A10C15">
            <w:pPr>
              <w:spacing w:before="40" w:after="120"/>
              <w:ind w:right="113"/>
              <w:rPr>
                <w:sz w:val="18"/>
                <w:szCs w:val="18"/>
              </w:rPr>
            </w:pPr>
            <w:r w:rsidRPr="008C6682">
              <w:rPr>
                <w:sz w:val="18"/>
                <w:szCs w:val="18"/>
              </w:rPr>
              <w:t>2.</w:t>
            </w:r>
          </w:p>
        </w:tc>
        <w:tc>
          <w:tcPr>
            <w:tcW w:w="1607" w:type="dxa"/>
            <w:vMerge w:val="restart"/>
            <w:tcBorders>
              <w:top w:val="single" w:sz="4" w:space="0" w:color="auto"/>
              <w:left w:val="single" w:sz="4" w:space="0" w:color="auto"/>
              <w:right w:val="single" w:sz="4" w:space="0" w:color="auto"/>
            </w:tcBorders>
            <w:shd w:val="clear" w:color="auto" w:fill="auto"/>
          </w:tcPr>
          <w:p w:rsidR="00A10C15" w:rsidRPr="008C6682" w:rsidRDefault="00A10C15" w:rsidP="00A10C15">
            <w:pPr>
              <w:spacing w:before="40" w:after="120"/>
              <w:ind w:right="113"/>
              <w:rPr>
                <w:sz w:val="18"/>
                <w:szCs w:val="18"/>
              </w:rPr>
            </w:pPr>
            <w:r w:rsidRPr="008C6682">
              <w:rPr>
                <w:sz w:val="18"/>
                <w:szCs w:val="18"/>
              </w:rPr>
              <w:t>Feux de croisement</w:t>
            </w:r>
          </w:p>
        </w:tc>
        <w:tc>
          <w:tcPr>
            <w:tcW w:w="1607" w:type="dxa"/>
            <w:vMerge w:val="restart"/>
            <w:tcBorders>
              <w:top w:val="single" w:sz="4" w:space="0" w:color="auto"/>
              <w:left w:val="single" w:sz="4" w:space="0" w:color="auto"/>
              <w:right w:val="single" w:sz="4" w:space="0" w:color="auto"/>
            </w:tcBorders>
            <w:shd w:val="clear" w:color="auto" w:fill="auto"/>
          </w:tcPr>
          <w:p w:rsidR="00A10C15" w:rsidRPr="008C6682" w:rsidRDefault="00A10C15" w:rsidP="00A10C15">
            <w:pPr>
              <w:spacing w:before="40" w:after="120"/>
              <w:ind w:right="113"/>
              <w:rPr>
                <w:color w:val="FF3399"/>
                <w:sz w:val="18"/>
                <w:szCs w:val="18"/>
              </w:rPr>
            </w:pPr>
            <w:r w:rsidRPr="008C6682">
              <w:rPr>
                <w:noProof/>
                <w:sz w:val="18"/>
                <w:szCs w:val="18"/>
                <w:lang w:eastAsia="fr-CH"/>
              </w:rPr>
              <w:drawing>
                <wp:inline distT="0" distB="0" distL="0" distR="0" wp14:anchorId="02210804" wp14:editId="483D336E">
                  <wp:extent cx="320675" cy="286385"/>
                  <wp:effectExtent l="0" t="0" r="3175" b="0"/>
                  <wp:docPr id="13" name="Picture 10" descr="Low 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be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286385"/>
                          </a:xfrm>
                          <a:prstGeom prst="rect">
                            <a:avLst/>
                          </a:prstGeom>
                          <a:noFill/>
                          <a:ln>
                            <a:noFill/>
                          </a:ln>
                        </pic:spPr>
                      </pic:pic>
                    </a:graphicData>
                  </a:graphic>
                </wp:inline>
              </w:drawing>
            </w:r>
            <w:r w:rsidRPr="008C6682">
              <w:rPr>
                <w:sz w:val="18"/>
                <w:szCs w:val="18"/>
                <w:vertAlign w:val="superscript"/>
              </w:rPr>
              <w:t>1, 6, 13</w:t>
            </w:r>
            <w:r w:rsidRPr="008C6682">
              <w:rPr>
                <w:strike/>
                <w:color w:val="000000" w:themeColor="text1"/>
                <w:sz w:val="18"/>
                <w:szCs w:val="18"/>
                <w:vertAlign w:val="superscript"/>
              </w:rPr>
              <w:t>, 18</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sz w:val="18"/>
                <w:szCs w:val="18"/>
              </w:rPr>
            </w:pPr>
            <w:r w:rsidRPr="008C6682">
              <w:rPr>
                <w:sz w:val="18"/>
                <w:szCs w:val="18"/>
              </w:rPr>
              <w:t>Commande</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sz w:val="18"/>
                <w:szCs w:val="18"/>
              </w:rPr>
            </w:pPr>
            <w:r w:rsidRPr="008C6682">
              <w:rPr>
                <w:sz w:val="18"/>
                <w:szCs w:val="18"/>
              </w:rPr>
              <w:t>Non</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sz w:val="18"/>
                <w:szCs w:val="18"/>
              </w:rPr>
            </w:pPr>
          </w:p>
        </w:tc>
      </w:tr>
      <w:tr w:rsidR="00A10C15" w:rsidRPr="00A10C15" w:rsidTr="00A10C15">
        <w:tc>
          <w:tcPr>
            <w:tcW w:w="1607" w:type="dxa"/>
            <w:vMerge/>
            <w:tcBorders>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rFonts w:eastAsia="MS Mincho"/>
                <w:sz w:val="18"/>
                <w:szCs w:val="18"/>
              </w:rPr>
            </w:pPr>
          </w:p>
        </w:tc>
        <w:tc>
          <w:tcPr>
            <w:tcW w:w="1607" w:type="dxa"/>
            <w:vMerge/>
            <w:tcBorders>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rFonts w:eastAsia="MS Mincho"/>
                <w:sz w:val="18"/>
                <w:szCs w:val="18"/>
              </w:rPr>
            </w:pPr>
          </w:p>
        </w:tc>
        <w:tc>
          <w:tcPr>
            <w:tcW w:w="1607" w:type="dxa"/>
            <w:vMerge/>
            <w:tcBorders>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rFonts w:eastAsia="MS Mincho"/>
                <w:sz w:val="18"/>
                <w:szCs w:val="18"/>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rFonts w:eastAsia="MS Mincho"/>
                <w:sz w:val="18"/>
                <w:szCs w:val="18"/>
              </w:rPr>
            </w:pPr>
            <w:r w:rsidRPr="008C6682">
              <w:rPr>
                <w:sz w:val="18"/>
                <w:szCs w:val="18"/>
              </w:rPr>
              <w:t>Témoin</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rFonts w:eastAsia="MS Mincho"/>
                <w:sz w:val="18"/>
                <w:szCs w:val="18"/>
              </w:rPr>
            </w:pPr>
            <w:r w:rsidRPr="008C6682">
              <w:rPr>
                <w:sz w:val="18"/>
                <w:szCs w:val="18"/>
              </w:rPr>
              <w:t>Oui</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120"/>
              <w:ind w:right="113"/>
              <w:rPr>
                <w:rFonts w:eastAsia="MS Mincho"/>
                <w:sz w:val="18"/>
                <w:szCs w:val="18"/>
              </w:rPr>
            </w:pPr>
            <w:r w:rsidRPr="008C6682">
              <w:rPr>
                <w:sz w:val="18"/>
                <w:szCs w:val="18"/>
              </w:rPr>
              <w:t>Vert</w:t>
            </w:r>
          </w:p>
        </w:tc>
      </w:tr>
      <w:tr w:rsidR="00A10C15" w:rsidRPr="00A10C15" w:rsidTr="00E81F16">
        <w:tc>
          <w:tcPr>
            <w:tcW w:w="1607" w:type="dxa"/>
            <w:vMerge w:val="restart"/>
            <w:tcBorders>
              <w:top w:val="single" w:sz="4" w:space="0" w:color="auto"/>
              <w:left w:val="single" w:sz="4" w:space="0" w:color="auto"/>
              <w:right w:val="single" w:sz="4" w:space="0" w:color="auto"/>
            </w:tcBorders>
            <w:shd w:val="clear" w:color="auto" w:fill="auto"/>
          </w:tcPr>
          <w:p w:rsidR="00A10C15" w:rsidRPr="008C6682" w:rsidRDefault="00A10C15" w:rsidP="00A10C15">
            <w:pPr>
              <w:tabs>
                <w:tab w:val="left" w:pos="993"/>
              </w:tabs>
              <w:ind w:left="993" w:right="-1" w:hanging="993"/>
              <w:rPr>
                <w:color w:val="000000" w:themeColor="text1"/>
                <w:sz w:val="18"/>
                <w:szCs w:val="18"/>
                <w:lang w:eastAsia="ja-JP"/>
              </w:rPr>
            </w:pPr>
            <w:r w:rsidRPr="008C6682">
              <w:rPr>
                <w:color w:val="000000" w:themeColor="text1"/>
                <w:sz w:val="18"/>
                <w:szCs w:val="18"/>
                <w:lang w:eastAsia="ja-JP"/>
              </w:rPr>
              <w:t>3a</w:t>
            </w:r>
          </w:p>
        </w:tc>
        <w:tc>
          <w:tcPr>
            <w:tcW w:w="1607" w:type="dxa"/>
            <w:vMerge w:val="restart"/>
            <w:tcBorders>
              <w:top w:val="single" w:sz="4" w:space="0" w:color="auto"/>
              <w:left w:val="single" w:sz="4" w:space="0" w:color="auto"/>
              <w:right w:val="single" w:sz="4" w:space="0" w:color="auto"/>
            </w:tcBorders>
            <w:shd w:val="clear" w:color="auto" w:fill="auto"/>
          </w:tcPr>
          <w:p w:rsidR="00A10C15" w:rsidRPr="008C6682" w:rsidRDefault="00A10C15" w:rsidP="00A10C15">
            <w:pPr>
              <w:ind w:left="102" w:right="-1"/>
              <w:rPr>
                <w:bCs/>
                <w:color w:val="000000" w:themeColor="text1"/>
                <w:sz w:val="18"/>
                <w:szCs w:val="18"/>
                <w:lang w:eastAsia="ja-JP"/>
              </w:rPr>
            </w:pPr>
            <w:r w:rsidRPr="008C6682">
              <w:rPr>
                <w:color w:val="000000" w:themeColor="text1"/>
                <w:sz w:val="18"/>
                <w:szCs w:val="18"/>
                <w:lang w:eastAsia="ja-JP"/>
              </w:rPr>
              <w:t>Feux de route</w:t>
            </w:r>
          </w:p>
        </w:tc>
        <w:tc>
          <w:tcPr>
            <w:tcW w:w="1607" w:type="dxa"/>
            <w:vMerge w:val="restart"/>
            <w:tcBorders>
              <w:top w:val="single" w:sz="4" w:space="0" w:color="auto"/>
              <w:left w:val="single" w:sz="4" w:space="0" w:color="auto"/>
              <w:right w:val="single" w:sz="4" w:space="0" w:color="auto"/>
            </w:tcBorders>
            <w:shd w:val="clear" w:color="auto" w:fill="auto"/>
          </w:tcPr>
          <w:p w:rsidR="00A10C15" w:rsidRPr="00A10C15" w:rsidRDefault="00A10C15" w:rsidP="00A10C15">
            <w:pPr>
              <w:tabs>
                <w:tab w:val="left" w:pos="993"/>
              </w:tabs>
              <w:ind w:left="993" w:right="-1" w:hanging="993"/>
              <w:rPr>
                <w:bCs/>
                <w:color w:val="000000" w:themeColor="text1"/>
                <w:sz w:val="18"/>
                <w:szCs w:val="18"/>
                <w:lang w:eastAsia="ja-JP"/>
              </w:rPr>
            </w:pPr>
            <w:r w:rsidRPr="00A10C15">
              <w:rPr>
                <w:bCs/>
                <w:noProof/>
                <w:color w:val="000000" w:themeColor="text1"/>
                <w:sz w:val="18"/>
                <w:szCs w:val="18"/>
                <w:lang w:eastAsia="fr-CH"/>
              </w:rPr>
              <w:drawing>
                <wp:inline distT="0" distB="0" distL="0" distR="0" wp14:anchorId="59974A21" wp14:editId="1C03BBEB">
                  <wp:extent cx="382270" cy="238760"/>
                  <wp:effectExtent l="0" t="0" r="0" b="889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270" cy="238760"/>
                          </a:xfrm>
                          <a:prstGeom prst="rect">
                            <a:avLst/>
                          </a:prstGeom>
                          <a:noFill/>
                          <a:ln>
                            <a:noFill/>
                          </a:ln>
                        </pic:spPr>
                      </pic:pic>
                    </a:graphicData>
                  </a:graphic>
                </wp:inline>
              </w:drawing>
            </w:r>
            <w:r w:rsidRPr="00A10C15">
              <w:rPr>
                <w:bCs/>
                <w:color w:val="000000" w:themeColor="text1"/>
                <w:sz w:val="18"/>
                <w:szCs w:val="18"/>
                <w:vertAlign w:val="superscript"/>
                <w:lang w:eastAsia="ja-JP"/>
              </w:rPr>
              <w:t>1, 13</w:t>
            </w:r>
            <w:r w:rsidRPr="00A10C15">
              <w:rPr>
                <w:bCs/>
                <w:strike/>
                <w:color w:val="000000" w:themeColor="text1"/>
                <w:sz w:val="18"/>
                <w:szCs w:val="18"/>
                <w:vertAlign w:val="superscript"/>
                <w:lang w:eastAsia="ja-JP"/>
              </w:rPr>
              <w:t>, 18</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A10C15" w:rsidRPr="008C6682" w:rsidRDefault="00A10C15" w:rsidP="00A10C15">
            <w:pPr>
              <w:tabs>
                <w:tab w:val="left" w:pos="993"/>
              </w:tabs>
              <w:spacing w:before="60" w:after="60" w:line="220" w:lineRule="atLeast"/>
              <w:ind w:left="993" w:right="-1" w:hanging="993"/>
              <w:rPr>
                <w:color w:val="000000" w:themeColor="text1"/>
                <w:sz w:val="18"/>
                <w:szCs w:val="18"/>
                <w:lang w:eastAsia="ja-JP"/>
              </w:rPr>
            </w:pPr>
            <w:r w:rsidRPr="008C6682">
              <w:rPr>
                <w:color w:val="000000" w:themeColor="text1"/>
                <w:sz w:val="18"/>
                <w:szCs w:val="18"/>
                <w:lang w:eastAsia="ja-JP"/>
              </w:rPr>
              <w:t>Commande</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A10C15" w:rsidRPr="008C6682" w:rsidRDefault="00A10C15" w:rsidP="00A10C15">
            <w:pPr>
              <w:tabs>
                <w:tab w:val="left" w:pos="993"/>
              </w:tabs>
              <w:spacing w:before="60" w:after="60" w:line="220" w:lineRule="atLeast"/>
              <w:ind w:left="993" w:right="-1" w:hanging="993"/>
              <w:rPr>
                <w:color w:val="000000" w:themeColor="text1"/>
                <w:sz w:val="18"/>
                <w:szCs w:val="18"/>
                <w:lang w:eastAsia="ja-JP"/>
              </w:rPr>
            </w:pPr>
            <w:r w:rsidRPr="008C6682">
              <w:rPr>
                <w:color w:val="000000" w:themeColor="text1"/>
                <w:sz w:val="18"/>
                <w:szCs w:val="18"/>
                <w:lang w:eastAsia="ja-JP"/>
              </w:rPr>
              <w:t>Non</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A10C15" w:rsidRPr="008C6682" w:rsidRDefault="00A10C15" w:rsidP="00A10C15">
            <w:pPr>
              <w:tabs>
                <w:tab w:val="left" w:pos="993"/>
              </w:tabs>
              <w:spacing w:before="60" w:after="60" w:line="220" w:lineRule="atLeast"/>
              <w:ind w:left="993" w:right="-1" w:hanging="993"/>
              <w:rPr>
                <w:color w:val="000000" w:themeColor="text1"/>
                <w:sz w:val="18"/>
                <w:szCs w:val="18"/>
                <w:lang w:eastAsia="ja-JP"/>
              </w:rPr>
            </w:pPr>
            <w:r w:rsidRPr="008C6682">
              <w:rPr>
                <w:color w:val="000000" w:themeColor="text1"/>
                <w:sz w:val="18"/>
                <w:szCs w:val="18"/>
                <w:lang w:eastAsia="ja-JP"/>
              </w:rPr>
              <w:t>-</w:t>
            </w:r>
          </w:p>
        </w:tc>
      </w:tr>
      <w:tr w:rsidR="00A10C15" w:rsidRPr="00A10C15" w:rsidTr="00E81F16">
        <w:tc>
          <w:tcPr>
            <w:tcW w:w="1607" w:type="dxa"/>
            <w:vMerge/>
            <w:tcBorders>
              <w:left w:val="single" w:sz="4" w:space="0" w:color="auto"/>
              <w:bottom w:val="single" w:sz="4" w:space="0" w:color="auto"/>
              <w:right w:val="single" w:sz="4" w:space="0" w:color="auto"/>
            </w:tcBorders>
            <w:shd w:val="clear" w:color="auto" w:fill="auto"/>
          </w:tcPr>
          <w:p w:rsidR="00A10C15" w:rsidRPr="008C6682" w:rsidRDefault="00A10C15" w:rsidP="00A10C15">
            <w:pPr>
              <w:rPr>
                <w:rFonts w:eastAsia="MS Mincho"/>
                <w:color w:val="000000" w:themeColor="text1"/>
                <w:sz w:val="18"/>
                <w:szCs w:val="18"/>
              </w:rPr>
            </w:pPr>
          </w:p>
        </w:tc>
        <w:tc>
          <w:tcPr>
            <w:tcW w:w="1607" w:type="dxa"/>
            <w:vMerge/>
            <w:tcBorders>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40"/>
              <w:rPr>
                <w:rFonts w:eastAsia="MS Mincho"/>
                <w:color w:val="000000" w:themeColor="text1"/>
                <w:sz w:val="18"/>
                <w:szCs w:val="18"/>
              </w:rPr>
            </w:pPr>
          </w:p>
        </w:tc>
        <w:tc>
          <w:tcPr>
            <w:tcW w:w="1607" w:type="dxa"/>
            <w:vMerge/>
            <w:tcBorders>
              <w:left w:val="single" w:sz="4" w:space="0" w:color="auto"/>
              <w:bottom w:val="single" w:sz="4" w:space="0" w:color="auto"/>
              <w:right w:val="single" w:sz="4" w:space="0" w:color="auto"/>
            </w:tcBorders>
            <w:shd w:val="clear" w:color="auto" w:fill="auto"/>
          </w:tcPr>
          <w:p w:rsidR="00A10C15" w:rsidRPr="008C6682" w:rsidRDefault="00A10C15" w:rsidP="00A10C15">
            <w:pPr>
              <w:spacing w:before="40" w:after="40"/>
              <w:rPr>
                <w:rFonts w:eastAsia="MS Mincho"/>
                <w:color w:val="000000" w:themeColor="text1"/>
                <w:sz w:val="18"/>
                <w:szCs w:val="18"/>
                <w:lang w:eastAsia="fr-FR"/>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A10C15" w:rsidRPr="008C6682" w:rsidRDefault="00A10C15" w:rsidP="00A10C15">
            <w:pPr>
              <w:spacing w:before="60" w:after="60" w:line="220" w:lineRule="atLeast"/>
              <w:rPr>
                <w:rFonts w:eastAsia="MS Mincho"/>
                <w:color w:val="000000" w:themeColor="text1"/>
                <w:sz w:val="18"/>
                <w:szCs w:val="18"/>
              </w:rPr>
            </w:pPr>
            <w:r w:rsidRPr="008C6682">
              <w:rPr>
                <w:color w:val="000000" w:themeColor="text1"/>
                <w:sz w:val="18"/>
                <w:szCs w:val="18"/>
                <w:lang w:eastAsia="ja-JP"/>
              </w:rPr>
              <w:t>Témoin</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A10C15" w:rsidRPr="008C6682" w:rsidRDefault="00A10C15" w:rsidP="00A10C15">
            <w:pPr>
              <w:spacing w:before="60" w:after="60" w:line="220" w:lineRule="atLeast"/>
              <w:rPr>
                <w:rFonts w:eastAsia="MS Mincho"/>
                <w:color w:val="000000" w:themeColor="text1"/>
                <w:sz w:val="18"/>
                <w:szCs w:val="18"/>
              </w:rPr>
            </w:pPr>
            <w:r w:rsidRPr="008C6682">
              <w:rPr>
                <w:color w:val="000000" w:themeColor="text1"/>
                <w:sz w:val="18"/>
                <w:szCs w:val="18"/>
                <w:lang w:eastAsia="ja-JP"/>
              </w:rPr>
              <w:t>Oui</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A10C15" w:rsidRPr="008C6682" w:rsidRDefault="00A10C15" w:rsidP="00A10C15">
            <w:pPr>
              <w:spacing w:before="60" w:after="60" w:line="220" w:lineRule="atLeast"/>
              <w:rPr>
                <w:rFonts w:eastAsia="MS Mincho"/>
                <w:color w:val="000000" w:themeColor="text1"/>
                <w:sz w:val="18"/>
                <w:szCs w:val="18"/>
              </w:rPr>
            </w:pPr>
            <w:r w:rsidRPr="008C6682">
              <w:rPr>
                <w:color w:val="000000" w:themeColor="text1"/>
                <w:sz w:val="18"/>
                <w:szCs w:val="18"/>
                <w:lang w:eastAsia="ja-JP"/>
              </w:rPr>
              <w:t>Bleu</w:t>
            </w:r>
          </w:p>
        </w:tc>
      </w:tr>
      <w:tr w:rsidR="006425F2" w:rsidRPr="00A10C15" w:rsidTr="006425F2">
        <w:tc>
          <w:tcPr>
            <w:tcW w:w="1607" w:type="dxa"/>
            <w:tcBorders>
              <w:top w:val="single" w:sz="4" w:space="0" w:color="auto"/>
              <w:left w:val="single" w:sz="6" w:space="0" w:color="auto"/>
              <w:bottom w:val="single" w:sz="4" w:space="0" w:color="auto"/>
              <w:right w:val="single" w:sz="6" w:space="0" w:color="auto"/>
            </w:tcBorders>
          </w:tcPr>
          <w:p w:rsidR="006425F2" w:rsidRPr="008C6682" w:rsidRDefault="006425F2" w:rsidP="006425F2">
            <w:pPr>
              <w:spacing w:before="40" w:after="40"/>
              <w:rPr>
                <w:rFonts w:eastAsia="MS Mincho"/>
                <w:sz w:val="18"/>
                <w:szCs w:val="18"/>
              </w:rPr>
            </w:pPr>
            <w:r w:rsidRPr="008C6682">
              <w:rPr>
                <w:rFonts w:eastAsia="MS Mincho"/>
                <w:sz w:val="18"/>
                <w:szCs w:val="18"/>
              </w:rPr>
              <w:t>…</w:t>
            </w:r>
          </w:p>
        </w:tc>
        <w:tc>
          <w:tcPr>
            <w:tcW w:w="1607" w:type="dxa"/>
            <w:tcBorders>
              <w:top w:val="single" w:sz="4" w:space="0" w:color="auto"/>
              <w:left w:val="single" w:sz="6" w:space="0" w:color="auto"/>
              <w:bottom w:val="single" w:sz="4" w:space="0" w:color="auto"/>
              <w:right w:val="single" w:sz="6" w:space="0" w:color="auto"/>
            </w:tcBorders>
          </w:tcPr>
          <w:p w:rsidR="006425F2" w:rsidRPr="008C6682" w:rsidRDefault="006425F2" w:rsidP="006425F2">
            <w:pPr>
              <w:spacing w:before="40" w:after="40"/>
              <w:rPr>
                <w:rFonts w:eastAsia="MS Mincho"/>
                <w:sz w:val="18"/>
                <w:szCs w:val="18"/>
              </w:rPr>
            </w:pPr>
            <w:r w:rsidRPr="008C6682">
              <w:rPr>
                <w:rFonts w:eastAsia="MS Mincho"/>
                <w:sz w:val="18"/>
                <w:szCs w:val="18"/>
              </w:rPr>
              <w:t>…</w:t>
            </w:r>
          </w:p>
        </w:tc>
        <w:tc>
          <w:tcPr>
            <w:tcW w:w="1607" w:type="dxa"/>
            <w:tcBorders>
              <w:top w:val="single" w:sz="4" w:space="0" w:color="auto"/>
              <w:left w:val="single" w:sz="6" w:space="0" w:color="auto"/>
              <w:bottom w:val="single" w:sz="4" w:space="0" w:color="auto"/>
              <w:right w:val="single" w:sz="6" w:space="0" w:color="auto"/>
            </w:tcBorders>
          </w:tcPr>
          <w:p w:rsidR="006425F2" w:rsidRPr="008C6682" w:rsidRDefault="006425F2" w:rsidP="006425F2">
            <w:pPr>
              <w:spacing w:before="40" w:after="40"/>
              <w:rPr>
                <w:rFonts w:eastAsia="MS Mincho"/>
                <w:sz w:val="18"/>
                <w:szCs w:val="18"/>
              </w:rPr>
            </w:pPr>
            <w:r w:rsidRPr="008C6682">
              <w:rPr>
                <w:rFonts w:eastAsia="MS Mincho"/>
                <w:sz w:val="18"/>
                <w:szCs w:val="18"/>
              </w:rPr>
              <w:t>…</w:t>
            </w:r>
          </w:p>
        </w:tc>
        <w:tc>
          <w:tcPr>
            <w:tcW w:w="1606" w:type="dxa"/>
            <w:tcBorders>
              <w:top w:val="single" w:sz="6" w:space="0" w:color="auto"/>
              <w:left w:val="single" w:sz="6" w:space="0" w:color="auto"/>
              <w:bottom w:val="single" w:sz="4" w:space="0" w:color="auto"/>
              <w:right w:val="single" w:sz="6" w:space="0" w:color="auto"/>
            </w:tcBorders>
          </w:tcPr>
          <w:p w:rsidR="006425F2" w:rsidRPr="008C6682" w:rsidRDefault="006425F2" w:rsidP="006425F2">
            <w:pPr>
              <w:spacing w:before="40" w:after="40"/>
              <w:rPr>
                <w:rFonts w:eastAsia="MS Mincho"/>
                <w:sz w:val="18"/>
                <w:szCs w:val="18"/>
              </w:rPr>
            </w:pPr>
            <w:r w:rsidRPr="008C6682">
              <w:rPr>
                <w:rFonts w:eastAsia="MS Mincho"/>
                <w:sz w:val="18"/>
                <w:szCs w:val="18"/>
              </w:rPr>
              <w:t>…</w:t>
            </w:r>
          </w:p>
        </w:tc>
        <w:tc>
          <w:tcPr>
            <w:tcW w:w="1606" w:type="dxa"/>
            <w:tcBorders>
              <w:top w:val="single" w:sz="6" w:space="0" w:color="auto"/>
              <w:left w:val="single" w:sz="6" w:space="0" w:color="auto"/>
              <w:bottom w:val="single" w:sz="4" w:space="0" w:color="auto"/>
              <w:right w:val="single" w:sz="6" w:space="0" w:color="auto"/>
            </w:tcBorders>
          </w:tcPr>
          <w:p w:rsidR="006425F2" w:rsidRPr="008C6682" w:rsidRDefault="006425F2" w:rsidP="006425F2">
            <w:pPr>
              <w:spacing w:before="40" w:after="40"/>
              <w:rPr>
                <w:rFonts w:eastAsia="MS Mincho"/>
                <w:sz w:val="18"/>
                <w:szCs w:val="18"/>
              </w:rPr>
            </w:pPr>
            <w:r w:rsidRPr="008C6682">
              <w:rPr>
                <w:rFonts w:eastAsia="MS Mincho"/>
                <w:sz w:val="18"/>
                <w:szCs w:val="18"/>
              </w:rPr>
              <w:t>…</w:t>
            </w:r>
          </w:p>
        </w:tc>
        <w:tc>
          <w:tcPr>
            <w:tcW w:w="1606" w:type="dxa"/>
            <w:tcBorders>
              <w:top w:val="single" w:sz="6" w:space="0" w:color="auto"/>
              <w:left w:val="single" w:sz="6" w:space="0" w:color="auto"/>
              <w:bottom w:val="single" w:sz="4" w:space="0" w:color="auto"/>
              <w:right w:val="single" w:sz="6" w:space="0" w:color="auto"/>
            </w:tcBorders>
          </w:tcPr>
          <w:p w:rsidR="006425F2" w:rsidRPr="008C6682" w:rsidRDefault="006425F2" w:rsidP="006425F2">
            <w:pPr>
              <w:spacing w:before="40" w:after="40"/>
              <w:rPr>
                <w:rFonts w:eastAsia="MS Mincho"/>
                <w:sz w:val="18"/>
                <w:szCs w:val="18"/>
              </w:rPr>
            </w:pPr>
            <w:r w:rsidRPr="008C6682">
              <w:rPr>
                <w:rFonts w:eastAsia="MS Mincho"/>
                <w:sz w:val="18"/>
                <w:szCs w:val="18"/>
              </w:rPr>
              <w:t>…</w:t>
            </w:r>
          </w:p>
        </w:tc>
      </w:tr>
      <w:tr w:rsidR="006425F2" w:rsidRPr="00A10C15" w:rsidTr="006425F2">
        <w:tc>
          <w:tcPr>
            <w:tcW w:w="1607" w:type="dxa"/>
            <w:tcBorders>
              <w:top w:val="single" w:sz="4" w:space="0" w:color="auto"/>
              <w:left w:val="single" w:sz="4" w:space="0" w:color="auto"/>
              <w:right w:val="single" w:sz="4" w:space="0" w:color="auto"/>
            </w:tcBorders>
            <w:shd w:val="clear" w:color="auto" w:fill="auto"/>
          </w:tcPr>
          <w:p w:rsidR="006425F2" w:rsidRPr="008C6682" w:rsidRDefault="006425F2" w:rsidP="006425F2">
            <w:pPr>
              <w:rPr>
                <w:sz w:val="18"/>
                <w:szCs w:val="18"/>
              </w:rPr>
            </w:pPr>
            <w:r w:rsidRPr="008C6682">
              <w:rPr>
                <w:sz w:val="18"/>
                <w:szCs w:val="18"/>
              </w:rPr>
              <w:t>9.</w:t>
            </w:r>
          </w:p>
        </w:tc>
        <w:tc>
          <w:tcPr>
            <w:tcW w:w="1607" w:type="dxa"/>
            <w:tcBorders>
              <w:top w:val="single" w:sz="4" w:space="0" w:color="auto"/>
              <w:left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sz w:val="18"/>
                <w:szCs w:val="18"/>
              </w:rPr>
              <w:t xml:space="preserve">Jauge d’essence </w:t>
            </w:r>
          </w:p>
        </w:tc>
        <w:tc>
          <w:tcPr>
            <w:tcW w:w="1607" w:type="dxa"/>
            <w:vMerge w:val="restart"/>
            <w:tcBorders>
              <w:top w:val="single" w:sz="4" w:space="0" w:color="auto"/>
              <w:left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noProof/>
                <w:sz w:val="18"/>
                <w:szCs w:val="18"/>
                <w:lang w:eastAsia="fr-CH"/>
              </w:rPr>
              <w:drawing>
                <wp:inline distT="0" distB="0" distL="0" distR="0" wp14:anchorId="5305CE80" wp14:editId="20CFDEDE">
                  <wp:extent cx="191135" cy="231775"/>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r w:rsidRPr="008C6682">
              <w:rPr>
                <w:sz w:val="18"/>
                <w:szCs w:val="18"/>
              </w:rPr>
              <w:t xml:space="preserve">   </w:t>
            </w:r>
            <w:r w:rsidRPr="008C6682">
              <w:rPr>
                <w:noProof/>
                <w:sz w:val="18"/>
                <w:szCs w:val="18"/>
                <w:lang w:eastAsia="fr-CH"/>
              </w:rPr>
              <w:drawing>
                <wp:inline distT="0" distB="0" distL="0" distR="0" wp14:anchorId="61A5A05F" wp14:editId="2A063F6B">
                  <wp:extent cx="211455" cy="231775"/>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 cy="231775"/>
                          </a:xfrm>
                          <a:prstGeom prst="rect">
                            <a:avLst/>
                          </a:prstGeom>
                          <a:noFill/>
                          <a:ln>
                            <a:noFill/>
                          </a:ln>
                        </pic:spPr>
                      </pic:pic>
                    </a:graphicData>
                  </a:graphic>
                </wp:inline>
              </w:drawing>
            </w:r>
          </w:p>
          <w:p w:rsidR="006425F2" w:rsidRPr="008C6682" w:rsidRDefault="006425F2" w:rsidP="006425F2">
            <w:pPr>
              <w:spacing w:before="40" w:after="40"/>
              <w:rPr>
                <w:sz w:val="18"/>
                <w:szCs w:val="18"/>
              </w:rPr>
            </w:pPr>
            <w:r w:rsidRPr="008C6682">
              <w:rPr>
                <w:sz w:val="18"/>
                <w:szCs w:val="18"/>
              </w:rPr>
              <w:t xml:space="preserve">ou  </w:t>
            </w:r>
            <w:r w:rsidRPr="008C6682">
              <w:rPr>
                <w:noProof/>
                <w:sz w:val="18"/>
                <w:szCs w:val="18"/>
                <w:lang w:eastAsia="fr-CH"/>
              </w:rPr>
              <w:drawing>
                <wp:inline distT="0" distB="0" distL="0" distR="0" wp14:anchorId="7D000416" wp14:editId="04A9C0A6">
                  <wp:extent cx="238760" cy="211455"/>
                  <wp:effectExtent l="0" t="0" r="889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rsidRPr="008C6682">
              <w:rPr>
                <w:sz w:val="18"/>
                <w:szCs w:val="18"/>
                <w:vertAlign w:val="superscript"/>
              </w:rPr>
              <w:t xml:space="preserve"> </w:t>
            </w:r>
            <w:r w:rsidRPr="008C6682">
              <w:rPr>
                <w:strike/>
                <w:sz w:val="18"/>
                <w:szCs w:val="18"/>
                <w:vertAlign w:val="superscript"/>
              </w:rPr>
              <w:t xml:space="preserve"> </w:t>
            </w:r>
            <w:r w:rsidRPr="008C6682">
              <w:rPr>
                <w:bCs/>
                <w:strike/>
                <w:sz w:val="18"/>
                <w:szCs w:val="18"/>
                <w:vertAlign w:val="superscript"/>
              </w:rPr>
              <w:t>18</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sz w:val="18"/>
                <w:szCs w:val="18"/>
              </w:rPr>
              <w:t>Témoin</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sz w:val="18"/>
                <w:szCs w:val="18"/>
              </w:rPr>
              <w:t xml:space="preserve">Oui </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sz w:val="18"/>
                <w:szCs w:val="18"/>
              </w:rPr>
              <w:t>Jaune</w:t>
            </w:r>
          </w:p>
        </w:tc>
      </w:tr>
      <w:tr w:rsidR="006425F2" w:rsidRPr="00A10C15" w:rsidTr="006425F2">
        <w:tc>
          <w:tcPr>
            <w:tcW w:w="1607" w:type="dxa"/>
            <w:tcBorders>
              <w:left w:val="single" w:sz="4" w:space="0" w:color="auto"/>
              <w:bottom w:val="single" w:sz="4" w:space="0" w:color="auto"/>
              <w:right w:val="single" w:sz="4" w:space="0" w:color="auto"/>
            </w:tcBorders>
            <w:shd w:val="clear" w:color="auto" w:fill="auto"/>
          </w:tcPr>
          <w:p w:rsidR="006425F2" w:rsidRPr="008C6682" w:rsidRDefault="006425F2" w:rsidP="006425F2">
            <w:pPr>
              <w:rPr>
                <w:sz w:val="18"/>
                <w:szCs w:val="18"/>
              </w:rPr>
            </w:pPr>
          </w:p>
        </w:tc>
        <w:tc>
          <w:tcPr>
            <w:tcW w:w="1607" w:type="dxa"/>
            <w:tcBorders>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p>
        </w:tc>
        <w:tc>
          <w:tcPr>
            <w:tcW w:w="1607" w:type="dxa"/>
            <w:vMerge/>
            <w:tcBorders>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sz w:val="18"/>
                <w:szCs w:val="18"/>
              </w:rPr>
              <w:t>Indicateur</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sz w:val="18"/>
                <w:szCs w:val="18"/>
              </w:rPr>
              <w:t>Oui</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p>
        </w:tc>
      </w:tr>
      <w:tr w:rsidR="006425F2" w:rsidRPr="00A10C15" w:rsidTr="00461645">
        <w:tc>
          <w:tcPr>
            <w:tcW w:w="1607" w:type="dxa"/>
            <w:tcBorders>
              <w:top w:val="single" w:sz="4" w:space="0" w:color="auto"/>
              <w:left w:val="single" w:sz="4" w:space="0" w:color="auto"/>
              <w:right w:val="single" w:sz="4" w:space="0" w:color="auto"/>
            </w:tcBorders>
            <w:shd w:val="clear" w:color="auto" w:fill="auto"/>
          </w:tcPr>
          <w:p w:rsidR="006425F2" w:rsidRPr="008C6682" w:rsidRDefault="006425F2" w:rsidP="006425F2">
            <w:pPr>
              <w:rPr>
                <w:sz w:val="18"/>
                <w:szCs w:val="18"/>
              </w:rPr>
            </w:pPr>
            <w:r w:rsidRPr="008C6682">
              <w:rPr>
                <w:sz w:val="18"/>
                <w:szCs w:val="18"/>
              </w:rPr>
              <w:t>10.</w:t>
            </w:r>
          </w:p>
        </w:tc>
        <w:tc>
          <w:tcPr>
            <w:tcW w:w="1607" w:type="dxa"/>
            <w:tcBorders>
              <w:top w:val="single" w:sz="4" w:space="0" w:color="auto"/>
              <w:left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sz w:val="18"/>
                <w:szCs w:val="18"/>
              </w:rPr>
              <w:t xml:space="preserve">Pression d’huile </w:t>
            </w:r>
          </w:p>
        </w:tc>
        <w:tc>
          <w:tcPr>
            <w:tcW w:w="1607" w:type="dxa"/>
            <w:vMerge w:val="restart"/>
            <w:tcBorders>
              <w:top w:val="single" w:sz="4" w:space="0" w:color="auto"/>
              <w:left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noProof/>
                <w:sz w:val="18"/>
                <w:szCs w:val="18"/>
                <w:lang w:eastAsia="fr-CH"/>
              </w:rPr>
              <w:drawing>
                <wp:inline distT="0" distB="0" distL="0" distR="0" wp14:anchorId="790702CF" wp14:editId="1D03C759">
                  <wp:extent cx="361950" cy="36195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8C6682">
              <w:rPr>
                <w:sz w:val="18"/>
                <w:szCs w:val="18"/>
              </w:rPr>
              <w:t xml:space="preserve">  </w:t>
            </w:r>
            <w:r w:rsidRPr="008C6682">
              <w:rPr>
                <w:sz w:val="18"/>
                <w:szCs w:val="18"/>
                <w:vertAlign w:val="superscript"/>
              </w:rPr>
              <w:t>5</w:t>
            </w:r>
            <w:r w:rsidRPr="008C6682">
              <w:rPr>
                <w:strike/>
                <w:sz w:val="18"/>
                <w:szCs w:val="18"/>
                <w:vertAlign w:val="superscript"/>
              </w:rPr>
              <w:t>, 18</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sz w:val="18"/>
                <w:szCs w:val="18"/>
              </w:rPr>
              <w:t>Témoin</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sz w:val="18"/>
                <w:szCs w:val="18"/>
              </w:rPr>
              <w:t xml:space="preserve">Oui </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sz w:val="18"/>
                <w:szCs w:val="18"/>
              </w:rPr>
              <w:t>Rouge</w:t>
            </w:r>
          </w:p>
        </w:tc>
      </w:tr>
      <w:tr w:rsidR="006425F2" w:rsidRPr="00A10C15" w:rsidTr="00461645">
        <w:tc>
          <w:tcPr>
            <w:tcW w:w="1607" w:type="dxa"/>
            <w:tcBorders>
              <w:left w:val="single" w:sz="4" w:space="0" w:color="auto"/>
              <w:bottom w:val="single" w:sz="4" w:space="0" w:color="auto"/>
              <w:right w:val="single" w:sz="4" w:space="0" w:color="auto"/>
            </w:tcBorders>
            <w:shd w:val="clear" w:color="auto" w:fill="auto"/>
          </w:tcPr>
          <w:p w:rsidR="006425F2" w:rsidRPr="008C6682" w:rsidRDefault="006425F2" w:rsidP="006425F2">
            <w:pPr>
              <w:rPr>
                <w:sz w:val="18"/>
                <w:szCs w:val="18"/>
              </w:rPr>
            </w:pPr>
          </w:p>
        </w:tc>
        <w:tc>
          <w:tcPr>
            <w:tcW w:w="1607" w:type="dxa"/>
            <w:tcBorders>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p>
        </w:tc>
        <w:tc>
          <w:tcPr>
            <w:tcW w:w="1607" w:type="dxa"/>
            <w:vMerge/>
            <w:tcBorders>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sz w:val="18"/>
                <w:szCs w:val="18"/>
              </w:rPr>
              <w:t>Indicateur</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r w:rsidRPr="008C6682">
              <w:rPr>
                <w:sz w:val="18"/>
                <w:szCs w:val="18"/>
              </w:rPr>
              <w:t>Oui</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6425F2" w:rsidRPr="008C6682" w:rsidRDefault="006425F2" w:rsidP="006425F2">
            <w:pPr>
              <w:spacing w:before="40" w:after="40"/>
              <w:rPr>
                <w:sz w:val="18"/>
                <w:szCs w:val="18"/>
              </w:rPr>
            </w:pPr>
          </w:p>
        </w:tc>
      </w:tr>
      <w:tr w:rsidR="008F64A9" w:rsidRPr="00A10C15" w:rsidTr="002E0D87">
        <w:tc>
          <w:tcPr>
            <w:tcW w:w="1607" w:type="dxa"/>
            <w:vMerge w:val="restart"/>
            <w:tcBorders>
              <w:top w:val="single" w:sz="4" w:space="0" w:color="auto"/>
              <w:left w:val="single" w:sz="4" w:space="0" w:color="auto"/>
              <w:right w:val="single" w:sz="4" w:space="0" w:color="auto"/>
            </w:tcBorders>
            <w:shd w:val="clear" w:color="auto" w:fill="auto"/>
          </w:tcPr>
          <w:p w:rsidR="008F64A9" w:rsidRPr="008C6682" w:rsidRDefault="008F64A9" w:rsidP="008F64A9">
            <w:pPr>
              <w:rPr>
                <w:sz w:val="18"/>
                <w:szCs w:val="18"/>
              </w:rPr>
            </w:pPr>
            <w:r w:rsidRPr="008C6682">
              <w:rPr>
                <w:sz w:val="18"/>
                <w:szCs w:val="18"/>
              </w:rPr>
              <w:t>11.</w:t>
            </w:r>
          </w:p>
        </w:tc>
        <w:tc>
          <w:tcPr>
            <w:tcW w:w="1607" w:type="dxa"/>
            <w:vMerge w:val="restart"/>
            <w:tcBorders>
              <w:top w:val="single" w:sz="4" w:space="0" w:color="auto"/>
              <w:left w:val="single" w:sz="4" w:space="0" w:color="auto"/>
              <w:right w:val="single" w:sz="4" w:space="0" w:color="auto"/>
            </w:tcBorders>
            <w:shd w:val="clear" w:color="auto" w:fill="auto"/>
          </w:tcPr>
          <w:p w:rsidR="008F64A9" w:rsidRPr="008C6682" w:rsidRDefault="008F64A9" w:rsidP="008F64A9">
            <w:pPr>
              <w:pStyle w:val="Heading2"/>
              <w:spacing w:before="40" w:after="40"/>
              <w:ind w:firstLine="7"/>
              <w:outlineLvl w:val="1"/>
              <w:rPr>
                <w:bCs/>
                <w:sz w:val="18"/>
                <w:szCs w:val="18"/>
              </w:rPr>
            </w:pPr>
            <w:r w:rsidRPr="008C6682">
              <w:rPr>
                <w:bCs/>
                <w:sz w:val="18"/>
                <w:szCs w:val="18"/>
              </w:rPr>
              <w:t>Température du</w:t>
            </w:r>
            <w:r>
              <w:rPr>
                <w:bCs/>
                <w:sz w:val="18"/>
                <w:szCs w:val="18"/>
              </w:rPr>
              <w:t> </w:t>
            </w:r>
            <w:r w:rsidRPr="008C6682">
              <w:rPr>
                <w:bCs/>
                <w:sz w:val="18"/>
                <w:szCs w:val="18"/>
              </w:rPr>
              <w:t xml:space="preserve">liquide de refroidissement </w:t>
            </w:r>
          </w:p>
        </w:tc>
        <w:tc>
          <w:tcPr>
            <w:tcW w:w="1607" w:type="dxa"/>
            <w:vMerge w:val="restart"/>
            <w:tcBorders>
              <w:top w:val="single" w:sz="4" w:space="0" w:color="auto"/>
              <w:left w:val="single" w:sz="4" w:space="0" w:color="auto"/>
              <w:right w:val="single" w:sz="4" w:space="0" w:color="auto"/>
            </w:tcBorders>
            <w:shd w:val="clear" w:color="auto" w:fill="auto"/>
          </w:tcPr>
          <w:p w:rsidR="008F64A9" w:rsidRPr="008C6682" w:rsidRDefault="008F64A9" w:rsidP="008F64A9">
            <w:pPr>
              <w:spacing w:before="40" w:after="40"/>
              <w:rPr>
                <w:sz w:val="18"/>
                <w:szCs w:val="18"/>
              </w:rPr>
            </w:pPr>
            <w:r w:rsidRPr="008C6682">
              <w:rPr>
                <w:noProof/>
                <w:sz w:val="18"/>
                <w:szCs w:val="18"/>
                <w:lang w:eastAsia="fr-CH"/>
              </w:rPr>
              <w:drawing>
                <wp:inline distT="0" distB="0" distL="0" distR="0" wp14:anchorId="180B7D85" wp14:editId="0BDB0CD2">
                  <wp:extent cx="266065" cy="198120"/>
                  <wp:effectExtent l="0" t="0" r="63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065" cy="198120"/>
                          </a:xfrm>
                          <a:prstGeom prst="rect">
                            <a:avLst/>
                          </a:prstGeom>
                          <a:noFill/>
                          <a:ln>
                            <a:noFill/>
                          </a:ln>
                        </pic:spPr>
                      </pic:pic>
                    </a:graphicData>
                  </a:graphic>
                </wp:inline>
              </w:drawing>
            </w:r>
            <w:r>
              <w:rPr>
                <w:sz w:val="18"/>
                <w:szCs w:val="18"/>
              </w:rPr>
              <w:tab/>
            </w:r>
            <w:r w:rsidRPr="008C6682">
              <w:rPr>
                <w:sz w:val="18"/>
                <w:szCs w:val="18"/>
                <w:vertAlign w:val="superscript"/>
              </w:rPr>
              <w:t>5</w:t>
            </w:r>
            <w:r w:rsidRPr="008C6682">
              <w:rPr>
                <w:strike/>
                <w:sz w:val="18"/>
                <w:szCs w:val="18"/>
                <w:vertAlign w:val="superscript"/>
              </w:rPr>
              <w:t>, 18</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r w:rsidRPr="008C6682">
              <w:rPr>
                <w:sz w:val="18"/>
                <w:szCs w:val="18"/>
              </w:rPr>
              <w:t>Témoin</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r w:rsidRPr="008C6682">
              <w:rPr>
                <w:sz w:val="18"/>
                <w:szCs w:val="18"/>
              </w:rPr>
              <w:t xml:space="preserve">Oui </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r w:rsidRPr="008C6682">
              <w:rPr>
                <w:sz w:val="18"/>
                <w:szCs w:val="18"/>
              </w:rPr>
              <w:t>Rouge</w:t>
            </w:r>
          </w:p>
        </w:tc>
      </w:tr>
      <w:tr w:rsidR="008F64A9" w:rsidRPr="00A10C15" w:rsidTr="008F64A9">
        <w:tc>
          <w:tcPr>
            <w:tcW w:w="1607" w:type="dxa"/>
            <w:vMerge/>
            <w:tcBorders>
              <w:left w:val="single" w:sz="4" w:space="0" w:color="auto"/>
              <w:bottom w:val="single" w:sz="4" w:space="0" w:color="auto"/>
              <w:right w:val="single" w:sz="4" w:space="0" w:color="auto"/>
            </w:tcBorders>
            <w:shd w:val="clear" w:color="auto" w:fill="auto"/>
          </w:tcPr>
          <w:p w:rsidR="008F64A9" w:rsidRPr="008C6682" w:rsidRDefault="008F64A9" w:rsidP="008F64A9">
            <w:pPr>
              <w:rPr>
                <w:sz w:val="18"/>
                <w:szCs w:val="18"/>
              </w:rPr>
            </w:pPr>
          </w:p>
        </w:tc>
        <w:tc>
          <w:tcPr>
            <w:tcW w:w="1607" w:type="dxa"/>
            <w:vMerge/>
            <w:tcBorders>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p>
        </w:tc>
        <w:tc>
          <w:tcPr>
            <w:tcW w:w="1607" w:type="dxa"/>
            <w:vMerge/>
            <w:tcBorders>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r w:rsidRPr="008C6682">
              <w:rPr>
                <w:sz w:val="18"/>
                <w:szCs w:val="18"/>
              </w:rPr>
              <w:t>Indicateur</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r w:rsidRPr="008C6682">
              <w:rPr>
                <w:sz w:val="18"/>
                <w:szCs w:val="18"/>
              </w:rPr>
              <w:t>Oui</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p>
        </w:tc>
      </w:tr>
      <w:tr w:rsidR="008F64A9" w:rsidRPr="00A10C15" w:rsidTr="008F64A9">
        <w:tc>
          <w:tcPr>
            <w:tcW w:w="1607" w:type="dxa"/>
            <w:vMerge w:val="restart"/>
            <w:tcBorders>
              <w:top w:val="single" w:sz="4" w:space="0" w:color="auto"/>
              <w:left w:val="single" w:sz="4" w:space="0" w:color="auto"/>
              <w:right w:val="single" w:sz="4" w:space="0" w:color="auto"/>
            </w:tcBorders>
            <w:shd w:val="clear" w:color="auto" w:fill="auto"/>
          </w:tcPr>
          <w:p w:rsidR="008F64A9" w:rsidRPr="008C6682" w:rsidRDefault="008F64A9" w:rsidP="008F64A9">
            <w:pPr>
              <w:rPr>
                <w:sz w:val="18"/>
                <w:szCs w:val="18"/>
              </w:rPr>
            </w:pPr>
            <w:r w:rsidRPr="008C6682">
              <w:rPr>
                <w:sz w:val="18"/>
                <w:szCs w:val="18"/>
              </w:rPr>
              <w:t>12.</w:t>
            </w:r>
          </w:p>
        </w:tc>
        <w:tc>
          <w:tcPr>
            <w:tcW w:w="1607" w:type="dxa"/>
            <w:vMerge w:val="restart"/>
            <w:tcBorders>
              <w:top w:val="single" w:sz="4" w:space="0" w:color="auto"/>
              <w:left w:val="single" w:sz="4" w:space="0" w:color="auto"/>
              <w:right w:val="single" w:sz="4" w:space="0" w:color="auto"/>
            </w:tcBorders>
            <w:shd w:val="clear" w:color="auto" w:fill="auto"/>
          </w:tcPr>
          <w:p w:rsidR="008F64A9" w:rsidRPr="008C6682" w:rsidRDefault="008F64A9" w:rsidP="008F64A9">
            <w:pPr>
              <w:spacing w:before="40" w:after="40"/>
              <w:rPr>
                <w:sz w:val="18"/>
                <w:szCs w:val="18"/>
              </w:rPr>
            </w:pPr>
            <w:r w:rsidRPr="008C6682">
              <w:rPr>
                <w:sz w:val="18"/>
                <w:szCs w:val="18"/>
              </w:rPr>
              <w:t xml:space="preserve">État de charge </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vertAlign w:val="superscript"/>
              </w:rPr>
            </w:pPr>
            <w:r w:rsidRPr="008C6682">
              <w:rPr>
                <w:noProof/>
                <w:sz w:val="18"/>
                <w:szCs w:val="18"/>
                <w:lang w:eastAsia="fr-CH"/>
              </w:rPr>
              <w:drawing>
                <wp:inline distT="0" distB="0" distL="0" distR="0" wp14:anchorId="4AB45397" wp14:editId="02F798A2">
                  <wp:extent cx="361950" cy="238760"/>
                  <wp:effectExtent l="0" t="0" r="0" b="889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238760"/>
                          </a:xfrm>
                          <a:prstGeom prst="rect">
                            <a:avLst/>
                          </a:prstGeom>
                          <a:noFill/>
                          <a:ln>
                            <a:noFill/>
                          </a:ln>
                        </pic:spPr>
                      </pic:pic>
                    </a:graphicData>
                  </a:graphic>
                </wp:inline>
              </w:drawing>
            </w:r>
            <w:r w:rsidRPr="008C6682">
              <w:rPr>
                <w:sz w:val="18"/>
                <w:szCs w:val="18"/>
              </w:rPr>
              <w:t xml:space="preserve"> </w:t>
            </w:r>
            <w:r w:rsidRPr="008C6682">
              <w:rPr>
                <w:strike/>
                <w:sz w:val="18"/>
                <w:szCs w:val="18"/>
              </w:rPr>
              <w:t xml:space="preserve"> </w:t>
            </w:r>
            <w:r w:rsidRPr="008C6682">
              <w:rPr>
                <w:strike/>
                <w:sz w:val="18"/>
                <w:szCs w:val="18"/>
                <w:vertAlign w:val="superscript"/>
              </w:rPr>
              <w:t>18</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r w:rsidRPr="008C6682">
              <w:rPr>
                <w:sz w:val="18"/>
                <w:szCs w:val="18"/>
              </w:rPr>
              <w:t>Témoin</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r w:rsidRPr="008C6682">
              <w:rPr>
                <w:sz w:val="18"/>
                <w:szCs w:val="18"/>
              </w:rPr>
              <w:t xml:space="preserve">Oui </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r w:rsidRPr="008C6682">
              <w:rPr>
                <w:sz w:val="18"/>
                <w:szCs w:val="18"/>
              </w:rPr>
              <w:t>Rouge</w:t>
            </w:r>
          </w:p>
        </w:tc>
      </w:tr>
      <w:tr w:rsidR="008F64A9" w:rsidRPr="00A10C15" w:rsidTr="008F64A9">
        <w:tc>
          <w:tcPr>
            <w:tcW w:w="1607" w:type="dxa"/>
            <w:vMerge/>
            <w:tcBorders>
              <w:left w:val="single" w:sz="4" w:space="0" w:color="auto"/>
              <w:bottom w:val="single" w:sz="4" w:space="0" w:color="auto"/>
              <w:right w:val="single" w:sz="4" w:space="0" w:color="auto"/>
            </w:tcBorders>
            <w:shd w:val="clear" w:color="auto" w:fill="auto"/>
          </w:tcPr>
          <w:p w:rsidR="008F64A9" w:rsidRPr="008C6682" w:rsidRDefault="008F64A9" w:rsidP="008F64A9">
            <w:pPr>
              <w:rPr>
                <w:sz w:val="18"/>
                <w:szCs w:val="18"/>
              </w:rPr>
            </w:pPr>
          </w:p>
        </w:tc>
        <w:tc>
          <w:tcPr>
            <w:tcW w:w="1607" w:type="dxa"/>
            <w:vMerge/>
            <w:tcBorders>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r w:rsidRPr="008C6682">
              <w:rPr>
                <w:sz w:val="18"/>
                <w:szCs w:val="18"/>
              </w:rPr>
              <w:t>Indicateur</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r w:rsidRPr="008C6682">
              <w:rPr>
                <w:sz w:val="18"/>
                <w:szCs w:val="18"/>
              </w:rPr>
              <w:t>Oui</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8F64A9" w:rsidRPr="008C6682" w:rsidRDefault="008F64A9" w:rsidP="008F64A9">
            <w:pPr>
              <w:spacing w:before="40" w:after="40"/>
              <w:rPr>
                <w:sz w:val="18"/>
                <w:szCs w:val="18"/>
              </w:rPr>
            </w:pPr>
          </w:p>
        </w:tc>
      </w:tr>
      <w:tr w:rsidR="00F94F3C" w:rsidRPr="00A10C15" w:rsidTr="00A10C15">
        <w:tc>
          <w:tcPr>
            <w:tcW w:w="1607" w:type="dxa"/>
            <w:tcBorders>
              <w:top w:val="single" w:sz="4" w:space="0" w:color="auto"/>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r w:rsidRPr="008C6682">
              <w:rPr>
                <w:rFonts w:eastAsia="MS Mincho"/>
                <w:sz w:val="18"/>
                <w:szCs w:val="18"/>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r w:rsidRPr="008C6682">
              <w:rPr>
                <w:rFonts w:eastAsia="MS Mincho"/>
                <w:sz w:val="18"/>
                <w:szCs w:val="18"/>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r w:rsidRPr="008C6682">
              <w:rPr>
                <w:rFonts w:eastAsia="MS Mincho"/>
                <w:sz w:val="18"/>
                <w:szCs w:val="18"/>
              </w:rPr>
              <w:t>…</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r w:rsidRPr="008C6682">
              <w:rPr>
                <w:rFonts w:eastAsia="MS Mincho"/>
                <w:sz w:val="18"/>
                <w:szCs w:val="18"/>
              </w:rPr>
              <w:t>…</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r w:rsidRPr="008C6682">
              <w:rPr>
                <w:rFonts w:eastAsia="MS Mincho"/>
                <w:sz w:val="18"/>
                <w:szCs w:val="18"/>
              </w:rPr>
              <w:t>…</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r w:rsidRPr="008C6682">
              <w:rPr>
                <w:rFonts w:eastAsia="MS Mincho"/>
                <w:sz w:val="18"/>
                <w:szCs w:val="18"/>
              </w:rPr>
              <w:t>…</w:t>
            </w:r>
          </w:p>
        </w:tc>
      </w:tr>
      <w:tr w:rsidR="00F94F3C" w:rsidRPr="00A10C15" w:rsidTr="00712A9D">
        <w:tc>
          <w:tcPr>
            <w:tcW w:w="1607" w:type="dxa"/>
            <w:vMerge w:val="restart"/>
            <w:tcBorders>
              <w:top w:val="single" w:sz="4" w:space="0" w:color="auto"/>
              <w:left w:val="single" w:sz="4" w:space="0" w:color="auto"/>
              <w:right w:val="single" w:sz="4" w:space="0" w:color="auto"/>
            </w:tcBorders>
            <w:shd w:val="clear" w:color="auto" w:fill="auto"/>
          </w:tcPr>
          <w:p w:rsidR="00F94F3C" w:rsidRPr="008C6682" w:rsidRDefault="00F94F3C" w:rsidP="00F94F3C">
            <w:pPr>
              <w:rPr>
                <w:rFonts w:eastAsia="MS Mincho"/>
                <w:sz w:val="18"/>
                <w:szCs w:val="18"/>
              </w:rPr>
            </w:pPr>
            <w:r w:rsidRPr="008C6682">
              <w:rPr>
                <w:rFonts w:eastAsia="MS Mincho"/>
                <w:sz w:val="18"/>
                <w:szCs w:val="18"/>
              </w:rPr>
              <w:t>19.</w:t>
            </w:r>
          </w:p>
        </w:tc>
        <w:tc>
          <w:tcPr>
            <w:tcW w:w="1607" w:type="dxa"/>
            <w:vMerge w:val="restart"/>
            <w:tcBorders>
              <w:top w:val="single" w:sz="4" w:space="0" w:color="auto"/>
              <w:left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lang w:val="fr-FR"/>
              </w:rPr>
            </w:pPr>
            <w:r w:rsidRPr="008C6682">
              <w:rPr>
                <w:rFonts w:eastAsia="MS Mincho"/>
                <w:sz w:val="18"/>
                <w:szCs w:val="18"/>
                <w:lang w:val="fr-FR"/>
              </w:rPr>
              <w:t>Feux de position, feux de position latéraux et/ou feux d’encombrement</w:t>
            </w:r>
          </w:p>
        </w:tc>
        <w:tc>
          <w:tcPr>
            <w:tcW w:w="1607" w:type="dxa"/>
            <w:vMerge w:val="restart"/>
            <w:tcBorders>
              <w:top w:val="single" w:sz="4" w:space="0" w:color="auto"/>
              <w:left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r w:rsidRPr="008C6682">
              <w:rPr>
                <w:rFonts w:eastAsia="MS Mincho"/>
                <w:noProof/>
                <w:sz w:val="18"/>
                <w:szCs w:val="18"/>
                <w:lang w:eastAsia="fr-CH"/>
              </w:rPr>
              <w:drawing>
                <wp:inline distT="0" distB="0" distL="0" distR="0" wp14:anchorId="7C180032" wp14:editId="3FCC65DD">
                  <wp:extent cx="422275" cy="249555"/>
                  <wp:effectExtent l="0" t="0" r="0" b="0"/>
                  <wp:docPr id="2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275" cy="249555"/>
                          </a:xfrm>
                          <a:prstGeom prst="rect">
                            <a:avLst/>
                          </a:prstGeom>
                          <a:noFill/>
                          <a:ln>
                            <a:noFill/>
                          </a:ln>
                        </pic:spPr>
                      </pic:pic>
                    </a:graphicData>
                  </a:graphic>
                </wp:inline>
              </w:drawing>
            </w:r>
            <w:r w:rsidRPr="008C6682">
              <w:rPr>
                <w:rFonts w:eastAsia="MS Mincho"/>
                <w:sz w:val="18"/>
                <w:szCs w:val="18"/>
                <w:vertAlign w:val="superscript"/>
              </w:rPr>
              <w:t>1, 6</w:t>
            </w:r>
            <w:r w:rsidRPr="008C6682">
              <w:rPr>
                <w:rFonts w:eastAsia="MS Mincho"/>
                <w:strike/>
                <w:sz w:val="18"/>
                <w:szCs w:val="18"/>
                <w:vertAlign w:val="superscript"/>
              </w:rPr>
              <w:t>, 18</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r w:rsidRPr="008C6682">
              <w:rPr>
                <w:rFonts w:eastAsia="MS Mincho"/>
                <w:sz w:val="18"/>
                <w:szCs w:val="18"/>
              </w:rPr>
              <w:t>Commande</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r w:rsidRPr="008C6682">
              <w:rPr>
                <w:rFonts w:eastAsia="MS Mincho"/>
                <w:sz w:val="18"/>
                <w:szCs w:val="18"/>
              </w:rPr>
              <w:t>Non</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p>
        </w:tc>
      </w:tr>
      <w:tr w:rsidR="00F94F3C" w:rsidRPr="00A10C15" w:rsidTr="00E4506B">
        <w:tc>
          <w:tcPr>
            <w:tcW w:w="1607" w:type="dxa"/>
            <w:vMerge/>
            <w:tcBorders>
              <w:left w:val="single" w:sz="4" w:space="0" w:color="auto"/>
              <w:bottom w:val="single" w:sz="4" w:space="0" w:color="auto"/>
              <w:right w:val="single" w:sz="4" w:space="0" w:color="auto"/>
            </w:tcBorders>
            <w:shd w:val="clear" w:color="auto" w:fill="auto"/>
          </w:tcPr>
          <w:p w:rsidR="00F94F3C" w:rsidRPr="008C6682" w:rsidRDefault="00F94F3C" w:rsidP="00F94F3C">
            <w:pPr>
              <w:rPr>
                <w:rFonts w:eastAsia="MS Mincho"/>
                <w:sz w:val="18"/>
                <w:szCs w:val="18"/>
              </w:rPr>
            </w:pPr>
          </w:p>
        </w:tc>
        <w:tc>
          <w:tcPr>
            <w:tcW w:w="1607" w:type="dxa"/>
            <w:vMerge/>
            <w:tcBorders>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p>
        </w:tc>
        <w:tc>
          <w:tcPr>
            <w:tcW w:w="1607" w:type="dxa"/>
            <w:vMerge/>
            <w:tcBorders>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r w:rsidRPr="008C6682">
              <w:rPr>
                <w:rFonts w:eastAsia="MS Mincho"/>
                <w:sz w:val="18"/>
                <w:szCs w:val="18"/>
              </w:rPr>
              <w:t xml:space="preserve">Témoin </w:t>
            </w:r>
            <w:r w:rsidRPr="008C6682">
              <w:rPr>
                <w:rFonts w:eastAsia="MS Mincho"/>
                <w:sz w:val="18"/>
                <w:szCs w:val="18"/>
                <w:vertAlign w:val="superscript"/>
              </w:rPr>
              <w:t>12</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r w:rsidRPr="008C6682">
              <w:rPr>
                <w:rFonts w:eastAsia="MS Mincho"/>
                <w:sz w:val="18"/>
                <w:szCs w:val="18"/>
              </w:rPr>
              <w:t xml:space="preserve">Oui </w:t>
            </w:r>
            <w:r w:rsidRPr="008C6682">
              <w:rPr>
                <w:rFonts w:eastAsia="MS Mincho"/>
                <w:sz w:val="18"/>
                <w:szCs w:val="18"/>
                <w:vertAlign w:val="superscript"/>
              </w:rPr>
              <w:t>6</w:t>
            </w:r>
            <w:r w:rsidRPr="008C6682">
              <w:rPr>
                <w:rFonts w:eastAsia="MS Mincho"/>
                <w:sz w:val="18"/>
                <w:szCs w:val="18"/>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F94F3C" w:rsidRPr="008C6682" w:rsidRDefault="00F94F3C" w:rsidP="00F94F3C">
            <w:pPr>
              <w:spacing w:before="40" w:after="40"/>
              <w:rPr>
                <w:rFonts w:eastAsia="MS Mincho"/>
                <w:sz w:val="18"/>
                <w:szCs w:val="18"/>
              </w:rPr>
            </w:pPr>
            <w:r w:rsidRPr="008C6682">
              <w:rPr>
                <w:rFonts w:eastAsia="MS Mincho"/>
                <w:sz w:val="18"/>
                <w:szCs w:val="18"/>
              </w:rPr>
              <w:t>Vert</w:t>
            </w:r>
          </w:p>
        </w:tc>
      </w:tr>
      <w:tr w:rsidR="00E4506B" w:rsidRPr="00A10C15" w:rsidTr="00E4506B">
        <w:tc>
          <w:tcPr>
            <w:tcW w:w="1607" w:type="dxa"/>
            <w:tcBorders>
              <w:top w:val="single" w:sz="4" w:space="0" w:color="auto"/>
              <w:left w:val="single" w:sz="4" w:space="0" w:color="auto"/>
              <w:bottom w:val="single" w:sz="12" w:space="0" w:color="auto"/>
              <w:right w:val="single" w:sz="4" w:space="0" w:color="auto"/>
            </w:tcBorders>
            <w:shd w:val="clear" w:color="auto" w:fill="auto"/>
          </w:tcPr>
          <w:p w:rsidR="00E4506B" w:rsidRPr="008C6682" w:rsidRDefault="00E4506B" w:rsidP="00E4506B">
            <w:pPr>
              <w:spacing w:before="40" w:after="40"/>
              <w:rPr>
                <w:rFonts w:eastAsia="MS Mincho"/>
                <w:sz w:val="18"/>
                <w:szCs w:val="18"/>
              </w:rPr>
            </w:pPr>
            <w:r w:rsidRPr="008C6682">
              <w:rPr>
                <w:rFonts w:eastAsia="MS Mincho"/>
                <w:sz w:val="18"/>
                <w:szCs w:val="18"/>
              </w:rPr>
              <w:t>…</w:t>
            </w:r>
          </w:p>
        </w:tc>
        <w:tc>
          <w:tcPr>
            <w:tcW w:w="1607" w:type="dxa"/>
            <w:tcBorders>
              <w:top w:val="single" w:sz="4" w:space="0" w:color="auto"/>
              <w:left w:val="single" w:sz="4" w:space="0" w:color="auto"/>
              <w:bottom w:val="single" w:sz="12" w:space="0" w:color="auto"/>
              <w:right w:val="single" w:sz="4" w:space="0" w:color="auto"/>
            </w:tcBorders>
            <w:shd w:val="clear" w:color="auto" w:fill="auto"/>
          </w:tcPr>
          <w:p w:rsidR="00E4506B" w:rsidRPr="008C6682" w:rsidRDefault="00E4506B" w:rsidP="00E4506B">
            <w:pPr>
              <w:spacing w:before="40" w:after="40"/>
              <w:rPr>
                <w:rFonts w:eastAsia="MS Mincho"/>
                <w:sz w:val="18"/>
                <w:szCs w:val="18"/>
              </w:rPr>
            </w:pPr>
            <w:r w:rsidRPr="008C6682">
              <w:rPr>
                <w:rFonts w:eastAsia="MS Mincho"/>
                <w:sz w:val="18"/>
                <w:szCs w:val="18"/>
              </w:rPr>
              <w:t>…</w:t>
            </w:r>
          </w:p>
        </w:tc>
        <w:tc>
          <w:tcPr>
            <w:tcW w:w="1607" w:type="dxa"/>
            <w:tcBorders>
              <w:top w:val="single" w:sz="4" w:space="0" w:color="auto"/>
              <w:left w:val="single" w:sz="4" w:space="0" w:color="auto"/>
              <w:bottom w:val="single" w:sz="12" w:space="0" w:color="auto"/>
              <w:right w:val="single" w:sz="4" w:space="0" w:color="auto"/>
            </w:tcBorders>
            <w:shd w:val="clear" w:color="auto" w:fill="auto"/>
          </w:tcPr>
          <w:p w:rsidR="00E4506B" w:rsidRPr="008C6682" w:rsidRDefault="00E4506B" w:rsidP="00E4506B">
            <w:pPr>
              <w:spacing w:before="40" w:after="40"/>
              <w:rPr>
                <w:rFonts w:eastAsia="MS Mincho"/>
                <w:sz w:val="18"/>
                <w:szCs w:val="18"/>
              </w:rPr>
            </w:pPr>
            <w:r w:rsidRPr="008C6682">
              <w:rPr>
                <w:rFonts w:eastAsia="MS Mincho"/>
                <w:sz w:val="18"/>
                <w:szCs w:val="18"/>
              </w:rPr>
              <w:t>…</w:t>
            </w:r>
          </w:p>
        </w:tc>
        <w:tc>
          <w:tcPr>
            <w:tcW w:w="1606" w:type="dxa"/>
            <w:tcBorders>
              <w:top w:val="single" w:sz="4" w:space="0" w:color="auto"/>
              <w:left w:val="single" w:sz="4" w:space="0" w:color="auto"/>
              <w:bottom w:val="single" w:sz="12" w:space="0" w:color="auto"/>
              <w:right w:val="single" w:sz="4" w:space="0" w:color="auto"/>
            </w:tcBorders>
            <w:shd w:val="clear" w:color="auto" w:fill="auto"/>
          </w:tcPr>
          <w:p w:rsidR="00E4506B" w:rsidRPr="008C6682" w:rsidRDefault="00E4506B" w:rsidP="00E4506B">
            <w:pPr>
              <w:spacing w:before="40" w:after="40"/>
              <w:rPr>
                <w:rFonts w:eastAsia="MS Mincho"/>
                <w:sz w:val="18"/>
                <w:szCs w:val="18"/>
              </w:rPr>
            </w:pPr>
            <w:r w:rsidRPr="008C6682">
              <w:rPr>
                <w:rFonts w:eastAsia="MS Mincho"/>
                <w:sz w:val="18"/>
                <w:szCs w:val="18"/>
              </w:rPr>
              <w:t>…</w:t>
            </w:r>
          </w:p>
        </w:tc>
        <w:tc>
          <w:tcPr>
            <w:tcW w:w="1606" w:type="dxa"/>
            <w:tcBorders>
              <w:top w:val="single" w:sz="4" w:space="0" w:color="auto"/>
              <w:left w:val="single" w:sz="4" w:space="0" w:color="auto"/>
              <w:bottom w:val="single" w:sz="12" w:space="0" w:color="auto"/>
              <w:right w:val="single" w:sz="4" w:space="0" w:color="auto"/>
            </w:tcBorders>
            <w:shd w:val="clear" w:color="auto" w:fill="auto"/>
          </w:tcPr>
          <w:p w:rsidR="00E4506B" w:rsidRPr="008C6682" w:rsidRDefault="00E4506B" w:rsidP="00E4506B">
            <w:pPr>
              <w:spacing w:before="40" w:after="40"/>
              <w:rPr>
                <w:rFonts w:eastAsia="MS Mincho"/>
                <w:sz w:val="18"/>
                <w:szCs w:val="18"/>
              </w:rPr>
            </w:pPr>
            <w:r w:rsidRPr="008C6682">
              <w:rPr>
                <w:rFonts w:eastAsia="MS Mincho"/>
                <w:sz w:val="18"/>
                <w:szCs w:val="18"/>
              </w:rPr>
              <w:t>…</w:t>
            </w:r>
          </w:p>
        </w:tc>
        <w:tc>
          <w:tcPr>
            <w:tcW w:w="1606" w:type="dxa"/>
            <w:tcBorders>
              <w:top w:val="single" w:sz="4" w:space="0" w:color="auto"/>
              <w:left w:val="single" w:sz="4" w:space="0" w:color="auto"/>
              <w:bottom w:val="single" w:sz="12" w:space="0" w:color="auto"/>
              <w:right w:val="single" w:sz="4" w:space="0" w:color="auto"/>
            </w:tcBorders>
            <w:shd w:val="clear" w:color="auto" w:fill="auto"/>
          </w:tcPr>
          <w:p w:rsidR="00E4506B" w:rsidRPr="008C6682" w:rsidRDefault="00E4506B" w:rsidP="00E4506B">
            <w:pPr>
              <w:spacing w:before="40" w:after="40"/>
              <w:rPr>
                <w:rFonts w:eastAsia="MS Mincho"/>
                <w:sz w:val="18"/>
                <w:szCs w:val="18"/>
              </w:rPr>
            </w:pPr>
            <w:r w:rsidRPr="008C6682">
              <w:rPr>
                <w:rFonts w:eastAsia="MS Mincho"/>
                <w:sz w:val="18"/>
                <w:szCs w:val="18"/>
              </w:rPr>
              <w:t>…</w:t>
            </w:r>
          </w:p>
        </w:tc>
      </w:tr>
    </w:tbl>
    <w:p w:rsidR="002D00D0" w:rsidRPr="002D00D0" w:rsidRDefault="002D00D0" w:rsidP="002D00D0">
      <w:pPr>
        <w:pStyle w:val="SingleTxtG"/>
        <w:spacing w:before="120" w:after="0" w:line="220" w:lineRule="atLeast"/>
        <w:ind w:left="0" w:right="0" w:firstLine="170"/>
        <w:rPr>
          <w:sz w:val="18"/>
          <w:szCs w:val="18"/>
        </w:rPr>
      </w:pPr>
      <w:r w:rsidRPr="002D00D0">
        <w:rPr>
          <w:sz w:val="18"/>
          <w:szCs w:val="18"/>
          <w:vertAlign w:val="superscript"/>
        </w:rPr>
        <w:t>1</w:t>
      </w:r>
      <w:r>
        <w:rPr>
          <w:sz w:val="18"/>
          <w:szCs w:val="18"/>
        </w:rPr>
        <w:t xml:space="preserve">  </w:t>
      </w:r>
      <w:r w:rsidRPr="002D00D0">
        <w:rPr>
          <w:sz w:val="18"/>
          <w:szCs w:val="18"/>
        </w:rPr>
        <w:t>L’entourage des symboles peut être d’un seul tenant.</w:t>
      </w:r>
    </w:p>
    <w:p w:rsidR="002D00D0" w:rsidRPr="002D00D0" w:rsidRDefault="002D00D0" w:rsidP="00C32357">
      <w:pPr>
        <w:pStyle w:val="SingleTxtG"/>
        <w:spacing w:after="0" w:line="220" w:lineRule="atLeast"/>
        <w:ind w:left="0" w:right="0" w:firstLine="170"/>
        <w:rPr>
          <w:sz w:val="18"/>
          <w:szCs w:val="18"/>
        </w:rPr>
      </w:pPr>
      <w:r w:rsidRPr="002D00D0">
        <w:rPr>
          <w:sz w:val="18"/>
          <w:szCs w:val="18"/>
        </w:rPr>
        <w:t>…</w:t>
      </w:r>
    </w:p>
    <w:p w:rsidR="002D00D0" w:rsidRPr="002D00D0" w:rsidRDefault="002D00D0" w:rsidP="002C68B7">
      <w:pPr>
        <w:pStyle w:val="SingleTxtG"/>
        <w:spacing w:after="0" w:line="220" w:lineRule="atLeast"/>
        <w:ind w:left="0" w:right="0" w:firstLine="170"/>
        <w:rPr>
          <w:sz w:val="18"/>
          <w:szCs w:val="18"/>
        </w:rPr>
      </w:pPr>
      <w:r w:rsidRPr="002D00D0">
        <w:rPr>
          <w:sz w:val="18"/>
          <w:szCs w:val="18"/>
          <w:vertAlign w:val="superscript"/>
        </w:rPr>
        <w:t>6</w:t>
      </w:r>
      <w:r>
        <w:rPr>
          <w:sz w:val="18"/>
          <w:szCs w:val="18"/>
        </w:rPr>
        <w:t xml:space="preserve">  </w:t>
      </w:r>
      <w:r w:rsidRPr="002D00D0">
        <w:rPr>
          <w:sz w:val="18"/>
          <w:szCs w:val="18"/>
        </w:rPr>
        <w:t>Moyens d’identification distincts inutiles si cette fonction est combinée avec l’interrupteur général d’éclairage.</w:t>
      </w:r>
    </w:p>
    <w:p w:rsidR="002D00D0" w:rsidRPr="002D00D0" w:rsidRDefault="002D00D0" w:rsidP="002C68B7">
      <w:pPr>
        <w:pStyle w:val="SingleTxtG"/>
        <w:spacing w:after="0" w:line="220" w:lineRule="atLeast"/>
        <w:ind w:left="0" w:right="0" w:firstLine="170"/>
        <w:rPr>
          <w:sz w:val="18"/>
          <w:szCs w:val="18"/>
        </w:rPr>
      </w:pPr>
      <w:r w:rsidRPr="002D00D0">
        <w:rPr>
          <w:sz w:val="18"/>
          <w:szCs w:val="18"/>
        </w:rPr>
        <w:t>…</w:t>
      </w:r>
    </w:p>
    <w:p w:rsidR="002D00D0" w:rsidRPr="002D00D0" w:rsidRDefault="002D00D0" w:rsidP="002C68B7">
      <w:pPr>
        <w:pStyle w:val="SingleTxtG"/>
        <w:spacing w:after="0" w:line="220" w:lineRule="atLeast"/>
        <w:ind w:left="0" w:right="0" w:firstLine="170"/>
        <w:rPr>
          <w:sz w:val="18"/>
          <w:szCs w:val="18"/>
        </w:rPr>
      </w:pPr>
      <w:r w:rsidRPr="002D00D0">
        <w:rPr>
          <w:sz w:val="18"/>
          <w:szCs w:val="18"/>
          <w:vertAlign w:val="superscript"/>
        </w:rPr>
        <w:t>12</w:t>
      </w:r>
      <w:r>
        <w:rPr>
          <w:sz w:val="18"/>
          <w:szCs w:val="18"/>
        </w:rPr>
        <w:t xml:space="preserve">  </w:t>
      </w:r>
      <w:r w:rsidRPr="002D00D0">
        <w:rPr>
          <w:sz w:val="18"/>
          <w:szCs w:val="18"/>
        </w:rPr>
        <w:t>Non exigé lorsque le tableau de bord s’éclaire automatiquement dès que l’interrupteur général d’éclairage est actionné.</w:t>
      </w:r>
    </w:p>
    <w:p w:rsidR="002D00D0" w:rsidRPr="002D00D0" w:rsidRDefault="002D00D0" w:rsidP="00C32357">
      <w:pPr>
        <w:pStyle w:val="SingleTxtG"/>
        <w:spacing w:after="0" w:line="220" w:lineRule="atLeast"/>
        <w:ind w:left="0" w:right="0" w:firstLine="170"/>
        <w:rPr>
          <w:sz w:val="18"/>
          <w:szCs w:val="18"/>
        </w:rPr>
      </w:pPr>
      <w:r w:rsidRPr="002D00D0">
        <w:rPr>
          <w:sz w:val="18"/>
          <w:szCs w:val="18"/>
        </w:rPr>
        <w:t>…</w:t>
      </w:r>
    </w:p>
    <w:p w:rsidR="002D00D0" w:rsidRDefault="002D00D0" w:rsidP="002C68B7">
      <w:pPr>
        <w:pStyle w:val="SingleTxtG"/>
        <w:spacing w:after="0" w:line="220" w:lineRule="atLeast"/>
        <w:ind w:left="0" w:right="0" w:firstLine="170"/>
        <w:rPr>
          <w:sz w:val="18"/>
          <w:szCs w:val="18"/>
        </w:rPr>
      </w:pPr>
      <w:r w:rsidRPr="002D00D0">
        <w:rPr>
          <w:sz w:val="18"/>
          <w:szCs w:val="18"/>
          <w:vertAlign w:val="superscript"/>
        </w:rPr>
        <w:t>18</w:t>
      </w:r>
      <w:r w:rsidRPr="002D00D0">
        <w:rPr>
          <w:sz w:val="18"/>
          <w:szCs w:val="18"/>
        </w:rPr>
        <w:tab/>
      </w:r>
      <w:r w:rsidRPr="002D00D0">
        <w:rPr>
          <w:b/>
          <w:sz w:val="18"/>
          <w:szCs w:val="18"/>
        </w:rPr>
        <w:t>(Réservé)</w:t>
      </w:r>
      <w:r w:rsidRPr="002D00D0">
        <w:rPr>
          <w:sz w:val="18"/>
          <w:szCs w:val="18"/>
        </w:rPr>
        <w:t xml:space="preserve"> </w:t>
      </w:r>
      <w:r w:rsidRPr="002D00D0">
        <w:rPr>
          <w:strike/>
          <w:sz w:val="18"/>
          <w:szCs w:val="18"/>
        </w:rPr>
        <w:t xml:space="preserve">Les symboles peuvent être d’une autre couleur pour indiquer un changement de </w:t>
      </w:r>
      <w:r>
        <w:rPr>
          <w:strike/>
          <w:sz w:val="18"/>
          <w:szCs w:val="18"/>
        </w:rPr>
        <w:t>signification, conformément au </w:t>
      </w:r>
      <w:r w:rsidRPr="002D00D0">
        <w:rPr>
          <w:strike/>
          <w:sz w:val="18"/>
          <w:szCs w:val="18"/>
        </w:rPr>
        <w:t>code figurant au paragraphe 5 de la norme ISO 2575-2004.</w:t>
      </w:r>
      <w:r w:rsidRPr="002D00D0">
        <w:rPr>
          <w:sz w:val="18"/>
          <w:szCs w:val="18"/>
        </w:rPr>
        <w:t> ».</w:t>
      </w:r>
    </w:p>
    <w:p w:rsidR="00944DEC" w:rsidRPr="00944DEC" w:rsidRDefault="002D00D0" w:rsidP="00481A1F">
      <w:pPr>
        <w:pStyle w:val="HChG"/>
      </w:pPr>
      <w:r>
        <w:br w:type="page"/>
      </w:r>
      <w:r w:rsidR="00944DEC">
        <w:lastRenderedPageBreak/>
        <w:tab/>
      </w:r>
      <w:r w:rsidR="00944DEC" w:rsidRPr="00944DEC">
        <w:t>II.</w:t>
      </w:r>
      <w:r w:rsidR="00944DEC" w:rsidRPr="00944DEC">
        <w:tab/>
        <w:t>Justification</w:t>
      </w:r>
    </w:p>
    <w:p w:rsidR="00944DEC" w:rsidRPr="00944DEC" w:rsidRDefault="00944DEC" w:rsidP="00944DEC">
      <w:pPr>
        <w:pStyle w:val="SingleTxtG"/>
      </w:pPr>
      <w:r w:rsidRPr="00944DEC">
        <w:t>1.</w:t>
      </w:r>
      <w:r w:rsidRPr="00944DEC">
        <w:tab/>
        <w:t xml:space="preserve">La souplesse introduite en ce qui concerne les couleurs, conformément à la norme ISO, vise à simplifier l’application du Règlement </w:t>
      </w:r>
      <w:r w:rsidRPr="00944DEC">
        <w:rPr>
          <w:rFonts w:eastAsia="MS Mincho"/>
          <w:szCs w:val="22"/>
        </w:rPr>
        <w:t>n</w:t>
      </w:r>
      <w:r w:rsidRPr="00944DEC">
        <w:rPr>
          <w:rFonts w:eastAsia="MS Mincho"/>
          <w:szCs w:val="22"/>
          <w:vertAlign w:val="superscript"/>
        </w:rPr>
        <w:t>o</w:t>
      </w:r>
      <w:r>
        <w:rPr>
          <w:rFonts w:eastAsia="MS Mincho"/>
          <w:szCs w:val="22"/>
        </w:rPr>
        <w:t> </w:t>
      </w:r>
      <w:r w:rsidRPr="00944DEC">
        <w:t>121 en cas d’adoption de changements de couleurs dans d’autres Règlements.</w:t>
      </w:r>
    </w:p>
    <w:p w:rsidR="00944DEC" w:rsidRPr="00944DEC" w:rsidRDefault="00944DEC" w:rsidP="00944DEC">
      <w:pPr>
        <w:pStyle w:val="SingleTxtG"/>
      </w:pPr>
      <w:r w:rsidRPr="00944DEC">
        <w:t>2.</w:t>
      </w:r>
      <w:r w:rsidRPr="00944DEC">
        <w:tab/>
        <w:t>Les amendements qu’il est proposé d’apporter ne modifient aucune des prescriptions techniques existantes dans le Règlement n</w:t>
      </w:r>
      <w:r w:rsidRPr="00944DEC">
        <w:rPr>
          <w:vertAlign w:val="superscript"/>
        </w:rPr>
        <w:t>o</w:t>
      </w:r>
      <w:r w:rsidRPr="00944DEC">
        <w:t> 121. C’est pourquoi la présente proposition ne comprend pas de dispositions transitoires.</w:t>
      </w:r>
    </w:p>
    <w:p w:rsidR="008C6682" w:rsidRDefault="00944DEC" w:rsidP="00944DEC">
      <w:pPr>
        <w:pStyle w:val="SingleTxtG"/>
      </w:pPr>
      <w:r w:rsidRPr="00944DEC">
        <w:t>3.</w:t>
      </w:r>
      <w:r w:rsidRPr="00944DEC">
        <w:tab/>
        <w:t>Pour information, le paragraphe 5.1 de la norme</w:t>
      </w:r>
      <w:r>
        <w:t xml:space="preserve"> ISO </w:t>
      </w:r>
      <w:r w:rsidRPr="00944DEC">
        <w:t>2575 dispose qu’</w:t>
      </w:r>
      <w:r w:rsidRPr="00944DEC">
        <w:rPr>
          <w:i/>
        </w:rPr>
        <w:t>un symbole particulier peut être affiché dans plus d’une des couleurs spécifiées au 5.1 afin de signifier un changement dans les conditions de fonctionnement</w:t>
      </w:r>
      <w:r w:rsidRPr="00944DEC">
        <w:t>.</w:t>
      </w:r>
    </w:p>
    <w:p w:rsidR="00944DEC" w:rsidRPr="00944DEC" w:rsidRDefault="00944DEC" w:rsidP="00944DEC">
      <w:pPr>
        <w:pStyle w:val="SingleTxtG"/>
        <w:spacing w:before="240" w:after="0"/>
        <w:jc w:val="center"/>
        <w:rPr>
          <w:u w:val="single"/>
        </w:rPr>
      </w:pPr>
      <w:r>
        <w:rPr>
          <w:u w:val="single"/>
        </w:rPr>
        <w:tab/>
      </w:r>
      <w:r>
        <w:rPr>
          <w:u w:val="single"/>
        </w:rPr>
        <w:tab/>
      </w:r>
      <w:r>
        <w:rPr>
          <w:u w:val="single"/>
        </w:rPr>
        <w:tab/>
      </w:r>
    </w:p>
    <w:sectPr w:rsidR="00944DEC" w:rsidRPr="00944DEC" w:rsidSect="00232ACD">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F0" w:rsidRDefault="008A73F0" w:rsidP="00F95C08">
      <w:pPr>
        <w:spacing w:line="240" w:lineRule="auto"/>
      </w:pPr>
    </w:p>
  </w:endnote>
  <w:endnote w:type="continuationSeparator" w:id="0">
    <w:p w:rsidR="008A73F0" w:rsidRPr="00AC3823" w:rsidRDefault="008A73F0" w:rsidP="00AC3823">
      <w:pPr>
        <w:pStyle w:val="Footer"/>
      </w:pPr>
    </w:p>
  </w:endnote>
  <w:endnote w:type="continuationNotice" w:id="1">
    <w:p w:rsidR="008A73F0" w:rsidRDefault="008A73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CD" w:rsidRPr="00232ACD" w:rsidRDefault="00232ACD" w:rsidP="00232ACD">
    <w:pPr>
      <w:pStyle w:val="Footer"/>
      <w:tabs>
        <w:tab w:val="right" w:pos="9638"/>
      </w:tabs>
    </w:pPr>
    <w:r w:rsidRPr="00232ACD">
      <w:rPr>
        <w:b/>
        <w:sz w:val="18"/>
      </w:rPr>
      <w:fldChar w:fldCharType="begin"/>
    </w:r>
    <w:r w:rsidRPr="00232ACD">
      <w:rPr>
        <w:b/>
        <w:sz w:val="18"/>
      </w:rPr>
      <w:instrText xml:space="preserve"> PAGE  \* MERGEFORMAT </w:instrText>
    </w:r>
    <w:r w:rsidRPr="00232ACD">
      <w:rPr>
        <w:b/>
        <w:sz w:val="18"/>
      </w:rPr>
      <w:fldChar w:fldCharType="separate"/>
    </w:r>
    <w:r w:rsidR="00AA599F">
      <w:rPr>
        <w:b/>
        <w:noProof/>
        <w:sz w:val="18"/>
      </w:rPr>
      <w:t>2</w:t>
    </w:r>
    <w:r w:rsidRPr="00232ACD">
      <w:rPr>
        <w:b/>
        <w:sz w:val="18"/>
      </w:rPr>
      <w:fldChar w:fldCharType="end"/>
    </w:r>
    <w:r>
      <w:rPr>
        <w:b/>
        <w:sz w:val="18"/>
      </w:rPr>
      <w:tab/>
    </w:r>
    <w:r>
      <w:t>GE.18-01017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CD" w:rsidRPr="00232ACD" w:rsidRDefault="00232ACD" w:rsidP="00232ACD">
    <w:pPr>
      <w:pStyle w:val="Footer"/>
      <w:tabs>
        <w:tab w:val="right" w:pos="9638"/>
      </w:tabs>
      <w:rPr>
        <w:b/>
        <w:sz w:val="18"/>
      </w:rPr>
    </w:pPr>
    <w:r>
      <w:t>GE.18-01017</w:t>
    </w:r>
    <w:r>
      <w:tab/>
    </w:r>
    <w:r w:rsidRPr="00232ACD">
      <w:rPr>
        <w:b/>
        <w:sz w:val="18"/>
      </w:rPr>
      <w:fldChar w:fldCharType="begin"/>
    </w:r>
    <w:r w:rsidRPr="00232ACD">
      <w:rPr>
        <w:b/>
        <w:sz w:val="18"/>
      </w:rPr>
      <w:instrText xml:space="preserve"> PAGE  \* MERGEFORMAT </w:instrText>
    </w:r>
    <w:r w:rsidRPr="00232ACD">
      <w:rPr>
        <w:b/>
        <w:sz w:val="18"/>
      </w:rPr>
      <w:fldChar w:fldCharType="separate"/>
    </w:r>
    <w:r w:rsidR="00AA599F">
      <w:rPr>
        <w:b/>
        <w:noProof/>
        <w:sz w:val="18"/>
      </w:rPr>
      <w:t>3</w:t>
    </w:r>
    <w:r w:rsidRPr="00232A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232ACD" w:rsidRDefault="00232ACD" w:rsidP="00232ACD">
    <w:pPr>
      <w:pStyle w:val="Footer"/>
      <w:spacing w:before="120"/>
      <w:rPr>
        <w:sz w:val="20"/>
      </w:rPr>
    </w:pPr>
    <w:r>
      <w:rPr>
        <w:sz w:val="20"/>
      </w:rPr>
      <w:t>GE.</w:t>
    </w:r>
    <w:r w:rsidR="007F20FA">
      <w:rPr>
        <w:noProof/>
        <w:lang w:eastAsia="fr-CH"/>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18-01017  (F)</w:t>
    </w:r>
    <w:r w:rsidR="008C6682">
      <w:rPr>
        <w:sz w:val="20"/>
      </w:rPr>
      <w:t xml:space="preserve">    120218    120218</w:t>
    </w:r>
    <w:r>
      <w:rPr>
        <w:sz w:val="20"/>
      </w:rPr>
      <w:br/>
    </w:r>
    <w:r w:rsidRPr="00232ACD">
      <w:rPr>
        <w:rFonts w:ascii="C39T30Lfz" w:hAnsi="C39T30Lfz"/>
        <w:sz w:val="56"/>
      </w:rPr>
      <w:t></w:t>
    </w:r>
    <w:r w:rsidRPr="00232ACD">
      <w:rPr>
        <w:rFonts w:ascii="C39T30Lfz" w:hAnsi="C39T30Lfz"/>
        <w:sz w:val="56"/>
      </w:rPr>
      <w:t></w:t>
    </w:r>
    <w:r w:rsidRPr="00232ACD">
      <w:rPr>
        <w:rFonts w:ascii="C39T30Lfz" w:hAnsi="C39T30Lfz"/>
        <w:sz w:val="56"/>
      </w:rPr>
      <w:t></w:t>
    </w:r>
    <w:r w:rsidRPr="00232ACD">
      <w:rPr>
        <w:rFonts w:ascii="C39T30Lfz" w:hAnsi="C39T30Lfz"/>
        <w:sz w:val="56"/>
      </w:rPr>
      <w:t></w:t>
    </w:r>
    <w:r w:rsidRPr="00232ACD">
      <w:rPr>
        <w:rFonts w:ascii="C39T30Lfz" w:hAnsi="C39T30Lfz"/>
        <w:sz w:val="56"/>
      </w:rPr>
      <w:t></w:t>
    </w:r>
    <w:r w:rsidRPr="00232ACD">
      <w:rPr>
        <w:rFonts w:ascii="C39T30Lfz" w:hAnsi="C39T30Lfz"/>
        <w:sz w:val="56"/>
      </w:rPr>
      <w:t></w:t>
    </w:r>
    <w:r w:rsidRPr="00232ACD">
      <w:rPr>
        <w:rFonts w:ascii="C39T30Lfz" w:hAnsi="C39T30Lfz"/>
        <w:sz w:val="56"/>
      </w:rPr>
      <w:t></w:t>
    </w:r>
    <w:r w:rsidRPr="00232ACD">
      <w:rPr>
        <w:rFonts w:ascii="C39T30Lfz" w:hAnsi="C39T30Lfz"/>
        <w:sz w:val="56"/>
      </w:rPr>
      <w:t></w:t>
    </w:r>
    <w:r w:rsidRPr="00232ACD">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F0" w:rsidRPr="00AC3823" w:rsidRDefault="008A73F0" w:rsidP="00AC3823">
      <w:pPr>
        <w:pStyle w:val="Footer"/>
        <w:tabs>
          <w:tab w:val="right" w:pos="2155"/>
        </w:tabs>
        <w:spacing w:after="80" w:line="240" w:lineRule="atLeast"/>
        <w:ind w:left="680"/>
        <w:rPr>
          <w:u w:val="single"/>
        </w:rPr>
      </w:pPr>
      <w:r>
        <w:rPr>
          <w:u w:val="single"/>
        </w:rPr>
        <w:tab/>
      </w:r>
    </w:p>
  </w:footnote>
  <w:footnote w:type="continuationSeparator" w:id="0">
    <w:p w:rsidR="008A73F0" w:rsidRPr="00AC3823" w:rsidRDefault="008A73F0" w:rsidP="00AC3823">
      <w:pPr>
        <w:pStyle w:val="Footer"/>
        <w:tabs>
          <w:tab w:val="right" w:pos="2155"/>
        </w:tabs>
        <w:spacing w:after="80" w:line="240" w:lineRule="atLeast"/>
        <w:ind w:left="680"/>
        <w:rPr>
          <w:u w:val="single"/>
        </w:rPr>
      </w:pPr>
      <w:r>
        <w:rPr>
          <w:u w:val="single"/>
        </w:rPr>
        <w:tab/>
      </w:r>
    </w:p>
  </w:footnote>
  <w:footnote w:type="continuationNotice" w:id="1">
    <w:p w:rsidR="008A73F0" w:rsidRPr="00AC3823" w:rsidRDefault="008A73F0">
      <w:pPr>
        <w:spacing w:line="240" w:lineRule="auto"/>
        <w:rPr>
          <w:sz w:val="2"/>
          <w:szCs w:val="2"/>
        </w:rPr>
      </w:pPr>
    </w:p>
  </w:footnote>
  <w:footnote w:id="2">
    <w:p w:rsidR="008C6682" w:rsidRPr="00AF37D8" w:rsidRDefault="008C6682" w:rsidP="008C6682">
      <w:pPr>
        <w:pStyle w:val="FootnoteText"/>
        <w:rPr>
          <w:rFonts w:eastAsia="Calibri"/>
          <w:lang w:val="fr-FR"/>
        </w:rPr>
      </w:pPr>
      <w:r>
        <w:rPr>
          <w:lang w:val="fr-FR"/>
        </w:rPr>
        <w:tab/>
      </w:r>
      <w:r w:rsidRPr="00AF37D8">
        <w:rPr>
          <w:rStyle w:val="FootnoteReference"/>
          <w:lang w:val="fr-FR"/>
        </w:rPr>
        <w:t>*</w:t>
      </w:r>
      <w:r w:rsidRPr="00AF37D8">
        <w:rPr>
          <w:lang w:val="fr-FR"/>
        </w:rPr>
        <w:tab/>
        <w:t>Conformément au programme de travail du Comité des transports intérieurs pour la période 2014-2018 (</w:t>
      </w:r>
      <w:r w:rsidRPr="00772A58">
        <w:rPr>
          <w:lang w:val="fr-FR"/>
        </w:rPr>
        <w:t>ECE/TRANS/240</w:t>
      </w:r>
      <w:r w:rsidRPr="00AF37D8">
        <w:rPr>
          <w:lang w:val="fr-FR"/>
        </w:rPr>
        <w:t xml:space="preserve">, par. 105, et </w:t>
      </w:r>
      <w:r w:rsidRPr="00772A58">
        <w:rPr>
          <w:lang w:val="fr-FR"/>
        </w:rPr>
        <w:t>ECE/TRANS/2014/26</w:t>
      </w:r>
      <w:r w:rsidRPr="00AF37D8">
        <w:rPr>
          <w:lang w:val="fr-FR"/>
        </w:rPr>
        <w:t>, activité 02.4), le Forum mondial a pour mission d’élaborer, d’harmoniser et de mettre à jour les Règlements en vue d’améliorer les caractéristiques fonctionnelles des véhicules. Le présent document est soumis en vertu de ce mandat</w:t>
      </w:r>
      <w:r w:rsidRPr="00AF37D8">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CD" w:rsidRPr="00232ACD" w:rsidRDefault="001122D9">
    <w:pPr>
      <w:pStyle w:val="Header"/>
    </w:pPr>
    <w:fldSimple w:instr=" TITLE  \* MERGEFORMAT ">
      <w:r>
        <w:t>ECE/TRANS/WP.29/GRSG/2018/6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CD" w:rsidRPr="00232ACD" w:rsidRDefault="001122D9" w:rsidP="00232ACD">
    <w:pPr>
      <w:pStyle w:val="Header"/>
      <w:jc w:val="right"/>
    </w:pPr>
    <w:fldSimple w:instr=" TITLE  \* MERGEFORMAT ">
      <w:r>
        <w:t>ECE/TRANS/WP.29/GRSG/2018/6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F0"/>
    <w:rsid w:val="00017F94"/>
    <w:rsid w:val="00023842"/>
    <w:rsid w:val="000334F9"/>
    <w:rsid w:val="00045FEB"/>
    <w:rsid w:val="0007796D"/>
    <w:rsid w:val="000B7790"/>
    <w:rsid w:val="000B7999"/>
    <w:rsid w:val="00111F2F"/>
    <w:rsid w:val="001122D9"/>
    <w:rsid w:val="0014365E"/>
    <w:rsid w:val="00143C66"/>
    <w:rsid w:val="00176178"/>
    <w:rsid w:val="00180A45"/>
    <w:rsid w:val="001F525A"/>
    <w:rsid w:val="00223272"/>
    <w:rsid w:val="00232ACD"/>
    <w:rsid w:val="0024779E"/>
    <w:rsid w:val="00257168"/>
    <w:rsid w:val="002744B8"/>
    <w:rsid w:val="002832AC"/>
    <w:rsid w:val="002C68B7"/>
    <w:rsid w:val="002D00D0"/>
    <w:rsid w:val="002D7C93"/>
    <w:rsid w:val="00305801"/>
    <w:rsid w:val="00381278"/>
    <w:rsid w:val="003916DE"/>
    <w:rsid w:val="00441C3B"/>
    <w:rsid w:val="00446FE5"/>
    <w:rsid w:val="00452396"/>
    <w:rsid w:val="00481A1F"/>
    <w:rsid w:val="004837D8"/>
    <w:rsid w:val="004E468C"/>
    <w:rsid w:val="004E5E27"/>
    <w:rsid w:val="005505B7"/>
    <w:rsid w:val="00573BE5"/>
    <w:rsid w:val="00586ED3"/>
    <w:rsid w:val="00596AA9"/>
    <w:rsid w:val="006425F2"/>
    <w:rsid w:val="0071601D"/>
    <w:rsid w:val="007A62E6"/>
    <w:rsid w:val="007F20FA"/>
    <w:rsid w:val="0080684C"/>
    <w:rsid w:val="00871C75"/>
    <w:rsid w:val="008776DC"/>
    <w:rsid w:val="008A73F0"/>
    <w:rsid w:val="008C6682"/>
    <w:rsid w:val="008F64A9"/>
    <w:rsid w:val="009446C0"/>
    <w:rsid w:val="00944DEC"/>
    <w:rsid w:val="009705C8"/>
    <w:rsid w:val="009C1CF4"/>
    <w:rsid w:val="009F6B74"/>
    <w:rsid w:val="00A10C15"/>
    <w:rsid w:val="00A30353"/>
    <w:rsid w:val="00AA599F"/>
    <w:rsid w:val="00AC3823"/>
    <w:rsid w:val="00AE323C"/>
    <w:rsid w:val="00AF0CB5"/>
    <w:rsid w:val="00B00181"/>
    <w:rsid w:val="00B00B0D"/>
    <w:rsid w:val="00B765F7"/>
    <w:rsid w:val="00BA0CA9"/>
    <w:rsid w:val="00C02897"/>
    <w:rsid w:val="00C32357"/>
    <w:rsid w:val="00C97039"/>
    <w:rsid w:val="00D3439C"/>
    <w:rsid w:val="00DB1831"/>
    <w:rsid w:val="00DD3BFD"/>
    <w:rsid w:val="00DF6678"/>
    <w:rsid w:val="00E0299A"/>
    <w:rsid w:val="00E4506B"/>
    <w:rsid w:val="00E85C74"/>
    <w:rsid w:val="00EA6547"/>
    <w:rsid w:val="00EF2E22"/>
    <w:rsid w:val="00F35BAF"/>
    <w:rsid w:val="00F660DF"/>
    <w:rsid w:val="00F94664"/>
    <w:rsid w:val="00F94F3C"/>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1F2A03-8FCA-4E3B-81C8-14817097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ECE/TRANS/WP.29/GRSG/2018/6</vt:lpstr>
      <vt:lpstr>ECE/TRANS/WP.29/GRSG/2018/6</vt:lpstr>
    </vt:vector>
  </TitlesOfParts>
  <Company>DCM</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ECE/TRANS/WP.29/GRSG/2018/6</dc:title>
  <dc:subject/>
  <dc:creator>Edith BOURION</dc:creator>
  <cp:keywords/>
  <cp:lastModifiedBy>Benedicte Boudol</cp:lastModifiedBy>
  <cp:revision>2</cp:revision>
  <cp:lastPrinted>2018-02-12T13:59:00Z</cp:lastPrinted>
  <dcterms:created xsi:type="dcterms:W3CDTF">2018-02-13T15:35:00Z</dcterms:created>
  <dcterms:modified xsi:type="dcterms:W3CDTF">2018-02-13T15:35:00Z</dcterms:modified>
</cp:coreProperties>
</file>