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186CDE">
            <w:bookmarkStart w:id="0" w:name="_GoBack"/>
            <w:bookmarkEnd w:id="0"/>
          </w:p>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186CDE" w:rsidP="00186CDE">
            <w:pPr>
              <w:jc w:val="right"/>
            </w:pPr>
            <w:r w:rsidRPr="00186CDE">
              <w:rPr>
                <w:sz w:val="40"/>
              </w:rPr>
              <w:t>ECE</w:t>
            </w:r>
            <w:r>
              <w:t>/TRANS/WP.29/GRSG/2018/20</w:t>
            </w:r>
            <w:r w:rsidR="00DF4310" w:rsidRPr="00DF4310">
              <w:rPr>
                <w:rStyle w:val="FootnoteReference"/>
                <w:sz w:val="20"/>
                <w:vertAlign w:val="baseline"/>
              </w:rPr>
              <w:footnoteReference w:customMarkFollows="1" w:id="2"/>
              <w:t>*</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186CDE" w:rsidP="00295CCA">
            <w:pPr>
              <w:spacing w:before="240"/>
            </w:pPr>
            <w:r>
              <w:t xml:space="preserve">Distr. </w:t>
            </w:r>
            <w:proofErr w:type="gramStart"/>
            <w:r>
              <w:t>générale</w:t>
            </w:r>
            <w:proofErr w:type="gramEnd"/>
          </w:p>
          <w:p w:rsidR="00186CDE" w:rsidRDefault="00186CDE" w:rsidP="00186CDE">
            <w:pPr>
              <w:spacing w:line="240" w:lineRule="exact"/>
            </w:pPr>
            <w:r>
              <w:t>20 juillet 2018</w:t>
            </w:r>
          </w:p>
          <w:p w:rsidR="00186CDE" w:rsidRDefault="00186CDE" w:rsidP="00186CDE">
            <w:pPr>
              <w:spacing w:line="240" w:lineRule="exact"/>
            </w:pPr>
            <w:r>
              <w:t>Français</w:t>
            </w:r>
          </w:p>
          <w:p w:rsidR="00186CDE" w:rsidRPr="00DB58B5" w:rsidRDefault="00186CDE" w:rsidP="00186CDE">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l’Europe</w:t>
      </w:r>
    </w:p>
    <w:p w:rsidR="005C2887" w:rsidRPr="00C118A1" w:rsidRDefault="005C2887" w:rsidP="0027676E">
      <w:pPr>
        <w:spacing w:before="120"/>
        <w:rPr>
          <w:sz w:val="28"/>
          <w:szCs w:val="28"/>
        </w:rPr>
      </w:pPr>
      <w:r w:rsidRPr="00C118A1">
        <w:rPr>
          <w:sz w:val="28"/>
          <w:szCs w:val="28"/>
        </w:rPr>
        <w:t>Comité des transports intérieurs</w:t>
      </w:r>
    </w:p>
    <w:p w:rsidR="005C2887" w:rsidRPr="0027676E" w:rsidRDefault="005C2887" w:rsidP="0027676E">
      <w:pPr>
        <w:spacing w:before="120"/>
        <w:rPr>
          <w:b/>
          <w:sz w:val="24"/>
          <w:szCs w:val="24"/>
        </w:rPr>
      </w:pPr>
      <w:r w:rsidRPr="0027676E">
        <w:rPr>
          <w:b/>
          <w:sz w:val="24"/>
          <w:szCs w:val="24"/>
        </w:rPr>
        <w:t>Forum mondial de l’harmonisation</w:t>
      </w:r>
      <w:r w:rsidRPr="0027676E">
        <w:rPr>
          <w:b/>
          <w:sz w:val="24"/>
          <w:szCs w:val="24"/>
        </w:rPr>
        <w:br/>
        <w:t>des Règlements concernant les véhicules</w:t>
      </w:r>
    </w:p>
    <w:p w:rsidR="005C2887" w:rsidRPr="00C118A1" w:rsidRDefault="005C2887" w:rsidP="0027676E">
      <w:pPr>
        <w:spacing w:before="120"/>
        <w:rPr>
          <w:b/>
        </w:rPr>
      </w:pPr>
      <w:r w:rsidRPr="00C118A1">
        <w:rPr>
          <w:b/>
        </w:rPr>
        <w:t>Groupe de travail des dispositions générales de sécurité</w:t>
      </w:r>
    </w:p>
    <w:p w:rsidR="005C2887" w:rsidRPr="0027676E" w:rsidRDefault="005C2887" w:rsidP="0027676E">
      <w:pPr>
        <w:spacing w:before="120"/>
        <w:rPr>
          <w:b/>
        </w:rPr>
      </w:pPr>
      <w:r w:rsidRPr="0027676E">
        <w:rPr>
          <w:b/>
        </w:rPr>
        <w:t>115</w:t>
      </w:r>
      <w:r w:rsidRPr="0027676E">
        <w:rPr>
          <w:b/>
          <w:vertAlign w:val="superscript"/>
        </w:rPr>
        <w:t>e</w:t>
      </w:r>
      <w:r w:rsidRPr="0027676E">
        <w:rPr>
          <w:b/>
        </w:rPr>
        <w:t xml:space="preserve"> session</w:t>
      </w:r>
    </w:p>
    <w:p w:rsidR="005C2887" w:rsidRPr="0027676E" w:rsidRDefault="005C2887" w:rsidP="005C2887">
      <w:r w:rsidRPr="0027676E">
        <w:t>Genève, 9-12 octobre 2018</w:t>
      </w:r>
    </w:p>
    <w:p w:rsidR="005C2887" w:rsidRPr="0027676E" w:rsidRDefault="005C2887" w:rsidP="005C2887">
      <w:r w:rsidRPr="0027676E">
        <w:t>Point 9 a) de l’ordre du jour provisoire</w:t>
      </w:r>
    </w:p>
    <w:p w:rsidR="005C2887" w:rsidRPr="0027676E" w:rsidRDefault="005C2887" w:rsidP="005C2887">
      <w:pPr>
        <w:rPr>
          <w:rFonts w:eastAsia="Times New Roman"/>
          <w:b/>
        </w:rPr>
      </w:pPr>
      <w:r w:rsidRPr="0027676E">
        <w:rPr>
          <w:rFonts w:eastAsia="Times New Roman"/>
          <w:b/>
          <w:bCs/>
          <w:lang w:val="fr-FR"/>
        </w:rPr>
        <w:t xml:space="preserve">Amendements aux Règlements concernant les véhicules </w:t>
      </w:r>
      <w:r w:rsidRPr="0027676E">
        <w:rPr>
          <w:rFonts w:eastAsia="Times New Roman"/>
          <w:b/>
          <w:bCs/>
          <w:lang w:val="fr-FR"/>
        </w:rPr>
        <w:br/>
        <w:t>fonctionnant au gaz : Règlement</w:t>
      </w:r>
      <w:r w:rsidR="003A54B5">
        <w:rPr>
          <w:rFonts w:eastAsia="Times New Roman"/>
          <w:b/>
          <w:bCs/>
          <w:lang w:val="fr-FR"/>
        </w:rPr>
        <w:t xml:space="preserve"> ONU</w:t>
      </w:r>
      <w:r w:rsidRPr="0027676E">
        <w:rPr>
          <w:rFonts w:eastAsia="Times New Roman"/>
          <w:b/>
          <w:bCs/>
          <w:lang w:val="fr-FR"/>
        </w:rPr>
        <w:t xml:space="preserve"> n</w:t>
      </w:r>
      <w:r w:rsidRPr="0027676E">
        <w:rPr>
          <w:rFonts w:eastAsia="Times New Roman"/>
          <w:b/>
          <w:bCs/>
          <w:vertAlign w:val="superscript"/>
          <w:lang w:val="fr-FR"/>
        </w:rPr>
        <w:t>o</w:t>
      </w:r>
      <w:r w:rsidRPr="0027676E">
        <w:rPr>
          <w:rFonts w:eastAsia="Times New Roman"/>
          <w:b/>
          <w:bCs/>
          <w:lang w:val="fr-FR"/>
        </w:rPr>
        <w:t xml:space="preserve"> 67 </w:t>
      </w:r>
      <w:r w:rsidRPr="0027676E">
        <w:rPr>
          <w:rFonts w:eastAsia="Times New Roman"/>
          <w:b/>
          <w:bCs/>
          <w:lang w:val="fr-FR"/>
        </w:rPr>
        <w:br/>
        <w:t>(Véhicules alimentés au GPL)</w:t>
      </w:r>
    </w:p>
    <w:p w:rsidR="005C2887" w:rsidRPr="00C118A1" w:rsidRDefault="005C2887" w:rsidP="0027676E">
      <w:pPr>
        <w:pStyle w:val="HChG"/>
        <w:rPr>
          <w:sz w:val="26"/>
          <w:szCs w:val="26"/>
        </w:rPr>
      </w:pPr>
      <w:r w:rsidRPr="00C118A1">
        <w:rPr>
          <w:lang w:val="fr-FR"/>
        </w:rPr>
        <w:tab/>
      </w:r>
      <w:r w:rsidRPr="00C118A1">
        <w:rPr>
          <w:lang w:val="fr-FR"/>
        </w:rPr>
        <w:tab/>
        <w:t>Proposition de complément 16 à la série 01 d</w:t>
      </w:r>
      <w:r>
        <w:rPr>
          <w:lang w:val="fr-FR"/>
        </w:rPr>
        <w:t>’</w:t>
      </w:r>
      <w:r w:rsidRPr="00C118A1">
        <w:rPr>
          <w:lang w:val="fr-FR"/>
        </w:rPr>
        <w:t>amendements</w:t>
      </w:r>
      <w:r>
        <w:rPr>
          <w:lang w:val="fr-FR"/>
        </w:rPr>
        <w:t xml:space="preserve"> </w:t>
      </w:r>
      <w:r w:rsidR="0027676E">
        <w:rPr>
          <w:lang w:val="fr-FR"/>
        </w:rPr>
        <w:br/>
      </w:r>
      <w:r>
        <w:rPr>
          <w:lang w:val="fr-FR"/>
        </w:rPr>
        <w:t>et de complément 1 à la série 02 d’amendements</w:t>
      </w:r>
      <w:r w:rsidRPr="00C118A1">
        <w:rPr>
          <w:lang w:val="fr-FR"/>
        </w:rPr>
        <w:t xml:space="preserve"> </w:t>
      </w:r>
      <w:r w:rsidR="0027676E">
        <w:rPr>
          <w:lang w:val="fr-FR"/>
        </w:rPr>
        <w:br/>
      </w:r>
      <w:r w:rsidRPr="00C118A1">
        <w:rPr>
          <w:lang w:val="fr-FR"/>
        </w:rPr>
        <w:t xml:space="preserve">au Règlement </w:t>
      </w:r>
      <w:r>
        <w:rPr>
          <w:lang w:val="fr-FR"/>
        </w:rPr>
        <w:t xml:space="preserve">ONU </w:t>
      </w:r>
      <w:r w:rsidRPr="00C118A1">
        <w:rPr>
          <w:lang w:val="fr-FR"/>
        </w:rPr>
        <w:t>n</w:t>
      </w:r>
      <w:r w:rsidRPr="00C118A1">
        <w:rPr>
          <w:vertAlign w:val="superscript"/>
          <w:lang w:val="fr-FR"/>
        </w:rPr>
        <w:t>o</w:t>
      </w:r>
      <w:r w:rsidRPr="00C118A1">
        <w:rPr>
          <w:lang w:val="fr-FR"/>
        </w:rPr>
        <w:t> 67 (Véhicules alimentés au GPL)</w:t>
      </w:r>
    </w:p>
    <w:p w:rsidR="005C2887" w:rsidRPr="00C118A1" w:rsidRDefault="005C2887" w:rsidP="0027676E">
      <w:pPr>
        <w:pStyle w:val="H1G"/>
        <w:rPr>
          <w:vertAlign w:val="superscript"/>
        </w:rPr>
      </w:pPr>
      <w:r w:rsidRPr="00C118A1">
        <w:rPr>
          <w:lang w:val="fr-FR"/>
        </w:rPr>
        <w:tab/>
      </w:r>
      <w:r w:rsidRPr="00C118A1">
        <w:rPr>
          <w:lang w:val="fr-FR"/>
        </w:rPr>
        <w:tab/>
        <w:t>Communication de l</w:t>
      </w:r>
      <w:r>
        <w:rPr>
          <w:lang w:val="fr-FR"/>
        </w:rPr>
        <w:t>’</w:t>
      </w:r>
      <w:r w:rsidRPr="00C118A1">
        <w:rPr>
          <w:lang w:val="fr-FR"/>
        </w:rPr>
        <w:t>expert de l</w:t>
      </w:r>
      <w:r>
        <w:rPr>
          <w:lang w:val="fr-FR"/>
        </w:rPr>
        <w:t>’</w:t>
      </w:r>
      <w:r w:rsidRPr="00623A66">
        <w:rPr>
          <w:lang w:val="fr-FR"/>
        </w:rPr>
        <w:t xml:space="preserve">Association européenne des gaz </w:t>
      </w:r>
      <w:r w:rsidR="0027676E">
        <w:rPr>
          <w:lang w:val="fr-FR"/>
        </w:rPr>
        <w:br/>
      </w:r>
      <w:r w:rsidRPr="00623A66">
        <w:rPr>
          <w:lang w:val="fr-FR"/>
        </w:rPr>
        <w:t>de pétrole liquéfiés</w:t>
      </w:r>
      <w:r w:rsidR="00916334" w:rsidRPr="00916334">
        <w:rPr>
          <w:rStyle w:val="FootnoteReference"/>
          <w:b w:val="0"/>
          <w:sz w:val="20"/>
          <w:vertAlign w:val="baseline"/>
        </w:rPr>
        <w:footnoteReference w:customMarkFollows="1" w:id="3"/>
        <w:t>**</w:t>
      </w:r>
    </w:p>
    <w:p w:rsidR="005C2887" w:rsidRDefault="005C2887" w:rsidP="0027676E">
      <w:pPr>
        <w:pStyle w:val="SingleTxtG"/>
        <w:ind w:firstLine="567"/>
        <w:rPr>
          <w:lang w:val="fr-FR"/>
        </w:rPr>
      </w:pPr>
      <w:r w:rsidRPr="00C118A1">
        <w:rPr>
          <w:lang w:val="fr-FR"/>
        </w:rPr>
        <w:t>Le texte ci-après, établi par l</w:t>
      </w:r>
      <w:r>
        <w:rPr>
          <w:lang w:val="fr-FR"/>
        </w:rPr>
        <w:t>’</w:t>
      </w:r>
      <w:r w:rsidRPr="00C118A1">
        <w:rPr>
          <w:lang w:val="fr-FR"/>
        </w:rPr>
        <w:t>expert de l</w:t>
      </w:r>
      <w:r>
        <w:rPr>
          <w:lang w:val="fr-FR"/>
        </w:rPr>
        <w:t>’Association européenne des gaz de pétrole liquéfiés (AEGPL)</w:t>
      </w:r>
      <w:r w:rsidRPr="00C118A1">
        <w:rPr>
          <w:lang w:val="fr-FR"/>
        </w:rPr>
        <w:t xml:space="preserve">, vise à </w:t>
      </w:r>
      <w:r>
        <w:rPr>
          <w:lang w:val="fr-FR"/>
        </w:rPr>
        <w:t>simplifier les dispositions du</w:t>
      </w:r>
      <w:r w:rsidRPr="00C118A1">
        <w:rPr>
          <w:lang w:val="fr-FR"/>
        </w:rPr>
        <w:t xml:space="preserve"> Règlement </w:t>
      </w:r>
      <w:r>
        <w:rPr>
          <w:lang w:val="fr-FR"/>
        </w:rPr>
        <w:t xml:space="preserve">ONU </w:t>
      </w:r>
      <w:r w:rsidRPr="00C118A1">
        <w:rPr>
          <w:lang w:val="fr-FR"/>
        </w:rPr>
        <w:t>n</w:t>
      </w:r>
      <w:r w:rsidRPr="00C118A1">
        <w:rPr>
          <w:vertAlign w:val="superscript"/>
          <w:lang w:val="fr-FR"/>
        </w:rPr>
        <w:t>o</w:t>
      </w:r>
      <w:r w:rsidRPr="00C118A1">
        <w:rPr>
          <w:lang w:val="fr-FR"/>
        </w:rPr>
        <w:t xml:space="preserve"> 67 </w:t>
      </w:r>
      <w:r>
        <w:rPr>
          <w:lang w:val="fr-FR"/>
        </w:rPr>
        <w:t xml:space="preserve">et à les adapter </w:t>
      </w:r>
      <w:r w:rsidRPr="00C118A1">
        <w:rPr>
          <w:lang w:val="fr-FR"/>
        </w:rPr>
        <w:t>à l</w:t>
      </w:r>
      <w:r>
        <w:rPr>
          <w:lang w:val="fr-FR"/>
        </w:rPr>
        <w:t>’</w:t>
      </w:r>
      <w:r w:rsidRPr="00C118A1">
        <w:rPr>
          <w:lang w:val="fr-FR"/>
        </w:rPr>
        <w:t>évolution technique</w:t>
      </w:r>
      <w:r>
        <w:rPr>
          <w:lang w:val="fr-FR"/>
        </w:rPr>
        <w:t>, en particulier en ce qui concerne</w:t>
      </w:r>
      <w:r w:rsidRPr="00C118A1">
        <w:rPr>
          <w:lang w:val="fr-FR"/>
        </w:rPr>
        <w:t xml:space="preserve"> la définition d</w:t>
      </w:r>
      <w:r>
        <w:rPr>
          <w:lang w:val="fr-FR"/>
        </w:rPr>
        <w:t>’</w:t>
      </w:r>
      <w:r w:rsidRPr="00C118A1">
        <w:rPr>
          <w:lang w:val="fr-FR"/>
        </w:rPr>
        <w:t xml:space="preserve">un type de conteneur </w:t>
      </w:r>
      <w:r>
        <w:rPr>
          <w:lang w:val="fr-FR"/>
        </w:rPr>
        <w:t>et</w:t>
      </w:r>
      <w:r w:rsidRPr="00C118A1">
        <w:rPr>
          <w:lang w:val="fr-FR"/>
        </w:rPr>
        <w:t xml:space="preserve"> l</w:t>
      </w:r>
      <w:r>
        <w:rPr>
          <w:lang w:val="fr-FR"/>
        </w:rPr>
        <w:t>’</w:t>
      </w:r>
      <w:r w:rsidRPr="00C118A1">
        <w:rPr>
          <w:lang w:val="fr-FR"/>
        </w:rPr>
        <w:t>annexe</w:t>
      </w:r>
      <w:r w:rsidR="0027676E">
        <w:rPr>
          <w:lang w:val="fr-FR"/>
        </w:rPr>
        <w:t> </w:t>
      </w:r>
      <w:r w:rsidRPr="00C118A1">
        <w:rPr>
          <w:lang w:val="fr-FR"/>
        </w:rPr>
        <w:t>2B. Il se fonde en grande partie sur</w:t>
      </w:r>
      <w:r>
        <w:rPr>
          <w:lang w:val="fr-FR"/>
        </w:rPr>
        <w:t xml:space="preserve"> le document </w:t>
      </w:r>
      <w:r w:rsidRPr="00E259B0">
        <w:rPr>
          <w:lang w:val="fr-FR"/>
        </w:rPr>
        <w:t>ECE/TRANS/WP.29/GRSG/2018/8</w:t>
      </w:r>
      <w:r w:rsidRPr="00C118A1">
        <w:rPr>
          <w:lang w:val="fr-FR"/>
        </w:rPr>
        <w:t>, tel que présenté à la 11</w:t>
      </w:r>
      <w:r>
        <w:rPr>
          <w:lang w:val="fr-FR"/>
        </w:rPr>
        <w:t>4</w:t>
      </w:r>
      <w:r w:rsidRPr="00C118A1">
        <w:rPr>
          <w:vertAlign w:val="superscript"/>
          <w:lang w:val="fr-FR"/>
        </w:rPr>
        <w:t>e</w:t>
      </w:r>
      <w:r w:rsidRPr="00C118A1">
        <w:rPr>
          <w:lang w:val="fr-FR"/>
        </w:rPr>
        <w:t> session du Groupe de travail des dispositions générales de sécurité (GRSG). Les modifications qu</w:t>
      </w:r>
      <w:r>
        <w:rPr>
          <w:lang w:val="fr-FR"/>
        </w:rPr>
        <w:t>’</w:t>
      </w:r>
      <w:r w:rsidRPr="00C118A1">
        <w:rPr>
          <w:lang w:val="fr-FR"/>
        </w:rPr>
        <w:t>il est proposé d</w:t>
      </w:r>
      <w:r>
        <w:rPr>
          <w:lang w:val="fr-FR"/>
        </w:rPr>
        <w:t>’</w:t>
      </w:r>
      <w:r w:rsidRPr="00C118A1">
        <w:rPr>
          <w:lang w:val="fr-FR"/>
        </w:rPr>
        <w:t xml:space="preserve">apporter au texte actuel du Règlement </w:t>
      </w:r>
      <w:r>
        <w:rPr>
          <w:lang w:val="fr-FR"/>
        </w:rPr>
        <w:t xml:space="preserve">ONU </w:t>
      </w:r>
      <w:r w:rsidRPr="00C118A1">
        <w:rPr>
          <w:lang w:val="fr-FR"/>
        </w:rPr>
        <w:t>n</w:t>
      </w:r>
      <w:r w:rsidRPr="00C118A1">
        <w:rPr>
          <w:vertAlign w:val="superscript"/>
          <w:lang w:val="fr-FR"/>
        </w:rPr>
        <w:t>o</w:t>
      </w:r>
      <w:r w:rsidRPr="00C118A1">
        <w:rPr>
          <w:lang w:val="fr-FR"/>
        </w:rPr>
        <w:t> 67 figurent en caractères gras.</w:t>
      </w:r>
    </w:p>
    <w:p w:rsidR="00D338F1" w:rsidRPr="00C118A1" w:rsidRDefault="00D338F1" w:rsidP="0027676E">
      <w:pPr>
        <w:pStyle w:val="SingleTxtG"/>
        <w:ind w:firstLine="567"/>
      </w:pPr>
    </w:p>
    <w:p w:rsidR="00D338F1" w:rsidRDefault="00D338F1" w:rsidP="00BB13E7">
      <w:pPr>
        <w:pStyle w:val="HChG"/>
        <w:rPr>
          <w:lang w:val="fr-FR"/>
        </w:rPr>
        <w:sectPr w:rsidR="00D338F1" w:rsidSect="00186CD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5C2887" w:rsidRPr="00C118A1" w:rsidRDefault="005C2887" w:rsidP="00BB13E7">
      <w:pPr>
        <w:pStyle w:val="HChG"/>
        <w:rPr>
          <w:lang w:val="fr-FR"/>
        </w:rPr>
      </w:pPr>
      <w:r w:rsidRPr="00C118A1">
        <w:rPr>
          <w:lang w:val="fr-FR"/>
        </w:rPr>
        <w:lastRenderedPageBreak/>
        <w:tab/>
        <w:t>I.</w:t>
      </w:r>
      <w:r w:rsidRPr="00C118A1">
        <w:rPr>
          <w:lang w:val="fr-FR"/>
        </w:rPr>
        <w:tab/>
        <w:t>Proposition</w:t>
      </w:r>
    </w:p>
    <w:p w:rsidR="005C2887" w:rsidRPr="00C118A1" w:rsidRDefault="005C2887" w:rsidP="00BB13E7">
      <w:pPr>
        <w:pStyle w:val="SingleTxtG"/>
        <w:rPr>
          <w:lang w:val="fr-FR"/>
        </w:rPr>
      </w:pPr>
      <w:r w:rsidRPr="00CB6DB0">
        <w:rPr>
          <w:iCs/>
          <w:lang w:val="fr-FR"/>
        </w:rPr>
        <w:t>Le</w:t>
      </w:r>
      <w:r>
        <w:rPr>
          <w:i/>
          <w:iCs/>
          <w:lang w:val="fr-FR"/>
        </w:rPr>
        <w:t xml:space="preserve"> p</w:t>
      </w:r>
      <w:r w:rsidRPr="00C118A1">
        <w:rPr>
          <w:i/>
          <w:iCs/>
          <w:lang w:val="fr-FR"/>
        </w:rPr>
        <w:t>aragraphe 2.4</w:t>
      </w:r>
      <w:r w:rsidRPr="00C118A1">
        <w:rPr>
          <w:lang w:val="fr-FR"/>
        </w:rPr>
        <w:t xml:space="preserve"> </w:t>
      </w:r>
      <w:r>
        <w:rPr>
          <w:lang w:val="fr-FR"/>
        </w:rPr>
        <w:t>reste inchangé</w:t>
      </w:r>
      <w:r w:rsidRPr="00C118A1">
        <w:rPr>
          <w:lang w:val="fr-FR"/>
        </w:rPr>
        <w:t> :</w:t>
      </w:r>
    </w:p>
    <w:p w:rsidR="005C2887" w:rsidRPr="00C118A1" w:rsidRDefault="005C2887" w:rsidP="00BB13E7">
      <w:pPr>
        <w:pStyle w:val="SingleTxtG"/>
        <w:tabs>
          <w:tab w:val="left" w:pos="2268"/>
        </w:tabs>
        <w:ind w:left="2268" w:hanging="1134"/>
      </w:pPr>
      <w:r w:rsidRPr="00C118A1">
        <w:t>« 2.4</w:t>
      </w:r>
      <w:r w:rsidRPr="00C118A1">
        <w:tab/>
        <w:t>Par “</w:t>
      </w:r>
      <w:r w:rsidRPr="00C118A1">
        <w:rPr>
          <w:i/>
        </w:rPr>
        <w:t>type de réservoir</w:t>
      </w:r>
      <w:r w:rsidRPr="00C118A1">
        <w:t xml:space="preserve">”, des réservoirs </w:t>
      </w:r>
      <w:r w:rsidRPr="00750F0A">
        <w:t xml:space="preserve">qui ne présentent pas entre eux de différence </w:t>
      </w:r>
      <w:r w:rsidRPr="00C118A1">
        <w:t>quant aux caractéristiques définies à l</w:t>
      </w:r>
      <w:r>
        <w:t>’</w:t>
      </w:r>
      <w:r w:rsidRPr="00C118A1">
        <w:t>annexe 10, à savoir :</w:t>
      </w:r>
    </w:p>
    <w:p w:rsidR="005C2887" w:rsidRPr="00AA29FB" w:rsidRDefault="005C2887" w:rsidP="00BB13E7">
      <w:pPr>
        <w:pStyle w:val="SingleTxtG"/>
        <w:ind w:left="2268"/>
      </w:pPr>
      <w:r w:rsidRPr="00AA29FB">
        <w:t>a)</w:t>
      </w:r>
      <w:r w:rsidRPr="00AA29FB">
        <w:tab/>
        <w:t>La (les) marque(s) de fabrique ou de commerce ;</w:t>
      </w:r>
    </w:p>
    <w:p w:rsidR="005C2887" w:rsidRPr="004E5E0E" w:rsidRDefault="005C2887" w:rsidP="00BB13E7">
      <w:pPr>
        <w:pStyle w:val="SingleTxtG"/>
        <w:ind w:left="2268"/>
      </w:pPr>
      <w:r w:rsidRPr="00AA29FB">
        <w:t>b</w:t>
      </w:r>
      <w:r w:rsidRPr="004E5E0E">
        <w:t>)</w:t>
      </w:r>
      <w:r w:rsidRPr="004E5E0E">
        <w:tab/>
        <w:t>La forme (forme cylindrique, forme spéciale) ;</w:t>
      </w:r>
    </w:p>
    <w:p w:rsidR="005C2887" w:rsidRPr="004E5E0E" w:rsidRDefault="005C2887" w:rsidP="00BB13E7">
      <w:pPr>
        <w:pStyle w:val="SingleTxtG"/>
        <w:ind w:left="2268"/>
      </w:pPr>
      <w:r w:rsidRPr="00AA29FB">
        <w:t>c</w:t>
      </w:r>
      <w:r w:rsidRPr="004E5E0E">
        <w:t>)</w:t>
      </w:r>
      <w:r w:rsidRPr="004E5E0E">
        <w:tab/>
        <w:t>Les ouvertures (plaque pour accessoires/bride métallique) ;</w:t>
      </w:r>
    </w:p>
    <w:p w:rsidR="005C2887" w:rsidRPr="004E5E0E" w:rsidRDefault="005C2887" w:rsidP="00BB13E7">
      <w:pPr>
        <w:pStyle w:val="SingleTxtG"/>
        <w:ind w:left="2268"/>
      </w:pPr>
      <w:r w:rsidRPr="00AA29FB">
        <w:t>d</w:t>
      </w:r>
      <w:r w:rsidRPr="004E5E0E">
        <w:t>)</w:t>
      </w:r>
      <w:r w:rsidRPr="004E5E0E">
        <w:tab/>
        <w:t>Le matériau ;</w:t>
      </w:r>
    </w:p>
    <w:p w:rsidR="005C2887" w:rsidRPr="004E5E0E" w:rsidRDefault="005C2887" w:rsidP="00BB13E7">
      <w:pPr>
        <w:pStyle w:val="SingleTxtG"/>
        <w:ind w:left="2268"/>
      </w:pPr>
      <w:r w:rsidRPr="00AA29FB">
        <w:t>e</w:t>
      </w:r>
      <w:r w:rsidRPr="004E5E0E">
        <w:t>)</w:t>
      </w:r>
      <w:r w:rsidRPr="004E5E0E">
        <w:tab/>
        <w:t>Le procédé de soudage (dans le cas des réservoirs en métal) ;</w:t>
      </w:r>
    </w:p>
    <w:p w:rsidR="005C2887" w:rsidRPr="004E5E0E" w:rsidRDefault="005C2887" w:rsidP="00BB13E7">
      <w:pPr>
        <w:pStyle w:val="SingleTxtG"/>
        <w:ind w:left="2268"/>
      </w:pPr>
      <w:r w:rsidRPr="00AA29FB">
        <w:t>f</w:t>
      </w:r>
      <w:r w:rsidRPr="004E5E0E">
        <w:t>)</w:t>
      </w:r>
      <w:r w:rsidRPr="004E5E0E">
        <w:tab/>
        <w:t>Le traitement thermique (dans le cas des réservoirs en métal) ;</w:t>
      </w:r>
    </w:p>
    <w:p w:rsidR="005C2887" w:rsidRPr="004E5E0E" w:rsidRDefault="005C2887" w:rsidP="00BB13E7">
      <w:pPr>
        <w:pStyle w:val="SingleTxtG"/>
        <w:ind w:left="2268"/>
      </w:pPr>
      <w:r w:rsidRPr="00AA29FB">
        <w:t>g</w:t>
      </w:r>
      <w:r w:rsidRPr="004E5E0E">
        <w:t>)</w:t>
      </w:r>
      <w:r w:rsidRPr="004E5E0E">
        <w:tab/>
        <w:t>La chaîne de fabrication ;</w:t>
      </w:r>
    </w:p>
    <w:p w:rsidR="005C2887" w:rsidRPr="004E5E0E" w:rsidRDefault="005C2887" w:rsidP="00BB13E7">
      <w:pPr>
        <w:pStyle w:val="SingleTxtG"/>
        <w:ind w:left="2268"/>
      </w:pPr>
      <w:r w:rsidRPr="00AA29FB">
        <w:t>h</w:t>
      </w:r>
      <w:r w:rsidRPr="004E5E0E">
        <w:t>)</w:t>
      </w:r>
      <w:r w:rsidRPr="004E5E0E">
        <w:tab/>
        <w:t>L</w:t>
      </w:r>
      <w:r>
        <w:t>’</w:t>
      </w:r>
      <w:r w:rsidRPr="004E5E0E">
        <w:t>épaisseur nominale de la paroi ;</w:t>
      </w:r>
    </w:p>
    <w:p w:rsidR="005C2887" w:rsidRPr="004E5E0E" w:rsidRDefault="005C2887" w:rsidP="00BB13E7">
      <w:pPr>
        <w:pStyle w:val="SingleTxtG"/>
        <w:ind w:left="2268"/>
      </w:pPr>
      <w:r w:rsidRPr="00AA29FB">
        <w:t>i</w:t>
      </w:r>
      <w:r w:rsidRPr="004E5E0E">
        <w:t>)</w:t>
      </w:r>
      <w:r w:rsidRPr="004E5E0E">
        <w:tab/>
        <w:t>Le diamètre ;</w:t>
      </w:r>
    </w:p>
    <w:p w:rsidR="005C2887" w:rsidRDefault="005C2887" w:rsidP="00BB13E7">
      <w:pPr>
        <w:pStyle w:val="SingleTxtG"/>
        <w:ind w:left="2268"/>
      </w:pPr>
      <w:r w:rsidRPr="00AA29FB">
        <w:t>j</w:t>
      </w:r>
      <w:r w:rsidRPr="004E5E0E">
        <w:t>)</w:t>
      </w:r>
      <w:r w:rsidRPr="004E5E0E">
        <w:tab/>
        <w:t>L</w:t>
      </w:r>
      <w:r w:rsidRPr="00C118A1">
        <w:t>a hauteur (forme de réservoir spéciale). ».</w:t>
      </w:r>
    </w:p>
    <w:p w:rsidR="005C2887" w:rsidRPr="00C118A1" w:rsidRDefault="005C2887" w:rsidP="00AA704A">
      <w:pPr>
        <w:pStyle w:val="SingleTxtG"/>
      </w:pPr>
      <w:r w:rsidRPr="00C118A1">
        <w:rPr>
          <w:i/>
        </w:rPr>
        <w:t>Annexe 2B</w:t>
      </w:r>
      <w:r w:rsidRPr="00AA704A">
        <w:t xml:space="preserve">, </w:t>
      </w:r>
      <w:r w:rsidRPr="00C118A1">
        <w:t>modifier comme suit :</w:t>
      </w:r>
    </w:p>
    <w:p w:rsidR="005C2887" w:rsidRPr="00C118A1" w:rsidRDefault="005C2887" w:rsidP="00AA704A">
      <w:pPr>
        <w:pStyle w:val="HChG"/>
      </w:pPr>
      <w:r w:rsidRPr="00C118A1">
        <w:rPr>
          <w:lang w:val="fr-FR"/>
        </w:rPr>
        <w:t>« </w:t>
      </w:r>
      <w:r w:rsidRPr="00C118A1">
        <w:rPr>
          <w:lang w:val="fr-FR"/>
        </w:rPr>
        <w:tab/>
        <w:t>Annexe 2B</w:t>
      </w:r>
    </w:p>
    <w:p w:rsidR="005C2887" w:rsidRPr="00C118A1" w:rsidRDefault="005C2887" w:rsidP="00AA704A">
      <w:pPr>
        <w:pStyle w:val="HChG"/>
      </w:pPr>
      <w:r w:rsidRPr="00C118A1">
        <w:rPr>
          <w:lang w:val="fr-FR"/>
        </w:rPr>
        <w:tab/>
      </w:r>
      <w:r w:rsidRPr="00C118A1">
        <w:rPr>
          <w:lang w:val="fr-FR"/>
        </w:rPr>
        <w:tab/>
        <w:t>Communication</w:t>
      </w:r>
    </w:p>
    <w:p w:rsidR="005C2887" w:rsidRDefault="005C2887" w:rsidP="00AA704A">
      <w:pPr>
        <w:pStyle w:val="SingleTxtG"/>
        <w:rPr>
          <w:lang w:val="fr-FR"/>
        </w:rPr>
      </w:pPr>
      <w:r w:rsidRPr="00C118A1">
        <w:rPr>
          <w:lang w:val="fr-FR"/>
        </w:rPr>
        <w:t>(</w:t>
      </w:r>
      <w:proofErr w:type="gramStart"/>
      <w:r w:rsidRPr="00C118A1">
        <w:rPr>
          <w:lang w:val="fr-FR"/>
        </w:rPr>
        <w:t>format</w:t>
      </w:r>
      <w:proofErr w:type="gramEnd"/>
      <w:r w:rsidRPr="00C118A1">
        <w:rPr>
          <w:lang w:val="fr-FR"/>
        </w:rPr>
        <w:t xml:space="preserve"> maximal :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4A5760" w:rsidRPr="00D96394" w:rsidTr="00AA29FB">
        <w:tc>
          <w:tcPr>
            <w:tcW w:w="3402" w:type="dxa"/>
          </w:tcPr>
          <w:bookmarkStart w:id="1" w:name="_MON_1420453160"/>
          <w:bookmarkEnd w:id="1"/>
          <w:p w:rsidR="004A5760" w:rsidRPr="00D96394" w:rsidRDefault="004A5760" w:rsidP="00D05775">
            <w:pPr>
              <w:pStyle w:val="SingleTxtG"/>
              <w:spacing w:after="0"/>
              <w:ind w:left="0"/>
            </w:pPr>
            <w:r w:rsidRPr="00D96394">
              <w:object w:dxaOrig="1684"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pt" o:ole="">
                  <v:imagedata r:id="rId13" o:title=""/>
                </v:shape>
                <o:OLEObject Type="Embed" ProgID="Word.Picture.8" ShapeID="_x0000_i1025" DrawAspect="Content" ObjectID="_1597670977" r:id="rId14"/>
              </w:object>
            </w:r>
            <w:r w:rsidR="00D05775" w:rsidRPr="00D05775">
              <w:rPr>
                <w:rStyle w:val="FootnoteReference"/>
                <w:color w:val="FFFFFF" w:themeColor="background1"/>
              </w:rPr>
              <w:footnoteReference w:id="4"/>
            </w:r>
          </w:p>
        </w:tc>
        <w:tc>
          <w:tcPr>
            <w:tcW w:w="3969" w:type="dxa"/>
          </w:tcPr>
          <w:p w:rsidR="004A5760" w:rsidRPr="00D96394" w:rsidRDefault="004A5760" w:rsidP="00AA29FB">
            <w:pPr>
              <w:ind w:left="1701" w:hanging="1701"/>
            </w:pPr>
            <w:r w:rsidRPr="00D96394">
              <w:t>Émanant de</w:t>
            </w:r>
            <w:r>
              <w:t> </w:t>
            </w:r>
            <w:r w:rsidRPr="00D96394">
              <w:t>:</w:t>
            </w:r>
            <w:r w:rsidRPr="00D96394">
              <w:tab/>
              <w:t>Nom de l’administration</w:t>
            </w:r>
            <w:r>
              <w:t> </w:t>
            </w:r>
            <w:r w:rsidRPr="00D96394">
              <w:t>:</w:t>
            </w:r>
          </w:p>
          <w:p w:rsidR="004A5760" w:rsidRPr="00D96394" w:rsidRDefault="004A5760" w:rsidP="00AA29FB">
            <w:pPr>
              <w:pStyle w:val="SingleTxtG"/>
              <w:tabs>
                <w:tab w:val="right" w:leader="dot" w:pos="3686"/>
              </w:tabs>
              <w:spacing w:after="0"/>
              <w:ind w:left="1701" w:right="0"/>
            </w:pPr>
            <w:r w:rsidRPr="00D96394">
              <w:tab/>
            </w:r>
          </w:p>
          <w:p w:rsidR="004A5760" w:rsidRPr="00D96394" w:rsidRDefault="004A5760" w:rsidP="00AA29FB">
            <w:pPr>
              <w:pStyle w:val="SingleTxtG"/>
              <w:tabs>
                <w:tab w:val="right" w:leader="dot" w:pos="3686"/>
              </w:tabs>
              <w:spacing w:after="0"/>
              <w:ind w:left="1701" w:right="0"/>
            </w:pPr>
            <w:r w:rsidRPr="00D96394">
              <w:tab/>
            </w:r>
          </w:p>
          <w:p w:rsidR="004A5760" w:rsidRPr="00D96394" w:rsidRDefault="004A5760" w:rsidP="00AA29FB">
            <w:pPr>
              <w:pStyle w:val="SingleTxtG"/>
              <w:tabs>
                <w:tab w:val="right" w:leader="dot" w:pos="3686"/>
              </w:tabs>
              <w:spacing w:after="0"/>
              <w:ind w:left="1701" w:right="0"/>
            </w:pPr>
            <w:r w:rsidRPr="00D96394">
              <w:tab/>
            </w:r>
          </w:p>
        </w:tc>
      </w:tr>
    </w:tbl>
    <w:p w:rsidR="004A5760" w:rsidRPr="00D96394" w:rsidRDefault="004A5760" w:rsidP="004D6E30">
      <w:pPr>
        <w:pStyle w:val="SingleTxtG"/>
        <w:spacing w:before="120"/>
        <w:ind w:left="2552" w:hanging="1418"/>
        <w:jc w:val="left"/>
      </w:pPr>
      <w:proofErr w:type="gramStart"/>
      <w:r w:rsidRPr="00D96394">
        <w:t>concernant</w:t>
      </w:r>
      <w:proofErr w:type="gramEnd"/>
      <w:r w:rsidRPr="00D96394">
        <w:rPr>
          <w:rStyle w:val="FootnoteReference"/>
        </w:rPr>
        <w:footnoteReference w:id="5"/>
      </w:r>
      <w:r w:rsidRPr="00D96394">
        <w:t>:</w:t>
      </w:r>
      <w:r w:rsidRPr="00D96394">
        <w:tab/>
        <w:t>Délivrance d’une homologation</w:t>
      </w:r>
      <w:r w:rsidRPr="00D96394">
        <w:br/>
        <w:t>Extension d’homologation</w:t>
      </w:r>
      <w:r w:rsidRPr="00D96394">
        <w:br/>
        <w:t>Refus d’homologation</w:t>
      </w:r>
      <w:r w:rsidRPr="00D96394">
        <w:br/>
        <w:t>Retrait d’homologation</w:t>
      </w:r>
      <w:r w:rsidRPr="00D96394">
        <w:br/>
        <w:t>Arrêt définitif de la production</w:t>
      </w:r>
    </w:p>
    <w:p w:rsidR="004A5760" w:rsidRPr="00D96394" w:rsidRDefault="004A5760" w:rsidP="004A5760">
      <w:pPr>
        <w:pStyle w:val="SingleTxtG"/>
        <w:ind w:left="1701" w:hanging="567"/>
      </w:pPr>
      <w:proofErr w:type="gramStart"/>
      <w:r w:rsidRPr="00C118A1">
        <w:rPr>
          <w:lang w:val="fr-FR"/>
        </w:rPr>
        <w:t>d</w:t>
      </w:r>
      <w:r>
        <w:rPr>
          <w:lang w:val="fr-FR"/>
        </w:rPr>
        <w:t>’</w:t>
      </w:r>
      <w:r w:rsidRPr="00C118A1">
        <w:rPr>
          <w:lang w:val="fr-FR"/>
        </w:rPr>
        <w:t>un</w:t>
      </w:r>
      <w:proofErr w:type="gramEnd"/>
      <w:r w:rsidRPr="00C118A1">
        <w:rPr>
          <w:lang w:val="fr-FR"/>
        </w:rPr>
        <w:t xml:space="preserve"> type d</w:t>
      </w:r>
      <w:r>
        <w:rPr>
          <w:lang w:val="fr-FR"/>
        </w:rPr>
        <w:t>’</w:t>
      </w:r>
      <w:r w:rsidRPr="00C118A1">
        <w:rPr>
          <w:lang w:val="fr-FR"/>
        </w:rPr>
        <w:t>équipement GPL en application du Règlement</w:t>
      </w:r>
      <w:r>
        <w:rPr>
          <w:lang w:val="fr-FR"/>
        </w:rPr>
        <w:t xml:space="preserve"> ONU</w:t>
      </w:r>
      <w:r w:rsidRPr="00C118A1">
        <w:rPr>
          <w:lang w:val="fr-FR"/>
        </w:rPr>
        <w:t xml:space="preserve"> </w:t>
      </w:r>
      <w:r w:rsidRPr="00C118A1">
        <w:rPr>
          <w:rFonts w:eastAsia="MS Mincho"/>
          <w:lang w:val="fr-FR"/>
        </w:rPr>
        <w:t>n</w:t>
      </w:r>
      <w:r w:rsidRPr="00C118A1">
        <w:rPr>
          <w:rFonts w:eastAsia="MS Mincho"/>
          <w:vertAlign w:val="superscript"/>
          <w:lang w:val="fr-FR"/>
        </w:rPr>
        <w:t>o</w:t>
      </w:r>
      <w:r w:rsidRPr="00C118A1">
        <w:rPr>
          <w:lang w:val="fr-FR"/>
        </w:rPr>
        <w:t> 67</w:t>
      </w:r>
      <w:r w:rsidRPr="00D96394">
        <w:t>.</w:t>
      </w:r>
    </w:p>
    <w:p w:rsidR="004A5760" w:rsidRPr="00D96394" w:rsidRDefault="004A5760" w:rsidP="004A5760">
      <w:pPr>
        <w:pStyle w:val="SingleTxtG"/>
        <w:tabs>
          <w:tab w:val="right" w:leader="dot" w:pos="4253"/>
          <w:tab w:val="left" w:pos="4536"/>
          <w:tab w:val="right" w:leader="dot" w:pos="8505"/>
        </w:tabs>
        <w:jc w:val="left"/>
      </w:pPr>
      <w:r w:rsidRPr="00D96394">
        <w:t>N</w:t>
      </w:r>
      <w:r w:rsidRPr="00D96394">
        <w:rPr>
          <w:vertAlign w:val="superscript"/>
        </w:rPr>
        <w:t>o</w:t>
      </w:r>
      <w:r w:rsidRPr="00D96394">
        <w:t xml:space="preserve"> d’homologation</w:t>
      </w:r>
      <w:r w:rsidRPr="00D96394">
        <w:tab/>
      </w:r>
      <w:r w:rsidRPr="00D96394">
        <w:tab/>
      </w:r>
    </w:p>
    <w:p w:rsidR="005C2887" w:rsidRPr="00C118A1" w:rsidRDefault="005C2887" w:rsidP="00A00085">
      <w:pPr>
        <w:pStyle w:val="SingleTxtG"/>
        <w:rPr>
          <w:lang w:val="fr-FR"/>
        </w:rPr>
      </w:pPr>
      <w:bookmarkStart w:id="2" w:name="_MON_1420453160"/>
      <w:bookmarkEnd w:id="2"/>
      <w:r w:rsidRPr="00C118A1">
        <w:rPr>
          <w:lang w:val="fr-FR"/>
        </w:rPr>
        <w:t>1.</w:t>
      </w:r>
      <w:r w:rsidRPr="00C118A1">
        <w:rPr>
          <w:lang w:val="fr-FR"/>
        </w:rPr>
        <w:tab/>
        <w:t>Équipement GPL considéré</w:t>
      </w:r>
      <w:r w:rsidRPr="00C118A1">
        <w:rPr>
          <w:sz w:val="18"/>
          <w:szCs w:val="18"/>
          <w:vertAlign w:val="superscript"/>
          <w:lang w:val="fr-FR"/>
        </w:rPr>
        <w:t>2</w:t>
      </w:r>
      <w:r w:rsidRPr="00C118A1">
        <w:rPr>
          <w:vertAlign w:val="superscript"/>
          <w:lang w:val="fr-FR"/>
        </w:rPr>
        <w:t> </w:t>
      </w:r>
      <w:r w:rsidRPr="00C118A1">
        <w:rPr>
          <w:lang w:val="fr-FR"/>
        </w:rPr>
        <w:t>:</w:t>
      </w:r>
    </w:p>
    <w:p w:rsidR="005C2887" w:rsidRPr="00C118A1" w:rsidRDefault="005C2887" w:rsidP="00A00085">
      <w:pPr>
        <w:pStyle w:val="SingleTxtG"/>
        <w:ind w:left="1701"/>
        <w:rPr>
          <w:lang w:val="fr-FR"/>
        </w:rPr>
      </w:pPr>
      <w:r w:rsidRPr="00C118A1">
        <w:rPr>
          <w:lang w:val="fr-FR"/>
        </w:rPr>
        <w:t>Réservoir, y compris la configuration des accessoires fixés au réservoir, tels que définis à l</w:t>
      </w:r>
      <w:r>
        <w:rPr>
          <w:lang w:val="fr-FR"/>
        </w:rPr>
        <w:t>’</w:t>
      </w:r>
      <w:r w:rsidRPr="00C118A1">
        <w:rPr>
          <w:lang w:val="fr-FR"/>
        </w:rPr>
        <w:t>appendice 1 à la présente annexe.</w:t>
      </w:r>
    </w:p>
    <w:p w:rsidR="005C2887" w:rsidRPr="00C118A1" w:rsidRDefault="005C2887" w:rsidP="00A00085">
      <w:pPr>
        <w:pStyle w:val="SingleTxtG"/>
        <w:ind w:left="1701"/>
        <w:rPr>
          <w:lang w:val="fr-FR"/>
        </w:rPr>
      </w:pPr>
      <w:r w:rsidRPr="00C118A1">
        <w:rPr>
          <w:lang w:val="fr-FR"/>
        </w:rPr>
        <w:t>Limiteur de remplissage à 80 %</w:t>
      </w:r>
    </w:p>
    <w:p w:rsidR="005C2887" w:rsidRPr="00C118A1" w:rsidRDefault="005C2887" w:rsidP="00A00085">
      <w:pPr>
        <w:pStyle w:val="SingleTxtG"/>
        <w:ind w:left="1701"/>
        <w:rPr>
          <w:lang w:val="fr-FR"/>
        </w:rPr>
      </w:pPr>
      <w:r w:rsidRPr="00C118A1">
        <w:rPr>
          <w:lang w:val="fr-FR"/>
        </w:rPr>
        <w:t>Jauge</w:t>
      </w:r>
    </w:p>
    <w:p w:rsidR="005C2887" w:rsidRPr="00C118A1" w:rsidRDefault="005C2887" w:rsidP="00A00085">
      <w:pPr>
        <w:pStyle w:val="SingleTxtG"/>
        <w:ind w:left="1701"/>
        <w:rPr>
          <w:lang w:val="fr-FR"/>
        </w:rPr>
      </w:pPr>
      <w:r w:rsidRPr="00C118A1">
        <w:rPr>
          <w:lang w:val="fr-FR"/>
        </w:rPr>
        <w:t>Soupape de surpression (soupape de décompression)</w:t>
      </w:r>
    </w:p>
    <w:p w:rsidR="005C2887" w:rsidRPr="00C118A1" w:rsidRDefault="005C2887" w:rsidP="00A00085">
      <w:pPr>
        <w:pStyle w:val="SingleTxtG"/>
        <w:ind w:left="1701"/>
        <w:rPr>
          <w:lang w:val="fr-FR"/>
        </w:rPr>
      </w:pPr>
      <w:r w:rsidRPr="00C118A1">
        <w:rPr>
          <w:lang w:val="fr-FR"/>
        </w:rPr>
        <w:lastRenderedPageBreak/>
        <w:t>Dispositif de surpression</w:t>
      </w:r>
    </w:p>
    <w:p w:rsidR="005C2887" w:rsidRPr="00C118A1" w:rsidRDefault="005C2887" w:rsidP="00A00085">
      <w:pPr>
        <w:pStyle w:val="SingleTxtG"/>
        <w:ind w:left="1701"/>
        <w:rPr>
          <w:lang w:val="fr-FR"/>
        </w:rPr>
      </w:pPr>
      <w:r w:rsidRPr="00C118A1">
        <w:rPr>
          <w:lang w:val="fr-FR"/>
        </w:rPr>
        <w:t>Vanne d</w:t>
      </w:r>
      <w:r>
        <w:rPr>
          <w:lang w:val="fr-FR"/>
        </w:rPr>
        <w:t>’</w:t>
      </w:r>
      <w:r w:rsidRPr="00C118A1">
        <w:rPr>
          <w:lang w:val="fr-FR"/>
        </w:rPr>
        <w:t>isolement télécommandée avec limiteur de débit</w:t>
      </w:r>
    </w:p>
    <w:p w:rsidR="005C2887" w:rsidRPr="00C118A1" w:rsidRDefault="005C2887" w:rsidP="00DB0AD9">
      <w:pPr>
        <w:pStyle w:val="SingleTxtG"/>
        <w:tabs>
          <w:tab w:val="right" w:leader="dot" w:pos="8505"/>
        </w:tabs>
        <w:ind w:left="1701"/>
        <w:rPr>
          <w:lang w:val="fr-FR"/>
        </w:rPr>
      </w:pPr>
      <w:r w:rsidRPr="00C118A1">
        <w:rPr>
          <w:lang w:val="fr-FR"/>
        </w:rPr>
        <w:t>Bloc multivannes, y com</w:t>
      </w:r>
      <w:r w:rsidR="00DB0AD9">
        <w:rPr>
          <w:lang w:val="fr-FR"/>
        </w:rPr>
        <w:t>pris les accessoires suivants :</w:t>
      </w:r>
      <w:r w:rsidR="00DB0AD9">
        <w:rPr>
          <w:lang w:val="fr-FR"/>
        </w:rPr>
        <w:tab/>
      </w:r>
    </w:p>
    <w:p w:rsidR="005C2887" w:rsidRPr="00C118A1" w:rsidRDefault="005C2887" w:rsidP="00A00085">
      <w:pPr>
        <w:pStyle w:val="SingleTxtG"/>
        <w:ind w:left="1701"/>
        <w:rPr>
          <w:lang w:val="fr-FR"/>
        </w:rPr>
      </w:pPr>
      <w:r w:rsidRPr="00C118A1">
        <w:rPr>
          <w:lang w:val="fr-FR"/>
        </w:rPr>
        <w:t>Enceinte étanche</w:t>
      </w:r>
    </w:p>
    <w:p w:rsidR="005C2887" w:rsidRPr="00C118A1" w:rsidRDefault="005C2887" w:rsidP="00A00085">
      <w:pPr>
        <w:pStyle w:val="SingleTxtG"/>
        <w:ind w:left="1701"/>
        <w:rPr>
          <w:lang w:val="fr-FR"/>
        </w:rPr>
      </w:pPr>
      <w:r w:rsidRPr="00C118A1">
        <w:rPr>
          <w:lang w:val="fr-FR"/>
        </w:rPr>
        <w:t>Raccord électrique d</w:t>
      </w:r>
      <w:r>
        <w:rPr>
          <w:lang w:val="fr-FR"/>
        </w:rPr>
        <w:t>’</w:t>
      </w:r>
      <w:r w:rsidRPr="00C118A1">
        <w:rPr>
          <w:lang w:val="fr-FR"/>
        </w:rPr>
        <w:t>alimentation (pompe/actionneurs)</w:t>
      </w:r>
    </w:p>
    <w:p w:rsidR="005C2887" w:rsidRPr="00C118A1" w:rsidRDefault="005C2887" w:rsidP="00A00085">
      <w:pPr>
        <w:pStyle w:val="SingleTxtG"/>
        <w:ind w:left="1701"/>
        <w:rPr>
          <w:lang w:val="fr-FR"/>
        </w:rPr>
      </w:pPr>
      <w:r w:rsidRPr="00C118A1">
        <w:rPr>
          <w:lang w:val="fr-FR"/>
        </w:rPr>
        <w:t>Pompe à GPL</w:t>
      </w:r>
    </w:p>
    <w:p w:rsidR="005C2887" w:rsidRPr="00C118A1" w:rsidRDefault="005C2887" w:rsidP="00A00085">
      <w:pPr>
        <w:pStyle w:val="SingleTxtG"/>
        <w:ind w:left="1701"/>
        <w:rPr>
          <w:lang w:val="fr-FR"/>
        </w:rPr>
      </w:pPr>
      <w:r w:rsidRPr="00C118A1">
        <w:rPr>
          <w:lang w:val="fr-FR"/>
        </w:rPr>
        <w:t>Vaporiseur/détendeur</w:t>
      </w:r>
    </w:p>
    <w:p w:rsidR="005C2887" w:rsidRPr="00C118A1" w:rsidRDefault="005C2887" w:rsidP="00A00085">
      <w:pPr>
        <w:pStyle w:val="SingleTxtG"/>
        <w:ind w:left="1701"/>
        <w:rPr>
          <w:lang w:val="fr-FR"/>
        </w:rPr>
      </w:pPr>
      <w:r w:rsidRPr="00C118A1">
        <w:rPr>
          <w:lang w:val="fr-FR"/>
        </w:rPr>
        <w:t>Vanne d</w:t>
      </w:r>
      <w:r>
        <w:rPr>
          <w:lang w:val="fr-FR"/>
        </w:rPr>
        <w:t>’</w:t>
      </w:r>
      <w:r w:rsidRPr="00C118A1">
        <w:rPr>
          <w:lang w:val="fr-FR"/>
        </w:rPr>
        <w:t>arrêt</w:t>
      </w:r>
    </w:p>
    <w:p w:rsidR="005C2887" w:rsidRPr="00C118A1" w:rsidRDefault="005C2887" w:rsidP="00A00085">
      <w:pPr>
        <w:pStyle w:val="SingleTxtG"/>
        <w:ind w:left="1701"/>
        <w:rPr>
          <w:lang w:val="fr-FR"/>
        </w:rPr>
      </w:pPr>
      <w:r w:rsidRPr="00C118A1">
        <w:rPr>
          <w:lang w:val="fr-FR"/>
        </w:rPr>
        <w:t>Soupape antiretour</w:t>
      </w:r>
    </w:p>
    <w:p w:rsidR="005C2887" w:rsidRPr="00C118A1" w:rsidRDefault="005C2887" w:rsidP="00A00085">
      <w:pPr>
        <w:pStyle w:val="SingleTxtG"/>
        <w:ind w:left="1701"/>
        <w:rPr>
          <w:lang w:val="fr-FR"/>
        </w:rPr>
      </w:pPr>
      <w:r w:rsidRPr="00C118A1">
        <w:rPr>
          <w:lang w:val="fr-FR"/>
        </w:rPr>
        <w:t>Soupape de surpression sur la tuyauterie de gaz</w:t>
      </w:r>
    </w:p>
    <w:p w:rsidR="005C2887" w:rsidRPr="00C118A1" w:rsidRDefault="005C2887" w:rsidP="00A00085">
      <w:pPr>
        <w:pStyle w:val="SingleTxtG"/>
        <w:ind w:left="1701"/>
        <w:rPr>
          <w:lang w:val="fr-FR"/>
        </w:rPr>
      </w:pPr>
      <w:r w:rsidRPr="00C118A1">
        <w:rPr>
          <w:lang w:val="fr-FR"/>
        </w:rPr>
        <w:t>Raccord d</w:t>
      </w:r>
      <w:r>
        <w:rPr>
          <w:lang w:val="fr-FR"/>
        </w:rPr>
        <w:t>’</w:t>
      </w:r>
      <w:r w:rsidRPr="00C118A1">
        <w:rPr>
          <w:lang w:val="fr-FR"/>
        </w:rPr>
        <w:t>alimentation de secours</w:t>
      </w:r>
    </w:p>
    <w:p w:rsidR="005C2887" w:rsidRPr="00C118A1" w:rsidRDefault="005C2887" w:rsidP="00A00085">
      <w:pPr>
        <w:pStyle w:val="SingleTxtG"/>
        <w:ind w:left="1701"/>
        <w:rPr>
          <w:lang w:val="fr-FR"/>
        </w:rPr>
      </w:pPr>
      <w:r w:rsidRPr="00C118A1">
        <w:rPr>
          <w:lang w:val="fr-FR"/>
        </w:rPr>
        <w:t>Flexible</w:t>
      </w:r>
    </w:p>
    <w:p w:rsidR="005C2887" w:rsidRPr="00C118A1" w:rsidRDefault="005C2887" w:rsidP="00A00085">
      <w:pPr>
        <w:pStyle w:val="SingleTxtG"/>
        <w:ind w:left="1701"/>
        <w:rPr>
          <w:lang w:val="fr-FR"/>
        </w:rPr>
      </w:pPr>
      <w:r w:rsidRPr="00C118A1">
        <w:rPr>
          <w:lang w:val="fr-FR"/>
        </w:rPr>
        <w:t>Embout de remplissage à distance</w:t>
      </w:r>
    </w:p>
    <w:p w:rsidR="005C2887" w:rsidRPr="00C118A1" w:rsidRDefault="005C2887" w:rsidP="00A00085">
      <w:pPr>
        <w:pStyle w:val="SingleTxtG"/>
        <w:ind w:left="1701"/>
        <w:rPr>
          <w:lang w:val="fr-FR"/>
        </w:rPr>
      </w:pPr>
      <w:r w:rsidRPr="00C118A1">
        <w:rPr>
          <w:lang w:val="fr-FR"/>
        </w:rPr>
        <w:t>Dispositif d</w:t>
      </w:r>
      <w:r>
        <w:rPr>
          <w:lang w:val="fr-FR"/>
        </w:rPr>
        <w:t>’</w:t>
      </w:r>
      <w:r w:rsidRPr="00C118A1">
        <w:rPr>
          <w:lang w:val="fr-FR"/>
        </w:rPr>
        <w:t>injection de gaz ou injecteur</w:t>
      </w:r>
    </w:p>
    <w:p w:rsidR="005C2887" w:rsidRPr="00C118A1" w:rsidRDefault="005C2887" w:rsidP="00A00085">
      <w:pPr>
        <w:pStyle w:val="SingleTxtG"/>
        <w:ind w:left="1701"/>
        <w:rPr>
          <w:lang w:val="fr-FR"/>
        </w:rPr>
      </w:pPr>
      <w:r w:rsidRPr="00C118A1">
        <w:rPr>
          <w:lang w:val="fr-FR"/>
        </w:rPr>
        <w:t>Rampe d</w:t>
      </w:r>
      <w:r>
        <w:rPr>
          <w:lang w:val="fr-FR"/>
        </w:rPr>
        <w:t>’</w:t>
      </w:r>
      <w:r w:rsidRPr="00C118A1">
        <w:rPr>
          <w:lang w:val="fr-FR"/>
        </w:rPr>
        <w:t>alimentation</w:t>
      </w:r>
    </w:p>
    <w:p w:rsidR="005C2887" w:rsidRPr="00C118A1" w:rsidRDefault="005C2887" w:rsidP="00A00085">
      <w:pPr>
        <w:pStyle w:val="SingleTxtG"/>
        <w:ind w:left="1701"/>
        <w:rPr>
          <w:lang w:val="fr-FR"/>
        </w:rPr>
      </w:pPr>
      <w:r w:rsidRPr="00C118A1">
        <w:rPr>
          <w:lang w:val="fr-FR"/>
        </w:rPr>
        <w:t>Doseur de gaz</w:t>
      </w:r>
    </w:p>
    <w:p w:rsidR="005C2887" w:rsidRPr="00C118A1" w:rsidRDefault="005C2887" w:rsidP="00A00085">
      <w:pPr>
        <w:pStyle w:val="SingleTxtG"/>
        <w:ind w:left="1701"/>
        <w:rPr>
          <w:lang w:val="fr-FR"/>
        </w:rPr>
      </w:pPr>
      <w:r w:rsidRPr="00C118A1">
        <w:rPr>
          <w:lang w:val="fr-FR"/>
        </w:rPr>
        <w:t>Mélangeur de gaz</w:t>
      </w:r>
    </w:p>
    <w:p w:rsidR="005C2887" w:rsidRPr="00C118A1" w:rsidRDefault="005C2887" w:rsidP="00A00085">
      <w:pPr>
        <w:pStyle w:val="SingleTxtG"/>
        <w:ind w:left="1701"/>
        <w:rPr>
          <w:lang w:val="fr-FR"/>
        </w:rPr>
      </w:pPr>
      <w:r w:rsidRPr="00C118A1">
        <w:rPr>
          <w:lang w:val="fr-FR"/>
        </w:rPr>
        <w:t>Module de commande électronique</w:t>
      </w:r>
    </w:p>
    <w:p w:rsidR="005C2887" w:rsidRPr="00C118A1" w:rsidRDefault="005C2887" w:rsidP="00A00085">
      <w:pPr>
        <w:pStyle w:val="SingleTxtG"/>
        <w:ind w:left="1701"/>
        <w:rPr>
          <w:lang w:val="fr-FR"/>
        </w:rPr>
      </w:pPr>
      <w:r w:rsidRPr="00C118A1">
        <w:rPr>
          <w:lang w:val="fr-FR"/>
        </w:rPr>
        <w:t>Capteur de pression/température</w:t>
      </w:r>
    </w:p>
    <w:p w:rsidR="005C2887" w:rsidRPr="00C118A1" w:rsidRDefault="005C2887" w:rsidP="00A00085">
      <w:pPr>
        <w:pStyle w:val="SingleTxtG"/>
        <w:ind w:left="1701"/>
        <w:rPr>
          <w:lang w:val="fr-FR"/>
        </w:rPr>
      </w:pPr>
      <w:r w:rsidRPr="00C118A1">
        <w:rPr>
          <w:lang w:val="fr-FR"/>
        </w:rPr>
        <w:t>Filtre à GPL</w:t>
      </w:r>
    </w:p>
    <w:p w:rsidR="005C2887" w:rsidRPr="00C118A1" w:rsidRDefault="005C2887" w:rsidP="00A00085">
      <w:pPr>
        <w:pStyle w:val="SingleTxtG"/>
        <w:ind w:left="1701"/>
        <w:rPr>
          <w:lang w:val="fr-FR"/>
        </w:rPr>
      </w:pPr>
      <w:r w:rsidRPr="00C118A1">
        <w:rPr>
          <w:lang w:val="fr-FR"/>
        </w:rPr>
        <w:t>Bloc multiorganes</w:t>
      </w:r>
    </w:p>
    <w:p w:rsidR="005C2887" w:rsidRPr="00C118A1" w:rsidRDefault="00DB0AD9" w:rsidP="00DB0AD9">
      <w:pPr>
        <w:tabs>
          <w:tab w:val="left" w:pos="1700"/>
          <w:tab w:val="right" w:leader="dot" w:pos="8505"/>
          <w:tab w:val="right" w:leader="dot" w:pos="9639"/>
        </w:tabs>
        <w:kinsoku/>
        <w:overflowPunct/>
        <w:autoSpaceDE/>
        <w:autoSpaceDN/>
        <w:adjustRightInd/>
        <w:snapToGrid/>
        <w:spacing w:after="120"/>
        <w:ind w:left="1134" w:right="1134"/>
        <w:jc w:val="both"/>
        <w:rPr>
          <w:rFonts w:eastAsia="Times New Roman"/>
          <w:b/>
        </w:rPr>
      </w:pPr>
      <w:r>
        <w:rPr>
          <w:rFonts w:eastAsia="Times New Roman"/>
          <w:b/>
        </w:rPr>
        <w:t>1.1</w:t>
      </w:r>
      <w:r>
        <w:rPr>
          <w:rFonts w:eastAsia="Times New Roman"/>
          <w:b/>
        </w:rPr>
        <w:tab/>
        <w:t xml:space="preserve">Type : </w:t>
      </w:r>
      <w:r>
        <w:rPr>
          <w:rFonts w:eastAsia="Times New Roman"/>
          <w:b/>
        </w:rPr>
        <w:tab/>
      </w:r>
    </w:p>
    <w:p w:rsidR="005C2887" w:rsidRPr="00C118A1" w:rsidRDefault="007923B3" w:rsidP="00DB0AD9">
      <w:pPr>
        <w:tabs>
          <w:tab w:val="left" w:pos="1700"/>
          <w:tab w:val="right" w:leader="dot" w:pos="8505"/>
          <w:tab w:val="right" w:leader="dot" w:pos="9639"/>
        </w:tabs>
        <w:kinsoku/>
        <w:overflowPunct/>
        <w:autoSpaceDE/>
        <w:autoSpaceDN/>
        <w:adjustRightInd/>
        <w:snapToGrid/>
        <w:spacing w:after="120"/>
        <w:ind w:left="1134" w:right="1134"/>
        <w:jc w:val="both"/>
        <w:rPr>
          <w:rFonts w:eastAsia="Times New Roman"/>
          <w:b/>
        </w:rPr>
      </w:pPr>
      <w:r>
        <w:rPr>
          <w:rFonts w:eastAsia="Times New Roman"/>
          <w:b/>
        </w:rPr>
        <w:t>1.2</w:t>
      </w:r>
      <w:r>
        <w:rPr>
          <w:rFonts w:eastAsia="Times New Roman"/>
          <w:b/>
        </w:rPr>
        <w:tab/>
        <w:t>Classe/</w:t>
      </w:r>
      <w:r w:rsidR="005C2887" w:rsidRPr="00C118A1">
        <w:rPr>
          <w:rFonts w:eastAsia="Times New Roman"/>
          <w:b/>
        </w:rPr>
        <w:t>WP (WP pour les élément</w:t>
      </w:r>
      <w:r w:rsidR="00DB0AD9">
        <w:rPr>
          <w:rFonts w:eastAsia="Times New Roman"/>
          <w:b/>
        </w:rPr>
        <w:t xml:space="preserve">s de la classe 0 uniquement) : </w:t>
      </w:r>
      <w:r w:rsidR="00DB0AD9">
        <w:rPr>
          <w:rFonts w:eastAsia="Times New Roman"/>
          <w:b/>
        </w:rPr>
        <w:tab/>
      </w:r>
    </w:p>
    <w:p w:rsidR="005C2887" w:rsidRPr="00C118A1" w:rsidRDefault="005C2887" w:rsidP="00DB0AD9">
      <w:pPr>
        <w:tabs>
          <w:tab w:val="left" w:pos="1700"/>
          <w:tab w:val="right" w:leader="dot" w:pos="8505"/>
          <w:tab w:val="right" w:leader="dot" w:pos="9639"/>
        </w:tabs>
        <w:kinsoku/>
        <w:overflowPunct/>
        <w:autoSpaceDE/>
        <w:autoSpaceDN/>
        <w:adjustRightInd/>
        <w:snapToGrid/>
        <w:spacing w:after="120"/>
        <w:ind w:left="1134" w:right="1134"/>
        <w:jc w:val="both"/>
        <w:rPr>
          <w:lang w:val="fr-FR"/>
        </w:rPr>
      </w:pPr>
      <w:r w:rsidRPr="00C118A1">
        <w:rPr>
          <w:lang w:val="fr-FR"/>
        </w:rPr>
        <w:t>2.</w:t>
      </w:r>
      <w:r w:rsidRPr="00C118A1">
        <w:rPr>
          <w:lang w:val="fr-FR"/>
        </w:rPr>
        <w:tab/>
        <w:t>Marque</w:t>
      </w:r>
      <w:r>
        <w:rPr>
          <w:lang w:val="fr-FR"/>
        </w:rPr>
        <w:t>(s)</w:t>
      </w:r>
      <w:r w:rsidR="00DB0AD9">
        <w:rPr>
          <w:lang w:val="fr-FR"/>
        </w:rPr>
        <w:t xml:space="preserve"> de fabrique ou de commerce :</w:t>
      </w:r>
      <w:r w:rsidR="00DB0AD9">
        <w:rPr>
          <w:lang w:val="fr-FR"/>
        </w:rPr>
        <w:tab/>
      </w:r>
    </w:p>
    <w:p w:rsidR="005C2887" w:rsidRPr="00C118A1" w:rsidRDefault="005C2887" w:rsidP="00DB0AD9">
      <w:pPr>
        <w:tabs>
          <w:tab w:val="left" w:pos="1700"/>
          <w:tab w:val="right" w:leader="dot" w:pos="8505"/>
          <w:tab w:val="right" w:leader="dot" w:pos="9639"/>
        </w:tabs>
        <w:kinsoku/>
        <w:overflowPunct/>
        <w:autoSpaceDE/>
        <w:autoSpaceDN/>
        <w:adjustRightInd/>
        <w:snapToGrid/>
        <w:spacing w:after="120"/>
        <w:ind w:left="1134" w:right="1134"/>
        <w:jc w:val="both"/>
        <w:rPr>
          <w:lang w:val="fr-FR"/>
        </w:rPr>
      </w:pPr>
      <w:r w:rsidRPr="00C118A1">
        <w:rPr>
          <w:lang w:val="fr-FR"/>
        </w:rPr>
        <w:t>3.</w:t>
      </w:r>
      <w:r w:rsidRPr="00C118A1">
        <w:rPr>
          <w:lang w:val="fr-FR"/>
        </w:rPr>
        <w:tab/>
        <w:t>Nom et adresse du fabricant :</w:t>
      </w:r>
      <w:r w:rsidRPr="00C118A1">
        <w:rPr>
          <w:lang w:val="fr-FR"/>
        </w:rPr>
        <w:tab/>
      </w:r>
    </w:p>
    <w:p w:rsidR="005C2887" w:rsidRPr="00C118A1" w:rsidRDefault="005C2887" w:rsidP="00DB0AD9">
      <w:pPr>
        <w:tabs>
          <w:tab w:val="left" w:pos="1700"/>
          <w:tab w:val="right" w:leader="dot" w:pos="8505"/>
          <w:tab w:val="right" w:leader="dot" w:pos="9639"/>
        </w:tabs>
        <w:kinsoku/>
        <w:overflowPunct/>
        <w:autoSpaceDE/>
        <w:autoSpaceDN/>
        <w:adjustRightInd/>
        <w:snapToGrid/>
        <w:spacing w:after="120"/>
        <w:ind w:left="1134" w:right="1134"/>
        <w:jc w:val="both"/>
        <w:rPr>
          <w:lang w:val="fr-FR"/>
        </w:rPr>
      </w:pPr>
      <w:r w:rsidRPr="00C118A1">
        <w:rPr>
          <w:lang w:val="fr-FR"/>
        </w:rPr>
        <w:t>4.</w:t>
      </w:r>
      <w:r w:rsidRPr="00C118A1">
        <w:rPr>
          <w:lang w:val="fr-FR"/>
        </w:rPr>
        <w:tab/>
        <w:t xml:space="preserve">Le cas échéant, nom et adresse du mandataire du fabricant : </w:t>
      </w:r>
      <w:r w:rsidRPr="00C118A1">
        <w:rPr>
          <w:lang w:val="fr-FR"/>
        </w:rPr>
        <w:tab/>
      </w:r>
    </w:p>
    <w:p w:rsidR="005C2887" w:rsidRPr="00C118A1" w:rsidRDefault="005C2887" w:rsidP="00DB0AD9">
      <w:pPr>
        <w:tabs>
          <w:tab w:val="left" w:pos="1700"/>
          <w:tab w:val="right" w:leader="dot" w:pos="8505"/>
          <w:tab w:val="right" w:leader="dot" w:pos="9639"/>
        </w:tabs>
        <w:kinsoku/>
        <w:overflowPunct/>
        <w:autoSpaceDE/>
        <w:autoSpaceDN/>
        <w:adjustRightInd/>
        <w:snapToGrid/>
        <w:spacing w:after="120"/>
        <w:ind w:left="1134" w:right="1134"/>
        <w:jc w:val="both"/>
        <w:rPr>
          <w:lang w:val="fr-FR"/>
        </w:rPr>
      </w:pPr>
      <w:r w:rsidRPr="00C118A1">
        <w:rPr>
          <w:lang w:val="fr-FR"/>
        </w:rPr>
        <w:t>5.</w:t>
      </w:r>
      <w:r w:rsidRPr="00C118A1">
        <w:rPr>
          <w:lang w:val="fr-FR"/>
        </w:rPr>
        <w:tab/>
        <w:t>Équipement présenté à l</w:t>
      </w:r>
      <w:r>
        <w:rPr>
          <w:lang w:val="fr-FR"/>
        </w:rPr>
        <w:t>’</w:t>
      </w:r>
      <w:r w:rsidRPr="00C118A1">
        <w:rPr>
          <w:lang w:val="fr-FR"/>
        </w:rPr>
        <w:t>homologation le :</w:t>
      </w:r>
      <w:r w:rsidR="0030773A">
        <w:rPr>
          <w:lang w:val="fr-FR"/>
        </w:rPr>
        <w:t xml:space="preserve"> </w:t>
      </w:r>
      <w:r w:rsidRPr="00C118A1">
        <w:rPr>
          <w:lang w:val="fr-FR"/>
        </w:rPr>
        <w:tab/>
      </w:r>
    </w:p>
    <w:p w:rsidR="005C2887" w:rsidRPr="00C118A1" w:rsidRDefault="005C2887" w:rsidP="00DB0AD9">
      <w:pPr>
        <w:tabs>
          <w:tab w:val="left" w:pos="1700"/>
          <w:tab w:val="right" w:leader="dot" w:pos="8505"/>
          <w:tab w:val="right" w:leader="dot" w:pos="9639"/>
        </w:tabs>
        <w:kinsoku/>
        <w:overflowPunct/>
        <w:autoSpaceDE/>
        <w:autoSpaceDN/>
        <w:adjustRightInd/>
        <w:snapToGrid/>
        <w:spacing w:after="120"/>
        <w:ind w:left="1134" w:right="1134"/>
        <w:jc w:val="both"/>
        <w:rPr>
          <w:lang w:val="fr-FR"/>
        </w:rPr>
      </w:pPr>
      <w:r w:rsidRPr="00C118A1">
        <w:rPr>
          <w:lang w:val="fr-FR"/>
        </w:rPr>
        <w:t>6.</w:t>
      </w:r>
      <w:r w:rsidRPr="00C118A1">
        <w:rPr>
          <w:lang w:val="fr-FR"/>
        </w:rPr>
        <w:tab/>
        <w:t>Service technique chargé des essais d</w:t>
      </w:r>
      <w:r>
        <w:rPr>
          <w:lang w:val="fr-FR"/>
        </w:rPr>
        <w:t>’</w:t>
      </w:r>
      <w:r w:rsidRPr="00C118A1">
        <w:rPr>
          <w:lang w:val="fr-FR"/>
        </w:rPr>
        <w:t xml:space="preserve">homologation : </w:t>
      </w:r>
      <w:r w:rsidRPr="00C118A1">
        <w:rPr>
          <w:lang w:val="fr-FR"/>
        </w:rPr>
        <w:tab/>
      </w:r>
    </w:p>
    <w:p w:rsidR="005C2887" w:rsidRPr="00C118A1" w:rsidRDefault="005C2887" w:rsidP="00DB0AD9">
      <w:pPr>
        <w:tabs>
          <w:tab w:val="left" w:pos="1700"/>
          <w:tab w:val="right" w:leader="dot" w:pos="8505"/>
          <w:tab w:val="right" w:leader="dot" w:pos="9639"/>
        </w:tabs>
        <w:kinsoku/>
        <w:overflowPunct/>
        <w:autoSpaceDE/>
        <w:autoSpaceDN/>
        <w:adjustRightInd/>
        <w:snapToGrid/>
        <w:spacing w:after="120"/>
        <w:ind w:left="1134" w:right="1134"/>
        <w:jc w:val="both"/>
        <w:rPr>
          <w:lang w:val="fr-FR"/>
        </w:rPr>
      </w:pPr>
      <w:r w:rsidRPr="00C118A1">
        <w:rPr>
          <w:lang w:val="fr-FR"/>
        </w:rPr>
        <w:t>7.</w:t>
      </w:r>
      <w:r w:rsidRPr="00C118A1">
        <w:rPr>
          <w:lang w:val="fr-FR"/>
        </w:rPr>
        <w:tab/>
        <w:t xml:space="preserve">Date du procès-verbal délivré par ce service : </w:t>
      </w:r>
      <w:r w:rsidRPr="00C118A1">
        <w:rPr>
          <w:lang w:val="fr-FR"/>
        </w:rPr>
        <w:tab/>
      </w:r>
    </w:p>
    <w:p w:rsidR="005C2887" w:rsidRPr="00C118A1" w:rsidRDefault="005C2887" w:rsidP="00DB0AD9">
      <w:pPr>
        <w:tabs>
          <w:tab w:val="left" w:pos="1700"/>
          <w:tab w:val="right" w:leader="dot" w:pos="8505"/>
          <w:tab w:val="right" w:leader="dot" w:pos="9639"/>
        </w:tabs>
        <w:kinsoku/>
        <w:overflowPunct/>
        <w:autoSpaceDE/>
        <w:autoSpaceDN/>
        <w:adjustRightInd/>
        <w:snapToGrid/>
        <w:spacing w:after="120"/>
        <w:ind w:left="1134" w:right="1134"/>
        <w:jc w:val="both"/>
        <w:rPr>
          <w:lang w:val="fr-FR"/>
        </w:rPr>
      </w:pPr>
      <w:r w:rsidRPr="00C118A1">
        <w:rPr>
          <w:lang w:val="fr-FR"/>
        </w:rPr>
        <w:t>8.</w:t>
      </w:r>
      <w:r w:rsidRPr="00C118A1">
        <w:rPr>
          <w:lang w:val="fr-FR"/>
        </w:rPr>
        <w:tab/>
        <w:t>N</w:t>
      </w:r>
      <w:r w:rsidRPr="00C118A1">
        <w:rPr>
          <w:vertAlign w:val="superscript"/>
          <w:lang w:val="fr-FR"/>
        </w:rPr>
        <w:t>o</w:t>
      </w:r>
      <w:r w:rsidRPr="00C118A1">
        <w:rPr>
          <w:lang w:val="fr-FR"/>
        </w:rPr>
        <w:t xml:space="preserve"> du procès-verbal : </w:t>
      </w:r>
      <w:r w:rsidRPr="00C118A1">
        <w:rPr>
          <w:lang w:val="fr-FR"/>
        </w:rPr>
        <w:tab/>
      </w:r>
    </w:p>
    <w:p w:rsidR="005C2887" w:rsidRPr="00C118A1" w:rsidRDefault="005C2887" w:rsidP="00DB0AD9">
      <w:pPr>
        <w:tabs>
          <w:tab w:val="left" w:pos="1700"/>
          <w:tab w:val="right" w:leader="dot" w:pos="8505"/>
          <w:tab w:val="right" w:leader="dot" w:pos="9639"/>
        </w:tabs>
        <w:kinsoku/>
        <w:overflowPunct/>
        <w:autoSpaceDE/>
        <w:autoSpaceDN/>
        <w:adjustRightInd/>
        <w:snapToGrid/>
        <w:spacing w:after="120"/>
        <w:ind w:left="1134" w:right="1134"/>
        <w:jc w:val="both"/>
        <w:rPr>
          <w:lang w:val="fr-FR"/>
        </w:rPr>
      </w:pPr>
      <w:r w:rsidRPr="00C118A1">
        <w:rPr>
          <w:lang w:val="fr-FR"/>
        </w:rPr>
        <w:t>9.</w:t>
      </w:r>
      <w:r w:rsidRPr="00C118A1">
        <w:rPr>
          <w:lang w:val="fr-FR"/>
        </w:rPr>
        <w:tab/>
        <w:t>L</w:t>
      </w:r>
      <w:r>
        <w:rPr>
          <w:lang w:val="fr-FR"/>
        </w:rPr>
        <w:t>’</w:t>
      </w:r>
      <w:r w:rsidRPr="00C118A1">
        <w:rPr>
          <w:lang w:val="fr-FR"/>
        </w:rPr>
        <w:t>homologation est accordée/refusée/étendue/retirée</w:t>
      </w:r>
      <w:r w:rsidRPr="00C118A1">
        <w:rPr>
          <w:sz w:val="18"/>
          <w:szCs w:val="18"/>
          <w:vertAlign w:val="superscript"/>
          <w:lang w:val="fr-FR"/>
        </w:rPr>
        <w:t>2</w:t>
      </w:r>
      <w:r w:rsidRPr="00C118A1">
        <w:rPr>
          <w:lang w:val="fr-FR"/>
        </w:rPr>
        <w:t> :</w:t>
      </w:r>
      <w:r w:rsidRPr="00C118A1">
        <w:rPr>
          <w:lang w:val="fr-FR"/>
        </w:rPr>
        <w:tab/>
      </w:r>
    </w:p>
    <w:p w:rsidR="005C2887" w:rsidRPr="00C118A1" w:rsidRDefault="005C2887" w:rsidP="00DB0AD9">
      <w:pPr>
        <w:tabs>
          <w:tab w:val="left" w:pos="1700"/>
          <w:tab w:val="right" w:leader="dot" w:pos="8505"/>
          <w:tab w:val="right" w:leader="dot" w:pos="9639"/>
        </w:tabs>
        <w:kinsoku/>
        <w:overflowPunct/>
        <w:autoSpaceDE/>
        <w:autoSpaceDN/>
        <w:adjustRightInd/>
        <w:snapToGrid/>
        <w:spacing w:after="120"/>
        <w:ind w:left="1134" w:right="1134"/>
        <w:jc w:val="both"/>
        <w:rPr>
          <w:lang w:val="fr-FR"/>
        </w:rPr>
      </w:pPr>
      <w:r w:rsidRPr="00C118A1">
        <w:rPr>
          <w:lang w:val="fr-FR"/>
        </w:rPr>
        <w:t>10.</w:t>
      </w:r>
      <w:r w:rsidRPr="00C118A1">
        <w:rPr>
          <w:lang w:val="fr-FR"/>
        </w:rPr>
        <w:tab/>
        <w:t>Raisons de l</w:t>
      </w:r>
      <w:r>
        <w:rPr>
          <w:lang w:val="fr-FR"/>
        </w:rPr>
        <w:t>’</w:t>
      </w:r>
      <w:r w:rsidRPr="00C118A1">
        <w:rPr>
          <w:lang w:val="fr-FR"/>
        </w:rPr>
        <w:t xml:space="preserve">extension (éventuellement) : </w:t>
      </w:r>
      <w:r w:rsidRPr="00C118A1">
        <w:rPr>
          <w:lang w:val="fr-FR"/>
        </w:rPr>
        <w:tab/>
      </w:r>
    </w:p>
    <w:p w:rsidR="005C2887" w:rsidRPr="00C118A1" w:rsidRDefault="005C2887" w:rsidP="00DB0AD9">
      <w:pPr>
        <w:tabs>
          <w:tab w:val="left" w:pos="1700"/>
          <w:tab w:val="right" w:leader="dot" w:pos="8505"/>
          <w:tab w:val="right" w:leader="dot" w:pos="9639"/>
        </w:tabs>
        <w:kinsoku/>
        <w:overflowPunct/>
        <w:autoSpaceDE/>
        <w:autoSpaceDN/>
        <w:adjustRightInd/>
        <w:snapToGrid/>
        <w:spacing w:after="120"/>
        <w:ind w:left="1134" w:right="1134"/>
        <w:jc w:val="both"/>
        <w:rPr>
          <w:lang w:val="fr-FR"/>
        </w:rPr>
      </w:pPr>
      <w:r w:rsidRPr="00C118A1">
        <w:rPr>
          <w:lang w:val="fr-FR"/>
        </w:rPr>
        <w:t>11.</w:t>
      </w:r>
      <w:r w:rsidRPr="00C118A1">
        <w:rPr>
          <w:lang w:val="fr-FR"/>
        </w:rPr>
        <w:tab/>
        <w:t xml:space="preserve">Lieu : </w:t>
      </w:r>
      <w:r w:rsidRPr="00C118A1">
        <w:rPr>
          <w:lang w:val="fr-FR"/>
        </w:rPr>
        <w:tab/>
      </w:r>
    </w:p>
    <w:p w:rsidR="005C2887" w:rsidRPr="00C118A1" w:rsidRDefault="005C2887" w:rsidP="00DB0AD9">
      <w:pPr>
        <w:tabs>
          <w:tab w:val="left" w:pos="1700"/>
          <w:tab w:val="right" w:leader="dot" w:pos="8505"/>
          <w:tab w:val="right" w:leader="dot" w:pos="9639"/>
        </w:tabs>
        <w:kinsoku/>
        <w:overflowPunct/>
        <w:autoSpaceDE/>
        <w:autoSpaceDN/>
        <w:adjustRightInd/>
        <w:snapToGrid/>
        <w:spacing w:after="120"/>
        <w:ind w:left="1134" w:right="1134"/>
        <w:jc w:val="both"/>
        <w:rPr>
          <w:lang w:val="fr-FR"/>
        </w:rPr>
      </w:pPr>
      <w:r w:rsidRPr="00C118A1">
        <w:rPr>
          <w:lang w:val="fr-FR"/>
        </w:rPr>
        <w:t>12.</w:t>
      </w:r>
      <w:r w:rsidRPr="00C118A1">
        <w:rPr>
          <w:lang w:val="fr-FR"/>
        </w:rPr>
        <w:tab/>
        <w:t xml:space="preserve">Date : </w:t>
      </w:r>
      <w:r w:rsidRPr="00C118A1">
        <w:rPr>
          <w:lang w:val="fr-FR"/>
        </w:rPr>
        <w:tab/>
      </w:r>
    </w:p>
    <w:p w:rsidR="005C2887" w:rsidRPr="00C118A1" w:rsidRDefault="00DD5885" w:rsidP="00DB0AD9">
      <w:pPr>
        <w:tabs>
          <w:tab w:val="left" w:pos="1700"/>
          <w:tab w:val="right" w:leader="dot" w:pos="8505"/>
          <w:tab w:val="right" w:leader="dot" w:pos="9639"/>
        </w:tabs>
        <w:kinsoku/>
        <w:overflowPunct/>
        <w:autoSpaceDE/>
        <w:autoSpaceDN/>
        <w:adjustRightInd/>
        <w:snapToGrid/>
        <w:spacing w:after="120"/>
        <w:ind w:left="1134" w:right="1134"/>
        <w:jc w:val="both"/>
        <w:rPr>
          <w:lang w:val="fr-FR"/>
        </w:rPr>
      </w:pPr>
      <w:r>
        <w:rPr>
          <w:lang w:val="fr-FR"/>
        </w:rPr>
        <w:t>13.</w:t>
      </w:r>
      <w:r>
        <w:rPr>
          <w:lang w:val="fr-FR"/>
        </w:rPr>
        <w:tab/>
        <w:t xml:space="preserve">Signature : </w:t>
      </w:r>
      <w:r w:rsidR="00DB0AD9">
        <w:rPr>
          <w:lang w:val="fr-FR"/>
        </w:rPr>
        <w:tab/>
      </w:r>
    </w:p>
    <w:p w:rsidR="005C2887" w:rsidRPr="00C118A1" w:rsidRDefault="005C2887" w:rsidP="00DD5885">
      <w:pPr>
        <w:pStyle w:val="SingleTxtG"/>
        <w:ind w:left="1701" w:hanging="567"/>
        <w:rPr>
          <w:lang w:val="fr-FR"/>
        </w:rPr>
      </w:pPr>
      <w:r w:rsidRPr="00C118A1">
        <w:rPr>
          <w:lang w:val="fr-FR"/>
        </w:rPr>
        <w:t>14.</w:t>
      </w:r>
      <w:r w:rsidRPr="00C118A1">
        <w:rPr>
          <w:lang w:val="fr-FR"/>
        </w:rPr>
        <w:tab/>
        <w:t>Des copies des documents soumis dans le dossier d</w:t>
      </w:r>
      <w:r>
        <w:rPr>
          <w:lang w:val="fr-FR"/>
        </w:rPr>
        <w:t>’</w:t>
      </w:r>
      <w:r w:rsidRPr="00C118A1">
        <w:rPr>
          <w:lang w:val="fr-FR"/>
        </w:rPr>
        <w:t>homologation ou d</w:t>
      </w:r>
      <w:r>
        <w:rPr>
          <w:lang w:val="fr-FR"/>
        </w:rPr>
        <w:t>’</w:t>
      </w:r>
      <w:r w:rsidRPr="00C118A1">
        <w:rPr>
          <w:lang w:val="fr-FR"/>
        </w:rPr>
        <w:t>extension de l</w:t>
      </w:r>
      <w:r>
        <w:rPr>
          <w:lang w:val="fr-FR"/>
        </w:rPr>
        <w:t>’</w:t>
      </w:r>
      <w:r w:rsidRPr="00C118A1">
        <w:rPr>
          <w:lang w:val="fr-FR"/>
        </w:rPr>
        <w:t>homologation peuvent être obtenues sur demande. ».</w:t>
      </w:r>
    </w:p>
    <w:p w:rsidR="005C2887" w:rsidRDefault="005C2887" w:rsidP="00DB0AD9">
      <w:pPr>
        <w:pStyle w:val="HChG"/>
      </w:pPr>
      <w:r w:rsidRPr="00C118A1">
        <w:rPr>
          <w:lang w:val="fr-FR"/>
        </w:rPr>
        <w:lastRenderedPageBreak/>
        <w:tab/>
        <w:t>II.</w:t>
      </w:r>
      <w:r w:rsidRPr="00C118A1">
        <w:rPr>
          <w:lang w:val="fr-FR"/>
        </w:rPr>
        <w:tab/>
        <w:t>Justification</w:t>
      </w:r>
    </w:p>
    <w:p w:rsidR="005C2887" w:rsidRPr="00C118A1" w:rsidRDefault="005C2887" w:rsidP="00DB0AD9">
      <w:pPr>
        <w:pStyle w:val="SingleTxtG"/>
      </w:pPr>
      <w:r w:rsidRPr="00C118A1">
        <w:rPr>
          <w:lang w:val="fr-FR"/>
        </w:rPr>
        <w:t>1.</w:t>
      </w:r>
      <w:r w:rsidRPr="00C118A1">
        <w:rPr>
          <w:lang w:val="fr-FR"/>
        </w:rPr>
        <w:tab/>
        <w:t xml:space="preserve">La présente proposition </w:t>
      </w:r>
      <w:r>
        <w:rPr>
          <w:lang w:val="fr-FR"/>
        </w:rPr>
        <w:t>vise à modifier le</w:t>
      </w:r>
      <w:r w:rsidRPr="00C118A1">
        <w:rPr>
          <w:lang w:val="fr-FR"/>
        </w:rPr>
        <w:t xml:space="preserve"> certificat d</w:t>
      </w:r>
      <w:r>
        <w:rPr>
          <w:lang w:val="fr-FR"/>
        </w:rPr>
        <w:t>’</w:t>
      </w:r>
      <w:r w:rsidRPr="00C118A1">
        <w:rPr>
          <w:lang w:val="fr-FR"/>
        </w:rPr>
        <w:t>homologation d</w:t>
      </w:r>
      <w:r>
        <w:rPr>
          <w:lang w:val="fr-FR"/>
        </w:rPr>
        <w:t xml:space="preserve">’un type d’équipement GPL du </w:t>
      </w:r>
      <w:r w:rsidRPr="00C118A1">
        <w:rPr>
          <w:lang w:val="fr-FR"/>
        </w:rPr>
        <w:t xml:space="preserve">Règlement </w:t>
      </w:r>
      <w:r>
        <w:rPr>
          <w:lang w:val="fr-FR"/>
        </w:rPr>
        <w:t xml:space="preserve">ONU </w:t>
      </w:r>
      <w:r w:rsidRPr="00C118A1">
        <w:rPr>
          <w:rFonts w:eastAsia="MS Mincho"/>
          <w:lang w:val="fr-FR"/>
        </w:rPr>
        <w:t>n</w:t>
      </w:r>
      <w:r w:rsidRPr="00C118A1">
        <w:rPr>
          <w:rFonts w:eastAsia="MS Mincho"/>
          <w:vertAlign w:val="superscript"/>
          <w:lang w:val="fr-FR"/>
        </w:rPr>
        <w:t>o</w:t>
      </w:r>
      <w:r w:rsidRPr="00C118A1">
        <w:rPr>
          <w:lang w:val="fr-FR"/>
        </w:rPr>
        <w:t xml:space="preserve"> 67 </w:t>
      </w:r>
      <w:r>
        <w:rPr>
          <w:lang w:val="fr-FR"/>
        </w:rPr>
        <w:t xml:space="preserve">et à améliorer le texte du document </w:t>
      </w:r>
      <w:r w:rsidRPr="004077CC">
        <w:rPr>
          <w:lang w:val="fr-FR"/>
        </w:rPr>
        <w:t>ECE/TRANS/WP.29/GRSG/2018/8</w:t>
      </w:r>
      <w:r>
        <w:rPr>
          <w:lang w:val="fr-FR"/>
        </w:rPr>
        <w:t>, soumis par l’expert de la Pologne à la 114</w:t>
      </w:r>
      <w:r w:rsidRPr="00AA29FB">
        <w:rPr>
          <w:vertAlign w:val="superscript"/>
          <w:lang w:val="fr-FR"/>
        </w:rPr>
        <w:t>e</w:t>
      </w:r>
      <w:r w:rsidR="00DB0AD9">
        <w:rPr>
          <w:lang w:val="fr-FR"/>
        </w:rPr>
        <w:t> </w:t>
      </w:r>
      <w:r>
        <w:rPr>
          <w:lang w:val="fr-FR"/>
        </w:rPr>
        <w:t>session du</w:t>
      </w:r>
      <w:r w:rsidR="00DB0AD9">
        <w:rPr>
          <w:lang w:val="fr-FR"/>
        </w:rPr>
        <w:t> </w:t>
      </w:r>
      <w:r>
        <w:rPr>
          <w:lang w:val="fr-FR"/>
        </w:rPr>
        <w:t>GRSG.</w:t>
      </w:r>
    </w:p>
    <w:p w:rsidR="005C2887" w:rsidRDefault="005C2887" w:rsidP="00DB0AD9">
      <w:pPr>
        <w:pStyle w:val="SingleTxtG"/>
        <w:rPr>
          <w:lang w:val="fr-FR"/>
        </w:rPr>
      </w:pPr>
      <w:r>
        <w:rPr>
          <w:lang w:val="fr-FR"/>
        </w:rPr>
        <w:t>2.</w:t>
      </w:r>
      <w:r>
        <w:rPr>
          <w:lang w:val="fr-FR"/>
        </w:rPr>
        <w:tab/>
        <w:t xml:space="preserve">La proposition de retirer la marque de fabrique ou de commerce du paragraphe 2.4 (« type de réservoir ») n’est pas à propos, car le fabricant peut renseigner plus d’une marque de fabrique dans le même certificat d’homologation (du fait de la marque de pluriel entre parenthèses). Par ailleurs, il doit soumettre une demande d’extension d’homologation lorsqu’il ajoute </w:t>
      </w:r>
      <w:r w:rsidR="00CC26D8">
        <w:rPr>
          <w:lang w:val="fr-FR"/>
        </w:rPr>
        <w:t xml:space="preserve">une </w:t>
      </w:r>
      <w:r>
        <w:rPr>
          <w:lang w:val="fr-FR"/>
        </w:rPr>
        <w:t>nouvelle marque de fabrique puisque la rubrique 2 du certificat d’homologation de l’annexe 2B doit être modifiée en conséquence (il en va ainsi pour tous les éléments et non uniquement le réservoir). En conclusion, la marque de fabrique doit être conservée au paragraphe 2.4.</w:t>
      </w:r>
    </w:p>
    <w:p w:rsidR="005C2887" w:rsidRDefault="005C2887" w:rsidP="00DB0AD9">
      <w:pPr>
        <w:pStyle w:val="SingleTxtG"/>
        <w:rPr>
          <w:lang w:val="fr-FR"/>
        </w:rPr>
      </w:pPr>
      <w:r>
        <w:rPr>
          <w:lang w:val="fr-FR"/>
        </w:rPr>
        <w:t>3.</w:t>
      </w:r>
      <w:r>
        <w:rPr>
          <w:lang w:val="fr-FR"/>
        </w:rPr>
        <w:tab/>
        <w:t xml:space="preserve">Il est proposé ici d’ajouter de nouvelles rubriques au formulaire de communication (annexe 2B) : le type (rubrique 1.1) et la pression de travail (rubrique 1.2). L’ajout des rubriques « variante » et « version » (tel que proposé par l’expert de Pologne) créerait un précédent car ces rubriques sont absentes des autres Règlements ONU. De plus, cet ajout alourdirait les tâches administratives du fabricant sans pour autant garantir la sécurité (contrairement à la proposition présentée par les Pays-Bas et l’AEGPL dans le document informel </w:t>
      </w:r>
      <w:r w:rsidRPr="00466416">
        <w:rPr>
          <w:lang w:val="fr-FR"/>
        </w:rPr>
        <w:t>GRSG 113-36</w:t>
      </w:r>
      <w:r>
        <w:rPr>
          <w:lang w:val="fr-FR"/>
        </w:rPr>
        <w:t xml:space="preserve"> et approuvée à la 113</w:t>
      </w:r>
      <w:r w:rsidRPr="00197FA9">
        <w:rPr>
          <w:vertAlign w:val="superscript"/>
          <w:lang w:val="fr-FR"/>
        </w:rPr>
        <w:t>e</w:t>
      </w:r>
      <w:r w:rsidR="00FD2C02">
        <w:rPr>
          <w:lang w:val="fr-FR"/>
        </w:rPr>
        <w:t> </w:t>
      </w:r>
      <w:r>
        <w:rPr>
          <w:lang w:val="fr-FR"/>
        </w:rPr>
        <w:t>session du GRSG, qui améliorait le</w:t>
      </w:r>
      <w:r w:rsidR="00FD2C02">
        <w:rPr>
          <w:lang w:val="fr-FR"/>
        </w:rPr>
        <w:t> </w:t>
      </w:r>
      <w:r>
        <w:rPr>
          <w:lang w:val="fr-FR"/>
        </w:rPr>
        <w:t xml:space="preserve">Règlement ONU </w:t>
      </w:r>
      <w:r w:rsidRPr="006871F7">
        <w:rPr>
          <w:lang w:val="fr-FR"/>
        </w:rPr>
        <w:t>n</w:t>
      </w:r>
      <w:r w:rsidRPr="006871F7">
        <w:rPr>
          <w:vertAlign w:val="superscript"/>
          <w:lang w:val="fr-FR"/>
        </w:rPr>
        <w:t>o</w:t>
      </w:r>
      <w:r w:rsidR="00FD2C02">
        <w:rPr>
          <w:lang w:val="fr-FR"/>
        </w:rPr>
        <w:t> </w:t>
      </w:r>
      <w:r>
        <w:rPr>
          <w:lang w:val="fr-FR"/>
        </w:rPr>
        <w:t>67). Le classement par type, variante et version est courant pour les véhicules, mais pas pour les éléments. Ici, il convient uniquement d’ajouter la désignation de type et la pression de travail.</w:t>
      </w:r>
    </w:p>
    <w:p w:rsidR="00DB0AD9" w:rsidRPr="00DB0AD9" w:rsidRDefault="00DB0AD9" w:rsidP="00DB0AD9">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B0AD9" w:rsidRPr="00DB0AD9" w:rsidSect="00D338F1">
      <w:headerReference w:type="even" r:id="rId15"/>
      <w:headerReference w:type="default" r:id="rId16"/>
      <w:footerReference w:type="even" r:id="rId17"/>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568" w:rsidRDefault="00B40568" w:rsidP="00F95C08">
      <w:pPr>
        <w:spacing w:line="240" w:lineRule="auto"/>
      </w:pPr>
    </w:p>
  </w:endnote>
  <w:endnote w:type="continuationSeparator" w:id="0">
    <w:p w:rsidR="00B40568" w:rsidRPr="00AC3823" w:rsidRDefault="00B40568" w:rsidP="00AC3823">
      <w:pPr>
        <w:pStyle w:val="Footer"/>
      </w:pPr>
    </w:p>
  </w:endnote>
  <w:endnote w:type="continuationNotice" w:id="1">
    <w:p w:rsidR="00B40568" w:rsidRDefault="00B405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CDE" w:rsidRPr="00186CDE" w:rsidRDefault="00186CDE" w:rsidP="00186CDE">
    <w:pPr>
      <w:pStyle w:val="Footer"/>
      <w:tabs>
        <w:tab w:val="right" w:pos="9638"/>
      </w:tabs>
    </w:pPr>
    <w:r w:rsidRPr="00186CDE">
      <w:rPr>
        <w:b/>
        <w:sz w:val="18"/>
      </w:rPr>
      <w:fldChar w:fldCharType="begin"/>
    </w:r>
    <w:r w:rsidRPr="00186CDE">
      <w:rPr>
        <w:b/>
        <w:sz w:val="18"/>
      </w:rPr>
      <w:instrText xml:space="preserve"> PAGE  \* MERGEFORMAT </w:instrText>
    </w:r>
    <w:r w:rsidRPr="00186CDE">
      <w:rPr>
        <w:b/>
        <w:sz w:val="18"/>
      </w:rPr>
      <w:fldChar w:fldCharType="separate"/>
    </w:r>
    <w:r w:rsidR="00D338F1">
      <w:rPr>
        <w:b/>
        <w:noProof/>
        <w:sz w:val="18"/>
      </w:rPr>
      <w:t>2</w:t>
    </w:r>
    <w:r w:rsidRPr="00186CDE">
      <w:rPr>
        <w:b/>
        <w:sz w:val="18"/>
      </w:rPr>
      <w:fldChar w:fldCharType="end"/>
    </w:r>
    <w:r>
      <w:rPr>
        <w:b/>
        <w:sz w:val="18"/>
      </w:rPr>
      <w:tab/>
    </w:r>
    <w:r>
      <w:t>GE.18-12073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CDE" w:rsidRPr="00186CDE" w:rsidRDefault="00186CDE" w:rsidP="00186CDE">
    <w:pPr>
      <w:pStyle w:val="Footer"/>
      <w:tabs>
        <w:tab w:val="right" w:pos="9638"/>
      </w:tabs>
      <w:rPr>
        <w:b/>
        <w:sz w:val="18"/>
      </w:rPr>
    </w:pPr>
    <w:r>
      <w:t>GE.18-12073</w:t>
    </w:r>
    <w:r>
      <w:tab/>
    </w:r>
    <w:r w:rsidRPr="00186CDE">
      <w:rPr>
        <w:b/>
        <w:sz w:val="18"/>
      </w:rPr>
      <w:fldChar w:fldCharType="begin"/>
    </w:r>
    <w:r w:rsidRPr="00186CDE">
      <w:rPr>
        <w:b/>
        <w:sz w:val="18"/>
      </w:rPr>
      <w:instrText xml:space="preserve"> PAGE  \* MERGEFORMAT </w:instrText>
    </w:r>
    <w:r w:rsidRPr="00186CDE">
      <w:rPr>
        <w:b/>
        <w:sz w:val="18"/>
      </w:rPr>
      <w:fldChar w:fldCharType="separate"/>
    </w:r>
    <w:r w:rsidR="00A82572">
      <w:rPr>
        <w:b/>
        <w:noProof/>
        <w:sz w:val="18"/>
      </w:rPr>
      <w:t>3</w:t>
    </w:r>
    <w:r w:rsidRPr="00186CD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186CDE" w:rsidRDefault="00186CDE" w:rsidP="00186CDE">
    <w:pPr>
      <w:pStyle w:val="Footer"/>
      <w:spacing w:before="120"/>
      <w:rPr>
        <w:sz w:val="20"/>
      </w:rPr>
    </w:pPr>
    <w:r>
      <w:rPr>
        <w:sz w:val="20"/>
      </w:rPr>
      <w:t>GE.</w:t>
    </w:r>
    <w:r w:rsidR="000D3EE9">
      <w:rPr>
        <w:noProof/>
        <w:lang w:eastAsia="fr-CH"/>
      </w:rPr>
      <w:drawing>
        <wp:anchor distT="0" distB="0" distL="114300" distR="114300" simplePos="0" relativeHeight="251665408"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12073  (</w:t>
    </w:r>
    <w:proofErr w:type="gramEnd"/>
    <w:r>
      <w:rPr>
        <w:sz w:val="20"/>
      </w:rPr>
      <w:t>F)    220818    280818</w:t>
    </w:r>
    <w:r>
      <w:rPr>
        <w:sz w:val="20"/>
      </w:rPr>
      <w:br/>
    </w:r>
    <w:r w:rsidRPr="00186CDE">
      <w:rPr>
        <w:rFonts w:ascii="C39T30Lfz" w:hAnsi="C39T30Lfz"/>
        <w:sz w:val="56"/>
      </w:rPr>
      <w:t></w:t>
    </w:r>
    <w:r w:rsidRPr="00186CDE">
      <w:rPr>
        <w:rFonts w:ascii="C39T30Lfz" w:hAnsi="C39T30Lfz"/>
        <w:sz w:val="56"/>
      </w:rPr>
      <w:t></w:t>
    </w:r>
    <w:r w:rsidRPr="00186CDE">
      <w:rPr>
        <w:rFonts w:ascii="C39T30Lfz" w:hAnsi="C39T30Lfz"/>
        <w:sz w:val="56"/>
      </w:rPr>
      <w:t></w:t>
    </w:r>
    <w:r w:rsidRPr="00186CDE">
      <w:rPr>
        <w:rFonts w:ascii="C39T30Lfz" w:hAnsi="C39T30Lfz"/>
        <w:sz w:val="56"/>
      </w:rPr>
      <w:t></w:t>
    </w:r>
    <w:r w:rsidRPr="00186CDE">
      <w:rPr>
        <w:rFonts w:ascii="C39T30Lfz" w:hAnsi="C39T30Lfz"/>
        <w:sz w:val="56"/>
      </w:rPr>
      <w:t></w:t>
    </w:r>
    <w:r w:rsidRPr="00186CDE">
      <w:rPr>
        <w:rFonts w:ascii="C39T30Lfz" w:hAnsi="C39T30Lfz"/>
        <w:sz w:val="56"/>
      </w:rPr>
      <w:t></w:t>
    </w:r>
    <w:r w:rsidRPr="00186CDE">
      <w:rPr>
        <w:rFonts w:ascii="C39T30Lfz" w:hAnsi="C39T30Lfz"/>
        <w:sz w:val="56"/>
      </w:rPr>
      <w:t></w:t>
    </w:r>
    <w:r w:rsidRPr="00186CDE">
      <w:rPr>
        <w:rFonts w:ascii="C39T30Lfz" w:hAnsi="C39T30Lfz"/>
        <w:sz w:val="56"/>
      </w:rPr>
      <w:t></w:t>
    </w:r>
    <w:r w:rsidRPr="00186CDE">
      <w:rPr>
        <w:rFonts w:ascii="C39T30Lfz" w:hAnsi="C39T30Lfz"/>
        <w:sz w:val="56"/>
      </w:rPr>
      <w:t></w:t>
    </w:r>
    <w:r>
      <w:rPr>
        <w:noProof/>
        <w:sz w:val="20"/>
        <w:lang w:eastAsia="fr-CH"/>
      </w:rPr>
      <w:drawing>
        <wp:anchor distT="0" distB="0" distL="114300" distR="114300" simplePos="0" relativeHeight="25165721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TRANS/WP.29/GRSG/2018/2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8/2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8F1" w:rsidRPr="00186CDE" w:rsidRDefault="00D338F1" w:rsidP="00186CDE">
    <w:pPr>
      <w:pStyle w:val="Footer"/>
      <w:tabs>
        <w:tab w:val="right" w:pos="9638"/>
      </w:tabs>
    </w:pPr>
    <w:r w:rsidRPr="00186CDE">
      <w:rPr>
        <w:b/>
        <w:sz w:val="18"/>
      </w:rPr>
      <w:fldChar w:fldCharType="begin"/>
    </w:r>
    <w:r w:rsidRPr="00186CDE">
      <w:rPr>
        <w:b/>
        <w:sz w:val="18"/>
      </w:rPr>
      <w:instrText xml:space="preserve"> PAGE  \* MERGEFORMAT </w:instrText>
    </w:r>
    <w:r w:rsidRPr="00186CDE">
      <w:rPr>
        <w:b/>
        <w:sz w:val="18"/>
      </w:rPr>
      <w:fldChar w:fldCharType="separate"/>
    </w:r>
    <w:r w:rsidR="00A82572">
      <w:rPr>
        <w:b/>
        <w:noProof/>
        <w:sz w:val="18"/>
      </w:rPr>
      <w:t>4</w:t>
    </w:r>
    <w:r w:rsidRPr="00186CDE">
      <w:rPr>
        <w:b/>
        <w:sz w:val="18"/>
      </w:rPr>
      <w:fldChar w:fldCharType="end"/>
    </w:r>
    <w:r>
      <w:rPr>
        <w:b/>
        <w:sz w:val="18"/>
      </w:rPr>
      <w:tab/>
    </w:r>
    <w:r>
      <w:t>GE.18-12073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568" w:rsidRPr="00AC3823" w:rsidRDefault="00B40568" w:rsidP="00AC3823">
      <w:pPr>
        <w:pStyle w:val="Footer"/>
        <w:tabs>
          <w:tab w:val="right" w:pos="2155"/>
        </w:tabs>
        <w:spacing w:after="80" w:line="240" w:lineRule="atLeast"/>
        <w:ind w:left="680"/>
        <w:rPr>
          <w:u w:val="single"/>
        </w:rPr>
      </w:pPr>
      <w:r>
        <w:rPr>
          <w:u w:val="single"/>
        </w:rPr>
        <w:tab/>
      </w:r>
    </w:p>
  </w:footnote>
  <w:footnote w:type="continuationSeparator" w:id="0">
    <w:p w:rsidR="00B40568" w:rsidRPr="00AC3823" w:rsidRDefault="00B40568" w:rsidP="00AC3823">
      <w:pPr>
        <w:pStyle w:val="Footer"/>
        <w:tabs>
          <w:tab w:val="right" w:pos="2155"/>
        </w:tabs>
        <w:spacing w:after="80" w:line="240" w:lineRule="atLeast"/>
        <w:ind w:left="680"/>
        <w:rPr>
          <w:u w:val="single"/>
        </w:rPr>
      </w:pPr>
      <w:r>
        <w:rPr>
          <w:u w:val="single"/>
        </w:rPr>
        <w:tab/>
      </w:r>
    </w:p>
  </w:footnote>
  <w:footnote w:type="continuationNotice" w:id="1">
    <w:p w:rsidR="00B40568" w:rsidRPr="00AC3823" w:rsidRDefault="00B40568">
      <w:pPr>
        <w:spacing w:line="240" w:lineRule="auto"/>
        <w:rPr>
          <w:sz w:val="2"/>
          <w:szCs w:val="2"/>
        </w:rPr>
      </w:pPr>
    </w:p>
  </w:footnote>
  <w:footnote w:id="2">
    <w:p w:rsidR="00DF4310" w:rsidRPr="00DF4310" w:rsidRDefault="00DF4310">
      <w:pPr>
        <w:pStyle w:val="FootnoteText"/>
      </w:pPr>
      <w:r>
        <w:rPr>
          <w:rStyle w:val="FootnoteReference"/>
        </w:rPr>
        <w:tab/>
      </w:r>
      <w:r w:rsidRPr="00DF4310">
        <w:rPr>
          <w:rStyle w:val="FootnoteReference"/>
          <w:sz w:val="20"/>
          <w:vertAlign w:val="baseline"/>
        </w:rPr>
        <w:t>*</w:t>
      </w:r>
      <w:r>
        <w:rPr>
          <w:rStyle w:val="FootnoteReference"/>
          <w:sz w:val="20"/>
          <w:vertAlign w:val="baseline"/>
        </w:rPr>
        <w:tab/>
      </w:r>
      <w:r>
        <w:t>Nouveau tirage pour raisons techniques (31 août 2018).</w:t>
      </w:r>
    </w:p>
  </w:footnote>
  <w:footnote w:id="3">
    <w:p w:rsidR="00916334" w:rsidRPr="00916334" w:rsidRDefault="00916334">
      <w:pPr>
        <w:pStyle w:val="FootnoteText"/>
      </w:pPr>
      <w:r>
        <w:rPr>
          <w:rStyle w:val="FootnoteReference"/>
        </w:rPr>
        <w:tab/>
      </w:r>
      <w:r w:rsidRPr="00916334">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2014</w:t>
      </w:r>
      <w:r>
        <w:rPr>
          <w:lang w:val="fr-FR"/>
        </w:rPr>
        <w:noBreakHyphen/>
        <w:t xml:space="preserve">2018 (ECE/TRANS/240, par. 105, et ECE/TRANS/2014/26, activité </w:t>
      </w:r>
      <w:r w:rsidRPr="00552DEE">
        <w:rPr>
          <w:lang w:val="fr-FR"/>
        </w:rPr>
        <w:t>02.4</w:t>
      </w:r>
      <w:r>
        <w:rPr>
          <w:lang w:val="fr-FR"/>
        </w:rPr>
        <w:t>), le Forum mondial a pour mission d’élaborer, d’harmoniser et de mettre à jour les Règlements ONU en vue d’améliorer les caractéristiques fonctionnelles des véhicules. Le présent document est soumis en vertu de ce mandat.</w:t>
      </w:r>
    </w:p>
  </w:footnote>
  <w:footnote w:id="4">
    <w:p w:rsidR="00D05775" w:rsidRDefault="00D05775">
      <w:pPr>
        <w:pStyle w:val="FootnoteText"/>
      </w:pPr>
      <w:r>
        <w:tab/>
      </w:r>
      <w:r>
        <w:rPr>
          <w:rStyle w:val="FootnoteReference"/>
        </w:rPr>
        <w:footnoteRef/>
      </w:r>
      <w:r>
        <w:tab/>
      </w:r>
      <w:r w:rsidRPr="000A35E8">
        <w:t>Numéro distinctif du pays qui a délivré/étendu/refusé/retiré l</w:t>
      </w:r>
      <w:r>
        <w:t>’</w:t>
      </w:r>
      <w:r w:rsidRPr="000A35E8">
        <w:t>homolog</w:t>
      </w:r>
      <w:r>
        <w:t xml:space="preserve">ation (voir les dispositions du présent </w:t>
      </w:r>
      <w:r w:rsidRPr="000A35E8">
        <w:t>Règlement relatives à l</w:t>
      </w:r>
      <w:r>
        <w:t>’</w:t>
      </w:r>
      <w:r w:rsidRPr="000A35E8">
        <w:t>homologation)</w:t>
      </w:r>
      <w:r>
        <w:t>.</w:t>
      </w:r>
    </w:p>
  </w:footnote>
  <w:footnote w:id="5">
    <w:p w:rsidR="004A5760" w:rsidRDefault="004A5760" w:rsidP="004A5760">
      <w:pPr>
        <w:pStyle w:val="FootnoteText"/>
      </w:pPr>
      <w:r>
        <w:tab/>
      </w:r>
      <w:r>
        <w:rPr>
          <w:rStyle w:val="FootnoteReference"/>
        </w:rPr>
        <w:footnoteRef/>
      </w:r>
      <w:r>
        <w:tab/>
      </w:r>
      <w:r w:rsidRPr="005A48EA">
        <w:rPr>
          <w:lang w:val="fr-FR"/>
        </w:rPr>
        <w:t>Biffer les mentions inutiles.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CDE" w:rsidRPr="00186CDE" w:rsidRDefault="00D635EB">
    <w:pPr>
      <w:pStyle w:val="Header"/>
    </w:pPr>
    <w:r>
      <w:fldChar w:fldCharType="begin"/>
    </w:r>
    <w:r>
      <w:instrText xml:space="preserve"> TITLE  \* MERGEFORMAT </w:instrText>
    </w:r>
    <w:r>
      <w:fldChar w:fldCharType="separate"/>
    </w:r>
    <w:r w:rsidR="007C7344">
      <w:t>ECE/TRANS/WP.29/GRSG/2018/20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CDE" w:rsidRPr="00186CDE" w:rsidRDefault="00D635EB" w:rsidP="00186CDE">
    <w:pPr>
      <w:pStyle w:val="Header"/>
      <w:jc w:val="right"/>
    </w:pPr>
    <w:r>
      <w:fldChar w:fldCharType="begin"/>
    </w:r>
    <w:r>
      <w:instrText xml:space="preserve"> TITLE  \* </w:instrText>
    </w:r>
    <w:r>
      <w:instrText xml:space="preserve">MERGEFORMAT </w:instrText>
    </w:r>
    <w:r>
      <w:fldChar w:fldCharType="separate"/>
    </w:r>
    <w:r w:rsidR="007C7344">
      <w:t>ECE/TRANS/WP.29/GRSG/2018/20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8F1" w:rsidRPr="00186CDE" w:rsidRDefault="00D635EB">
    <w:pPr>
      <w:pStyle w:val="Header"/>
    </w:pPr>
    <w:r>
      <w:fldChar w:fldCharType="begin"/>
    </w:r>
    <w:r>
      <w:instrText xml:space="preserve"> TITLE  \* MERGEFORMAT </w:instrText>
    </w:r>
    <w:r>
      <w:fldChar w:fldCharType="separate"/>
    </w:r>
    <w:r w:rsidR="007C7344">
      <w:t>ECE/TRANS/WP.29/GRSG/2018/20</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8F1" w:rsidRPr="00186CDE" w:rsidRDefault="00D635EB" w:rsidP="00186CDE">
    <w:pPr>
      <w:pStyle w:val="Header"/>
      <w:jc w:val="right"/>
    </w:pPr>
    <w:r>
      <w:fldChar w:fldCharType="begin"/>
    </w:r>
    <w:r>
      <w:instrText xml:space="preserve"> TITLE  </w:instrText>
    </w:r>
    <w:r>
      <w:instrText xml:space="preserve">\* MERGEFORMAT </w:instrText>
    </w:r>
    <w:r>
      <w:fldChar w:fldCharType="separate"/>
    </w:r>
    <w:r w:rsidR="007C7344">
      <w:t>ECE/TRANS/WP.29/GRSG/2018/20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68"/>
    <w:rsid w:val="00017F94"/>
    <w:rsid w:val="00023842"/>
    <w:rsid w:val="000334F9"/>
    <w:rsid w:val="0007796D"/>
    <w:rsid w:val="00096F73"/>
    <w:rsid w:val="000A0CF4"/>
    <w:rsid w:val="000B7790"/>
    <w:rsid w:val="000D3EE9"/>
    <w:rsid w:val="00111F2F"/>
    <w:rsid w:val="001433FD"/>
    <w:rsid w:val="0014365E"/>
    <w:rsid w:val="001541D3"/>
    <w:rsid w:val="00176178"/>
    <w:rsid w:val="00186CDE"/>
    <w:rsid w:val="001F525A"/>
    <w:rsid w:val="00223272"/>
    <w:rsid w:val="0024779E"/>
    <w:rsid w:val="0027676E"/>
    <w:rsid w:val="002832AC"/>
    <w:rsid w:val="00295CCA"/>
    <w:rsid w:val="002B473F"/>
    <w:rsid w:val="002D7C93"/>
    <w:rsid w:val="0030773A"/>
    <w:rsid w:val="003A54B5"/>
    <w:rsid w:val="00441C3B"/>
    <w:rsid w:val="00446B0A"/>
    <w:rsid w:val="00446FE5"/>
    <w:rsid w:val="00452396"/>
    <w:rsid w:val="004A5760"/>
    <w:rsid w:val="004D6E30"/>
    <w:rsid w:val="004E468C"/>
    <w:rsid w:val="00506BE1"/>
    <w:rsid w:val="005316B0"/>
    <w:rsid w:val="005505B7"/>
    <w:rsid w:val="0056269D"/>
    <w:rsid w:val="00571866"/>
    <w:rsid w:val="00573BE5"/>
    <w:rsid w:val="00586ED3"/>
    <w:rsid w:val="00596AA9"/>
    <w:rsid w:val="005C2887"/>
    <w:rsid w:val="005F2353"/>
    <w:rsid w:val="006655E4"/>
    <w:rsid w:val="00706363"/>
    <w:rsid w:val="0071601D"/>
    <w:rsid w:val="0074674C"/>
    <w:rsid w:val="007923B3"/>
    <w:rsid w:val="007A62E6"/>
    <w:rsid w:val="007C7344"/>
    <w:rsid w:val="0080684C"/>
    <w:rsid w:val="00871C75"/>
    <w:rsid w:val="008776DC"/>
    <w:rsid w:val="00916334"/>
    <w:rsid w:val="009705C8"/>
    <w:rsid w:val="009C1CF4"/>
    <w:rsid w:val="009C434F"/>
    <w:rsid w:val="00A00085"/>
    <w:rsid w:val="00A30353"/>
    <w:rsid w:val="00A82572"/>
    <w:rsid w:val="00AA113A"/>
    <w:rsid w:val="00AA704A"/>
    <w:rsid w:val="00AC3823"/>
    <w:rsid w:val="00AE323C"/>
    <w:rsid w:val="00B0017F"/>
    <w:rsid w:val="00B00181"/>
    <w:rsid w:val="00B00B0D"/>
    <w:rsid w:val="00B2117A"/>
    <w:rsid w:val="00B40568"/>
    <w:rsid w:val="00B765F7"/>
    <w:rsid w:val="00BA0CA9"/>
    <w:rsid w:val="00BB13E7"/>
    <w:rsid w:val="00C02897"/>
    <w:rsid w:val="00C56AE9"/>
    <w:rsid w:val="00CC26D8"/>
    <w:rsid w:val="00D05775"/>
    <w:rsid w:val="00D338F1"/>
    <w:rsid w:val="00D3439C"/>
    <w:rsid w:val="00D635EB"/>
    <w:rsid w:val="00DB0AD9"/>
    <w:rsid w:val="00DB1831"/>
    <w:rsid w:val="00DD3BFD"/>
    <w:rsid w:val="00DD5885"/>
    <w:rsid w:val="00DF4310"/>
    <w:rsid w:val="00DF6678"/>
    <w:rsid w:val="00EF2E22"/>
    <w:rsid w:val="00F660DF"/>
    <w:rsid w:val="00F95C08"/>
    <w:rsid w:val="00FD2C0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AA0C2F8-0C38-4F7F-ABBC-AC0976A7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table" w:customStyle="1" w:styleId="Grilledutableau1">
    <w:name w:val="Grille du tableau1"/>
    <w:basedOn w:val="TableNormal"/>
    <w:next w:val="TableGrid"/>
    <w:rsid w:val="005C2887"/>
    <w:pPr>
      <w:suppressAutoHyphens/>
      <w:spacing w:after="0" w:line="240" w:lineRule="atLeast"/>
    </w:pPr>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A576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4858</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ECE/TRANS/WP.29/GRSG/2018/20</vt:lpstr>
      <vt:lpstr>ECE/TRANS/WP.29/GRSG/2018/20</vt:lpstr>
    </vt:vector>
  </TitlesOfParts>
  <Company>DCM</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ECE/TRANS/WP.29/GRSG/2018/20</dc:title>
  <dc:subject/>
  <dc:creator>Christine  CHAUTAGNAT</dc:creator>
  <cp:keywords/>
  <cp:lastModifiedBy>Benedicte Boudol</cp:lastModifiedBy>
  <cp:revision>2</cp:revision>
  <cp:lastPrinted>2018-08-28T06:35:00Z</cp:lastPrinted>
  <dcterms:created xsi:type="dcterms:W3CDTF">2018-09-05T14:43:00Z</dcterms:created>
  <dcterms:modified xsi:type="dcterms:W3CDTF">2018-09-05T14:43:00Z</dcterms:modified>
</cp:coreProperties>
</file>