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B5E5C54" w14:textId="77777777" w:rsidTr="000D1B89">
        <w:trPr>
          <w:cantSplit/>
          <w:trHeight w:hRule="exact" w:val="851"/>
        </w:trPr>
        <w:tc>
          <w:tcPr>
            <w:tcW w:w="1276" w:type="dxa"/>
            <w:tcBorders>
              <w:bottom w:val="single" w:sz="4" w:space="0" w:color="auto"/>
            </w:tcBorders>
            <w:vAlign w:val="bottom"/>
          </w:tcPr>
          <w:p w14:paraId="72B06C5C" w14:textId="77777777" w:rsidR="00717266" w:rsidRDefault="00717266" w:rsidP="000D1B89">
            <w:pPr>
              <w:spacing w:after="80"/>
            </w:pPr>
          </w:p>
        </w:tc>
        <w:tc>
          <w:tcPr>
            <w:tcW w:w="2268" w:type="dxa"/>
            <w:tcBorders>
              <w:bottom w:val="single" w:sz="4" w:space="0" w:color="auto"/>
            </w:tcBorders>
            <w:vAlign w:val="bottom"/>
          </w:tcPr>
          <w:p w14:paraId="7539E85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92AF5D" w14:textId="77777777" w:rsidR="00717266" w:rsidRPr="00D47EEA" w:rsidRDefault="00EA26F9" w:rsidP="00EA26F9">
            <w:pPr>
              <w:suppressAutoHyphens w:val="0"/>
              <w:spacing w:after="20"/>
              <w:jc w:val="right"/>
            </w:pPr>
            <w:r w:rsidRPr="00EA26F9">
              <w:rPr>
                <w:sz w:val="40"/>
              </w:rPr>
              <w:t>ECE</w:t>
            </w:r>
            <w:r>
              <w:t>/TRANS/WP.29/GRSG/2018/21</w:t>
            </w:r>
          </w:p>
        </w:tc>
      </w:tr>
      <w:tr w:rsidR="00717266" w14:paraId="7B0472E9" w14:textId="77777777" w:rsidTr="000D1B89">
        <w:trPr>
          <w:cantSplit/>
          <w:trHeight w:hRule="exact" w:val="2835"/>
        </w:trPr>
        <w:tc>
          <w:tcPr>
            <w:tcW w:w="1276" w:type="dxa"/>
            <w:tcBorders>
              <w:top w:val="single" w:sz="4" w:space="0" w:color="auto"/>
              <w:bottom w:val="single" w:sz="12" w:space="0" w:color="auto"/>
            </w:tcBorders>
          </w:tcPr>
          <w:p w14:paraId="0E08B851" w14:textId="77777777" w:rsidR="00717266" w:rsidRDefault="00717266" w:rsidP="000D1B89">
            <w:pPr>
              <w:spacing w:before="120"/>
            </w:pPr>
            <w:r>
              <w:rPr>
                <w:noProof/>
                <w:lang w:eastAsia="zh-CN"/>
              </w:rPr>
              <w:drawing>
                <wp:inline distT="0" distB="0" distL="0" distR="0" wp14:anchorId="16DC9D35" wp14:editId="2887C61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3BEE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210C9EA" w14:textId="77777777" w:rsidR="00717266" w:rsidRDefault="00EA26F9" w:rsidP="00EA26F9">
            <w:pPr>
              <w:spacing w:before="240"/>
            </w:pPr>
            <w:r>
              <w:t>Distr.: General</w:t>
            </w:r>
          </w:p>
          <w:p w14:paraId="391EEFD9" w14:textId="77777777" w:rsidR="00EA26F9" w:rsidRDefault="00EA26F9" w:rsidP="00EA26F9">
            <w:pPr>
              <w:suppressAutoHyphens w:val="0"/>
            </w:pPr>
            <w:r>
              <w:t>20 July 2018</w:t>
            </w:r>
          </w:p>
          <w:p w14:paraId="72E42980" w14:textId="77777777" w:rsidR="00EA26F9" w:rsidRDefault="00EA26F9" w:rsidP="00EA26F9">
            <w:pPr>
              <w:suppressAutoHyphens w:val="0"/>
            </w:pPr>
            <w:r>
              <w:t>English</w:t>
            </w:r>
          </w:p>
          <w:p w14:paraId="36191341" w14:textId="77777777" w:rsidR="00EA26F9" w:rsidRDefault="00EA26F9" w:rsidP="00EA26F9">
            <w:pPr>
              <w:suppressAutoHyphens w:val="0"/>
            </w:pPr>
            <w:r>
              <w:t>Original: French</w:t>
            </w:r>
          </w:p>
        </w:tc>
      </w:tr>
    </w:tbl>
    <w:p w14:paraId="74B94DBA" w14:textId="77777777" w:rsidR="004B349E" w:rsidRPr="00C96318" w:rsidRDefault="004B349E" w:rsidP="00C96318">
      <w:pPr>
        <w:spacing w:before="120"/>
        <w:rPr>
          <w:b/>
          <w:sz w:val="28"/>
          <w:szCs w:val="28"/>
        </w:rPr>
      </w:pPr>
      <w:r w:rsidRPr="00C96318">
        <w:rPr>
          <w:b/>
          <w:sz w:val="28"/>
          <w:szCs w:val="28"/>
        </w:rPr>
        <w:t>Economic Commission for Europe</w:t>
      </w:r>
    </w:p>
    <w:p w14:paraId="03E7C6CB" w14:textId="77777777" w:rsidR="004B349E" w:rsidRPr="00C96318" w:rsidRDefault="004B349E" w:rsidP="00C96318">
      <w:pPr>
        <w:spacing w:before="120"/>
        <w:rPr>
          <w:sz w:val="28"/>
          <w:szCs w:val="28"/>
        </w:rPr>
      </w:pPr>
      <w:r w:rsidRPr="00C96318">
        <w:rPr>
          <w:sz w:val="28"/>
          <w:szCs w:val="28"/>
        </w:rPr>
        <w:t>Inland Transport Committee</w:t>
      </w:r>
    </w:p>
    <w:p w14:paraId="6DC214B6" w14:textId="77777777" w:rsidR="004B349E" w:rsidRPr="00C96318" w:rsidRDefault="004B349E" w:rsidP="00811178">
      <w:pPr>
        <w:spacing w:before="120" w:after="120"/>
        <w:rPr>
          <w:b/>
          <w:sz w:val="24"/>
          <w:szCs w:val="24"/>
        </w:rPr>
      </w:pPr>
      <w:r w:rsidRPr="00C96318">
        <w:rPr>
          <w:b/>
          <w:sz w:val="24"/>
          <w:szCs w:val="24"/>
        </w:rPr>
        <w:t>World Forum for Harmonization of Vehicle Regulations</w:t>
      </w:r>
    </w:p>
    <w:p w14:paraId="49A18872" w14:textId="77777777" w:rsidR="004B349E" w:rsidRPr="00811178" w:rsidRDefault="004B349E" w:rsidP="00811178">
      <w:pPr>
        <w:spacing w:after="120"/>
        <w:rPr>
          <w:b/>
          <w:bCs/>
        </w:rPr>
      </w:pPr>
      <w:r w:rsidRPr="00811178">
        <w:rPr>
          <w:b/>
          <w:bCs/>
        </w:rPr>
        <w:t>Working Party on General Safety Provisions</w:t>
      </w:r>
    </w:p>
    <w:p w14:paraId="54FC60D8" w14:textId="77777777" w:rsidR="004B349E" w:rsidRPr="00811178" w:rsidRDefault="004B349E" w:rsidP="004B349E">
      <w:pPr>
        <w:rPr>
          <w:b/>
          <w:bCs/>
        </w:rPr>
      </w:pPr>
      <w:r w:rsidRPr="00811178">
        <w:rPr>
          <w:b/>
          <w:bCs/>
        </w:rPr>
        <w:t>115th session</w:t>
      </w:r>
    </w:p>
    <w:p w14:paraId="711C19BB" w14:textId="77777777" w:rsidR="004B349E" w:rsidRPr="00317850" w:rsidRDefault="004B349E" w:rsidP="00811178">
      <w:r w:rsidRPr="00317850">
        <w:t>Geneva, 9</w:t>
      </w:r>
      <w:r w:rsidR="00811178">
        <w:t>–</w:t>
      </w:r>
      <w:r w:rsidRPr="00317850">
        <w:t>12 October 2018</w:t>
      </w:r>
    </w:p>
    <w:p w14:paraId="5E13FDEA" w14:textId="77777777" w:rsidR="004B349E" w:rsidRPr="00317850" w:rsidRDefault="004B349E" w:rsidP="004B349E">
      <w:r w:rsidRPr="00317850">
        <w:t>Item 14 of the provisional agenda</w:t>
      </w:r>
    </w:p>
    <w:p w14:paraId="4000D1E6" w14:textId="77777777" w:rsidR="004B349E" w:rsidRPr="00226E1B" w:rsidRDefault="004B349E" w:rsidP="004B349E">
      <w:pPr>
        <w:rPr>
          <w:b/>
          <w:bCs/>
        </w:rPr>
      </w:pPr>
      <w:r w:rsidRPr="00226E1B">
        <w:rPr>
          <w:b/>
          <w:bCs/>
        </w:rPr>
        <w:t>UN Regulation No. 122 (Heating systems)</w:t>
      </w:r>
    </w:p>
    <w:p w14:paraId="7A8140DD" w14:textId="77777777" w:rsidR="004B349E" w:rsidRPr="00317850" w:rsidRDefault="004B349E" w:rsidP="00226E1B">
      <w:pPr>
        <w:pStyle w:val="HChG"/>
      </w:pPr>
      <w:r w:rsidRPr="00317850">
        <w:tab/>
      </w:r>
      <w:r w:rsidRPr="00317850">
        <w:tab/>
        <w:t>Proposal for Supplement 5 to the original version of UN Regulation No. 122 (Heating systems)</w:t>
      </w:r>
    </w:p>
    <w:p w14:paraId="4BA25618" w14:textId="77777777" w:rsidR="004B349E" w:rsidRPr="00317850" w:rsidRDefault="004B349E" w:rsidP="00226E1B">
      <w:pPr>
        <w:pStyle w:val="H1G"/>
      </w:pPr>
      <w:r w:rsidRPr="00317850">
        <w:tab/>
      </w:r>
      <w:r w:rsidRPr="00317850">
        <w:tab/>
        <w:t>Submitted by the expert from France</w:t>
      </w:r>
      <w:r w:rsidRPr="00C83C42">
        <w:rPr>
          <w:rStyle w:val="FootnoteReference"/>
          <w:b w:val="0"/>
          <w:bCs/>
          <w:sz w:val="20"/>
          <w:szCs w:val="22"/>
          <w:vertAlign w:val="baseline"/>
        </w:rPr>
        <w:footnoteReference w:customMarkFollows="1" w:id="1"/>
        <w:t>*</w:t>
      </w:r>
    </w:p>
    <w:p w14:paraId="2DCDC1A5" w14:textId="77777777" w:rsidR="004B349E" w:rsidRPr="00317850" w:rsidRDefault="00C83C42" w:rsidP="00C83C42">
      <w:pPr>
        <w:pStyle w:val="SingleTxtG"/>
      </w:pPr>
      <w:r>
        <w:tab/>
      </w:r>
      <w:r w:rsidR="004B349E" w:rsidRPr="00317850">
        <w:t>In the text reproduced below, prepared by the expert from France, it is proposed to amend UN Regulation No. 122 to incorporate systems for heating the passenger compartment by heat pump. The proposed amendments to the current text of UN Regulation No. 122 are given in bold.</w:t>
      </w:r>
    </w:p>
    <w:p w14:paraId="498A9222" w14:textId="77777777" w:rsidR="00857232" w:rsidRPr="000E760A" w:rsidRDefault="004B349E" w:rsidP="00857232">
      <w:pPr>
        <w:pStyle w:val="HChG"/>
        <w:rPr>
          <w:rFonts w:asciiTheme="majorBidi" w:hAnsiTheme="majorBidi" w:cstheme="majorBidi"/>
        </w:rPr>
      </w:pPr>
      <w:r w:rsidRPr="00317850">
        <w:br w:type="page"/>
      </w:r>
      <w:r w:rsidR="00857232" w:rsidRPr="000E760A">
        <w:rPr>
          <w:rFonts w:asciiTheme="majorBidi" w:hAnsiTheme="majorBidi" w:cstheme="majorBidi"/>
        </w:rPr>
        <w:lastRenderedPageBreak/>
        <w:tab/>
        <w:t>I.</w:t>
      </w:r>
      <w:r w:rsidR="00857232" w:rsidRPr="000E760A">
        <w:rPr>
          <w:rFonts w:asciiTheme="majorBidi" w:hAnsiTheme="majorBidi" w:cstheme="majorBidi"/>
        </w:rPr>
        <w:tab/>
        <w:t>Proposal</w:t>
      </w:r>
    </w:p>
    <w:p w14:paraId="64150F38" w14:textId="77777777" w:rsidR="00857232" w:rsidRPr="000E760A" w:rsidRDefault="00857232" w:rsidP="00857232">
      <w:pPr>
        <w:pStyle w:val="SingleTxtG"/>
        <w:ind w:left="2268" w:hanging="1134"/>
        <w:rPr>
          <w:rFonts w:asciiTheme="majorBidi" w:hAnsiTheme="majorBidi" w:cstheme="majorBidi"/>
          <w:bCs/>
        </w:rPr>
      </w:pPr>
      <w:r w:rsidRPr="000E760A">
        <w:rPr>
          <w:rFonts w:asciiTheme="majorBidi" w:hAnsiTheme="majorBidi" w:cstheme="majorBidi"/>
          <w:i/>
          <w:iCs/>
        </w:rPr>
        <w:t>Paragraph 5.3</w:t>
      </w:r>
      <w:r w:rsidRPr="000E760A">
        <w:rPr>
          <w:rFonts w:asciiTheme="majorBidi" w:hAnsiTheme="majorBidi" w:cstheme="majorBidi"/>
        </w:rPr>
        <w:t>, amend to read:</w:t>
      </w:r>
    </w:p>
    <w:p w14:paraId="16F5D4A0" w14:textId="77777777" w:rsidR="00857232" w:rsidRPr="000E760A" w:rsidRDefault="00857232" w:rsidP="00857232">
      <w:pPr>
        <w:pStyle w:val="SingleTxtG"/>
        <w:ind w:left="2268" w:hanging="1134"/>
        <w:rPr>
          <w:rFonts w:asciiTheme="majorBidi" w:hAnsiTheme="majorBidi" w:cstheme="majorBidi"/>
          <w:b/>
        </w:rPr>
      </w:pPr>
      <w:r w:rsidRPr="000E760A">
        <w:rPr>
          <w:rFonts w:asciiTheme="majorBidi" w:hAnsiTheme="majorBidi" w:cstheme="majorBidi"/>
        </w:rPr>
        <w:t xml:space="preserve">“5.3 </w:t>
      </w:r>
      <w:bookmarkStart w:id="0" w:name="_GoBack"/>
      <w:bookmarkEnd w:id="0"/>
      <w:r w:rsidRPr="000E760A">
        <w:rPr>
          <w:rFonts w:asciiTheme="majorBidi" w:hAnsiTheme="majorBidi" w:cstheme="majorBidi"/>
        </w:rPr>
        <w:tab/>
        <w:t>Vehicle Installation Requirements for Combustion Heaters</w:t>
      </w:r>
      <w:r w:rsidRPr="000E760A">
        <w:rPr>
          <w:rFonts w:asciiTheme="majorBidi" w:hAnsiTheme="majorBidi" w:cstheme="majorBidi"/>
          <w:b/>
          <w:bCs/>
        </w:rPr>
        <w:t>, Electric Heaters and Heat Pump Heating Systems</w:t>
      </w:r>
      <w:r w:rsidRPr="000E760A">
        <w:rPr>
          <w:rFonts w:asciiTheme="majorBidi" w:hAnsiTheme="majorBidi" w:cstheme="majorBidi"/>
        </w:rPr>
        <w:t>.”</w:t>
      </w:r>
    </w:p>
    <w:p w14:paraId="6FEACC93" w14:textId="77777777" w:rsidR="00857232" w:rsidRPr="000E760A" w:rsidRDefault="00857232" w:rsidP="00857232">
      <w:pPr>
        <w:pStyle w:val="SingleTxtG"/>
        <w:rPr>
          <w:rFonts w:asciiTheme="majorBidi" w:hAnsiTheme="majorBidi" w:cstheme="majorBidi"/>
        </w:rPr>
      </w:pPr>
      <w:r w:rsidRPr="000E760A">
        <w:rPr>
          <w:rFonts w:asciiTheme="majorBidi" w:hAnsiTheme="majorBidi" w:cstheme="majorBidi"/>
          <w:i/>
          <w:iCs/>
        </w:rPr>
        <w:t>Add a new paragraph 6.1.6</w:t>
      </w:r>
      <w:r w:rsidRPr="000E760A">
        <w:rPr>
          <w:rFonts w:asciiTheme="majorBidi" w:hAnsiTheme="majorBidi" w:cstheme="majorBidi"/>
        </w:rPr>
        <w:t>, to read:</w:t>
      </w:r>
    </w:p>
    <w:p w14:paraId="1DB70410" w14:textId="77777777" w:rsidR="00857232" w:rsidRPr="000E760A" w:rsidRDefault="00857232" w:rsidP="00857232">
      <w:pPr>
        <w:pStyle w:val="SingleTxtG"/>
        <w:ind w:left="2268" w:hanging="1134"/>
        <w:rPr>
          <w:rFonts w:asciiTheme="majorBidi" w:hAnsiTheme="majorBidi" w:cstheme="majorBidi"/>
        </w:rPr>
      </w:pPr>
      <w:r w:rsidRPr="000E760A">
        <w:rPr>
          <w:rFonts w:asciiTheme="majorBidi" w:hAnsiTheme="majorBidi" w:cstheme="majorBidi"/>
        </w:rPr>
        <w:t>“</w:t>
      </w:r>
      <w:r w:rsidRPr="000E760A">
        <w:rPr>
          <w:rFonts w:asciiTheme="majorBidi" w:hAnsiTheme="majorBidi" w:cstheme="majorBidi"/>
          <w:b/>
          <w:bCs/>
        </w:rPr>
        <w:t xml:space="preserve">6.1.6 </w:t>
      </w:r>
      <w:r w:rsidRPr="000E760A">
        <w:rPr>
          <w:rFonts w:asciiTheme="majorBidi" w:hAnsiTheme="majorBidi" w:cstheme="majorBidi"/>
          <w:b/>
          <w:bCs/>
        </w:rPr>
        <w:tab/>
        <w:t>‘</w:t>
      </w:r>
      <w:r w:rsidRPr="000E760A">
        <w:rPr>
          <w:rFonts w:asciiTheme="majorBidi" w:hAnsiTheme="majorBidi" w:cstheme="majorBidi"/>
          <w:b/>
          <w:bCs/>
          <w:i/>
          <w:iCs/>
        </w:rPr>
        <w:t>Heat pump heating system</w:t>
      </w:r>
      <w:r w:rsidRPr="000E760A">
        <w:rPr>
          <w:rFonts w:asciiTheme="majorBidi" w:hAnsiTheme="majorBidi" w:cstheme="majorBidi"/>
          <w:b/>
          <w:bCs/>
        </w:rPr>
        <w:t xml:space="preserve">’ means any type of thermodynamic heating device </w:t>
      </w:r>
      <w:r w:rsidRPr="00857232">
        <w:rPr>
          <w:rFonts w:asciiTheme="majorBidi" w:hAnsiTheme="majorBidi" w:cstheme="majorBidi"/>
          <w:b/>
          <w:bCs/>
        </w:rPr>
        <w:t>deemed to make use of renewable energy</w:t>
      </w:r>
      <w:r w:rsidRPr="000E760A">
        <w:rPr>
          <w:rFonts w:asciiTheme="majorBidi" w:hAnsiTheme="majorBidi" w:cstheme="majorBidi"/>
          <w:b/>
          <w:bCs/>
        </w:rPr>
        <w:t xml:space="preserve"> that </w:t>
      </w:r>
      <w:r>
        <w:rPr>
          <w:rFonts w:asciiTheme="majorBidi" w:hAnsiTheme="majorBidi" w:cstheme="majorBidi"/>
          <w:b/>
          <w:bCs/>
        </w:rPr>
        <w:t>draws</w:t>
      </w:r>
      <w:r w:rsidRPr="000E760A">
        <w:rPr>
          <w:rFonts w:asciiTheme="majorBidi" w:hAnsiTheme="majorBidi" w:cstheme="majorBidi"/>
          <w:b/>
          <w:bCs/>
        </w:rPr>
        <w:t xml:space="preserve"> calories from one environment (air or water) in order to transfer them to another with a view to increasing the temperature of the interior of the vehicle.</w:t>
      </w:r>
      <w:r w:rsidRPr="000E760A">
        <w:rPr>
          <w:rFonts w:asciiTheme="majorBidi" w:hAnsiTheme="majorBidi" w:cstheme="majorBidi"/>
        </w:rPr>
        <w:t>”</w:t>
      </w:r>
    </w:p>
    <w:p w14:paraId="11239994" w14:textId="2BEF4E14" w:rsidR="00857232" w:rsidRPr="000E760A" w:rsidRDefault="00857232" w:rsidP="0045631D">
      <w:pPr>
        <w:pStyle w:val="SingleTxtG"/>
        <w:rPr>
          <w:rFonts w:asciiTheme="majorBidi" w:hAnsiTheme="majorBidi" w:cstheme="majorBidi"/>
          <w:i/>
          <w:iCs/>
        </w:rPr>
      </w:pPr>
      <w:r w:rsidRPr="000E760A">
        <w:rPr>
          <w:rFonts w:asciiTheme="majorBidi" w:hAnsiTheme="majorBidi" w:cstheme="majorBidi"/>
          <w:i/>
          <w:iCs/>
        </w:rPr>
        <w:t>Paragraph 6.2.1, table</w:t>
      </w:r>
      <w:r w:rsidRPr="000E760A">
        <w:rPr>
          <w:rFonts w:asciiTheme="majorBidi" w:hAnsiTheme="majorBidi" w:cstheme="majorBidi"/>
        </w:rPr>
        <w:t xml:space="preserve">, add a new </w:t>
      </w:r>
      <w:r>
        <w:rPr>
          <w:rFonts w:asciiTheme="majorBidi" w:hAnsiTheme="majorBidi" w:cstheme="majorBidi"/>
        </w:rPr>
        <w:t>row</w:t>
      </w:r>
      <w:r w:rsidRPr="000E760A">
        <w:rPr>
          <w:rFonts w:asciiTheme="majorBidi" w:hAnsiTheme="majorBidi" w:cstheme="majorBidi"/>
        </w:rPr>
        <w:t>, to read:</w:t>
      </w:r>
    </w:p>
    <w:p w14:paraId="1DC78C59" w14:textId="77777777" w:rsidR="00857232" w:rsidRPr="000E760A" w:rsidRDefault="00857232" w:rsidP="00857232">
      <w:pPr>
        <w:pStyle w:val="SingleTxtG"/>
        <w:ind w:left="2268" w:hanging="1134"/>
        <w:rPr>
          <w:rFonts w:asciiTheme="majorBidi" w:hAnsiTheme="majorBidi" w:cstheme="majorBidi"/>
          <w:i/>
          <w:iCs/>
        </w:rPr>
      </w:pPr>
      <w:r w:rsidRPr="000E760A">
        <w:rPr>
          <w:rFonts w:asciiTheme="majorBidi" w:hAnsiTheme="majorBidi" w:cstheme="majorBidi"/>
        </w:rPr>
        <w:t>“</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
        <w:gridCol w:w="1211"/>
        <w:gridCol w:w="1210"/>
        <w:gridCol w:w="1210"/>
        <w:gridCol w:w="1210"/>
        <w:gridCol w:w="1317"/>
      </w:tblGrid>
      <w:tr w:rsidR="007045C8" w:rsidRPr="007045C8" w14:paraId="68269715" w14:textId="77777777" w:rsidTr="007045C8">
        <w:trPr>
          <w:tblHeader/>
        </w:trPr>
        <w:tc>
          <w:tcPr>
            <w:tcW w:w="1230" w:type="dxa"/>
            <w:tcBorders>
              <w:top w:val="single" w:sz="4" w:space="0" w:color="auto"/>
              <w:bottom w:val="single" w:sz="12" w:space="0" w:color="auto"/>
            </w:tcBorders>
            <w:shd w:val="clear" w:color="auto" w:fill="auto"/>
            <w:tcMar>
              <w:left w:w="0" w:type="dxa"/>
            </w:tcMar>
            <w:vAlign w:val="bottom"/>
          </w:tcPr>
          <w:p w14:paraId="0B5FF40C" w14:textId="77777777" w:rsidR="00857232" w:rsidRPr="007045C8" w:rsidRDefault="00857232" w:rsidP="007045C8">
            <w:pPr>
              <w:suppressAutoHyphens w:val="0"/>
              <w:spacing w:before="80" w:after="80" w:line="200" w:lineRule="exact"/>
              <w:ind w:right="113"/>
              <w:rPr>
                <w:i/>
                <w:iCs/>
                <w:sz w:val="16"/>
                <w:szCs w:val="16"/>
              </w:rPr>
            </w:pPr>
            <w:r w:rsidRPr="007045C8">
              <w:rPr>
                <w:i/>
                <w:iCs/>
                <w:sz w:val="16"/>
                <w:szCs w:val="16"/>
                <w:lang w:val="en-GB"/>
              </w:rPr>
              <w:t>Heating system</w:t>
            </w:r>
          </w:p>
        </w:tc>
        <w:tc>
          <w:tcPr>
            <w:tcW w:w="1229" w:type="dxa"/>
            <w:tcBorders>
              <w:top w:val="single" w:sz="4" w:space="0" w:color="auto"/>
              <w:bottom w:val="single" w:sz="12" w:space="0" w:color="auto"/>
            </w:tcBorders>
            <w:shd w:val="clear" w:color="auto" w:fill="auto"/>
            <w:tcMar>
              <w:left w:w="0" w:type="dxa"/>
            </w:tcMar>
            <w:vAlign w:val="bottom"/>
          </w:tcPr>
          <w:p w14:paraId="7B222F4C" w14:textId="77777777" w:rsidR="00857232" w:rsidRPr="007045C8" w:rsidRDefault="00857232" w:rsidP="007045C8">
            <w:pPr>
              <w:suppressAutoHyphens w:val="0"/>
              <w:spacing w:before="80" w:after="80" w:line="200" w:lineRule="exact"/>
              <w:ind w:right="113"/>
              <w:rPr>
                <w:i/>
                <w:iCs/>
                <w:sz w:val="16"/>
                <w:szCs w:val="16"/>
              </w:rPr>
            </w:pPr>
            <w:r w:rsidRPr="007045C8">
              <w:rPr>
                <w:i/>
                <w:iCs/>
                <w:sz w:val="16"/>
                <w:szCs w:val="16"/>
                <w:lang w:val="en-GB"/>
              </w:rPr>
              <w:t>Vehicle category</w:t>
            </w:r>
          </w:p>
        </w:tc>
        <w:tc>
          <w:tcPr>
            <w:tcW w:w="1228" w:type="dxa"/>
            <w:tcBorders>
              <w:top w:val="single" w:sz="4" w:space="0" w:color="auto"/>
              <w:bottom w:val="single" w:sz="12" w:space="0" w:color="auto"/>
            </w:tcBorders>
            <w:shd w:val="clear" w:color="auto" w:fill="auto"/>
            <w:tcMar>
              <w:left w:w="0" w:type="dxa"/>
            </w:tcMar>
            <w:vAlign w:val="bottom"/>
          </w:tcPr>
          <w:p w14:paraId="697D66A0" w14:textId="2B742262" w:rsidR="00857232" w:rsidRPr="007045C8" w:rsidRDefault="00857232" w:rsidP="007045C8">
            <w:pPr>
              <w:suppressAutoHyphens w:val="0"/>
              <w:spacing w:before="80" w:after="80" w:line="200" w:lineRule="exact"/>
              <w:ind w:right="113"/>
              <w:rPr>
                <w:i/>
                <w:iCs/>
                <w:sz w:val="16"/>
                <w:szCs w:val="16"/>
              </w:rPr>
            </w:pPr>
            <w:r w:rsidRPr="007045C8">
              <w:rPr>
                <w:i/>
                <w:iCs/>
                <w:sz w:val="16"/>
                <w:szCs w:val="16"/>
                <w:lang w:val="en-GB"/>
              </w:rPr>
              <w:t xml:space="preserve">Annex 4 </w:t>
            </w:r>
            <w:r w:rsidR="007045C8">
              <w:rPr>
                <w:i/>
                <w:iCs/>
                <w:sz w:val="16"/>
                <w:szCs w:val="16"/>
                <w:lang w:val="en-GB"/>
              </w:rPr>
              <w:br/>
            </w:r>
            <w:r w:rsidRPr="007045C8">
              <w:rPr>
                <w:i/>
                <w:iCs/>
                <w:sz w:val="16"/>
                <w:szCs w:val="16"/>
                <w:lang w:val="en-GB"/>
              </w:rPr>
              <w:t>Air quality</w:t>
            </w:r>
          </w:p>
        </w:tc>
        <w:tc>
          <w:tcPr>
            <w:tcW w:w="1228" w:type="dxa"/>
            <w:tcBorders>
              <w:top w:val="single" w:sz="4" w:space="0" w:color="auto"/>
              <w:bottom w:val="single" w:sz="12" w:space="0" w:color="auto"/>
            </w:tcBorders>
            <w:shd w:val="clear" w:color="auto" w:fill="auto"/>
            <w:tcMar>
              <w:left w:w="0" w:type="dxa"/>
            </w:tcMar>
            <w:vAlign w:val="bottom"/>
          </w:tcPr>
          <w:p w14:paraId="0AD6F73F" w14:textId="77777777" w:rsidR="00857232" w:rsidRPr="007045C8" w:rsidRDefault="00857232" w:rsidP="007045C8">
            <w:pPr>
              <w:suppressAutoHyphens w:val="0"/>
              <w:spacing w:before="80" w:after="80" w:line="200" w:lineRule="exact"/>
              <w:ind w:right="113"/>
              <w:rPr>
                <w:i/>
                <w:iCs/>
                <w:sz w:val="16"/>
                <w:szCs w:val="16"/>
              </w:rPr>
            </w:pPr>
            <w:r w:rsidRPr="007045C8">
              <w:rPr>
                <w:i/>
                <w:iCs/>
                <w:sz w:val="16"/>
                <w:szCs w:val="16"/>
                <w:lang w:val="en-GB"/>
              </w:rPr>
              <w:t>Annex 5 Temperature</w:t>
            </w:r>
          </w:p>
        </w:tc>
        <w:tc>
          <w:tcPr>
            <w:tcW w:w="1228" w:type="dxa"/>
            <w:tcBorders>
              <w:top w:val="single" w:sz="4" w:space="0" w:color="auto"/>
              <w:bottom w:val="single" w:sz="12" w:space="0" w:color="auto"/>
            </w:tcBorders>
            <w:shd w:val="clear" w:color="auto" w:fill="auto"/>
            <w:tcMar>
              <w:left w:w="0" w:type="dxa"/>
            </w:tcMar>
            <w:vAlign w:val="bottom"/>
          </w:tcPr>
          <w:p w14:paraId="73D7EDAC" w14:textId="72699DE0" w:rsidR="00857232" w:rsidRPr="007045C8" w:rsidRDefault="00857232" w:rsidP="007045C8">
            <w:pPr>
              <w:suppressAutoHyphens w:val="0"/>
              <w:spacing w:before="80" w:after="80" w:line="200" w:lineRule="exact"/>
              <w:ind w:right="113"/>
              <w:rPr>
                <w:i/>
                <w:iCs/>
                <w:sz w:val="16"/>
                <w:szCs w:val="16"/>
              </w:rPr>
            </w:pPr>
            <w:r w:rsidRPr="007045C8">
              <w:rPr>
                <w:i/>
                <w:iCs/>
                <w:sz w:val="16"/>
                <w:szCs w:val="16"/>
                <w:lang w:val="en-GB"/>
              </w:rPr>
              <w:t xml:space="preserve">Annex 6 </w:t>
            </w:r>
            <w:r w:rsidR="007045C8">
              <w:rPr>
                <w:i/>
                <w:iCs/>
                <w:sz w:val="16"/>
                <w:szCs w:val="16"/>
                <w:lang w:val="en-GB"/>
              </w:rPr>
              <w:br/>
            </w:r>
            <w:r w:rsidRPr="007045C8">
              <w:rPr>
                <w:i/>
                <w:iCs/>
                <w:sz w:val="16"/>
                <w:szCs w:val="16"/>
                <w:lang w:val="en-GB"/>
              </w:rPr>
              <w:t>Exhaust</w:t>
            </w:r>
          </w:p>
        </w:tc>
        <w:tc>
          <w:tcPr>
            <w:tcW w:w="1336" w:type="dxa"/>
            <w:tcBorders>
              <w:top w:val="single" w:sz="4" w:space="0" w:color="auto"/>
              <w:bottom w:val="single" w:sz="12" w:space="0" w:color="auto"/>
            </w:tcBorders>
            <w:shd w:val="clear" w:color="auto" w:fill="auto"/>
            <w:tcMar>
              <w:left w:w="0" w:type="dxa"/>
            </w:tcMar>
            <w:vAlign w:val="bottom"/>
          </w:tcPr>
          <w:p w14:paraId="3DC5CBC2" w14:textId="2C29232E" w:rsidR="00857232" w:rsidRPr="007045C8" w:rsidRDefault="00857232" w:rsidP="007045C8">
            <w:pPr>
              <w:suppressAutoHyphens w:val="0"/>
              <w:spacing w:before="80" w:after="80" w:line="200" w:lineRule="exact"/>
              <w:ind w:right="113"/>
              <w:rPr>
                <w:i/>
                <w:iCs/>
                <w:sz w:val="16"/>
                <w:szCs w:val="16"/>
              </w:rPr>
            </w:pPr>
            <w:r w:rsidRPr="007045C8">
              <w:rPr>
                <w:i/>
                <w:iCs/>
                <w:sz w:val="16"/>
                <w:szCs w:val="16"/>
                <w:lang w:val="en-GB"/>
              </w:rPr>
              <w:t xml:space="preserve">Annex 8 </w:t>
            </w:r>
            <w:r w:rsidR="007045C8">
              <w:rPr>
                <w:i/>
                <w:iCs/>
                <w:sz w:val="16"/>
                <w:szCs w:val="16"/>
                <w:lang w:val="en-GB"/>
              </w:rPr>
              <w:br/>
            </w:r>
            <w:r w:rsidRPr="007045C8">
              <w:rPr>
                <w:i/>
                <w:iCs/>
                <w:sz w:val="16"/>
                <w:szCs w:val="16"/>
                <w:lang w:val="en-GB"/>
              </w:rPr>
              <w:t>LPG safety</w:t>
            </w:r>
          </w:p>
        </w:tc>
      </w:tr>
      <w:tr w:rsidR="007045C8" w:rsidRPr="007045C8" w14:paraId="4AF1D8D0" w14:textId="77777777" w:rsidTr="007045C8">
        <w:trPr>
          <w:trHeight w:val="284"/>
        </w:trPr>
        <w:tc>
          <w:tcPr>
            <w:tcW w:w="1230" w:type="dxa"/>
            <w:tcBorders>
              <w:top w:val="single" w:sz="12" w:space="0" w:color="auto"/>
            </w:tcBorders>
            <w:shd w:val="clear" w:color="auto" w:fill="auto"/>
            <w:tcMar>
              <w:left w:w="0" w:type="dxa"/>
            </w:tcMar>
          </w:tcPr>
          <w:p w14:paraId="2B7EF704" w14:textId="77777777" w:rsidR="00857232" w:rsidRPr="007045C8" w:rsidRDefault="00857232" w:rsidP="007045C8">
            <w:pPr>
              <w:suppressAutoHyphens w:val="0"/>
              <w:spacing w:before="40" w:after="120" w:line="220" w:lineRule="exact"/>
              <w:ind w:right="113"/>
              <w:rPr>
                <w:iCs/>
                <w:szCs w:val="18"/>
              </w:rPr>
            </w:pPr>
            <w:r w:rsidRPr="007045C8">
              <w:rPr>
                <w:lang w:val="en-GB"/>
              </w:rPr>
              <w:t>…</w:t>
            </w:r>
          </w:p>
        </w:tc>
        <w:tc>
          <w:tcPr>
            <w:tcW w:w="1229" w:type="dxa"/>
            <w:tcBorders>
              <w:top w:val="single" w:sz="12" w:space="0" w:color="auto"/>
            </w:tcBorders>
            <w:shd w:val="clear" w:color="auto" w:fill="auto"/>
            <w:tcMar>
              <w:left w:w="0" w:type="dxa"/>
            </w:tcMar>
          </w:tcPr>
          <w:p w14:paraId="40D72DFE" w14:textId="77777777" w:rsidR="00857232" w:rsidRPr="007045C8" w:rsidRDefault="00857232" w:rsidP="007045C8">
            <w:pPr>
              <w:suppressAutoHyphens w:val="0"/>
              <w:spacing w:before="40" w:after="120" w:line="220" w:lineRule="exact"/>
              <w:ind w:right="113"/>
              <w:rPr>
                <w:i/>
                <w:iCs/>
                <w:szCs w:val="18"/>
              </w:rPr>
            </w:pPr>
            <w:r w:rsidRPr="007045C8">
              <w:rPr>
                <w:lang w:val="en-GB"/>
              </w:rPr>
              <w:t>…</w:t>
            </w:r>
          </w:p>
        </w:tc>
        <w:tc>
          <w:tcPr>
            <w:tcW w:w="1228" w:type="dxa"/>
            <w:tcBorders>
              <w:top w:val="single" w:sz="12" w:space="0" w:color="auto"/>
            </w:tcBorders>
            <w:shd w:val="clear" w:color="auto" w:fill="auto"/>
            <w:tcMar>
              <w:left w:w="0" w:type="dxa"/>
            </w:tcMar>
          </w:tcPr>
          <w:p w14:paraId="1A0C4570" w14:textId="77777777" w:rsidR="00857232" w:rsidRPr="007045C8" w:rsidRDefault="00857232" w:rsidP="007045C8">
            <w:pPr>
              <w:suppressAutoHyphens w:val="0"/>
              <w:spacing w:before="40" w:after="120" w:line="220" w:lineRule="exact"/>
              <w:ind w:right="113"/>
              <w:rPr>
                <w:i/>
                <w:iCs/>
                <w:szCs w:val="18"/>
              </w:rPr>
            </w:pPr>
            <w:r w:rsidRPr="007045C8">
              <w:rPr>
                <w:lang w:val="en-GB"/>
              </w:rPr>
              <w:t>…</w:t>
            </w:r>
          </w:p>
        </w:tc>
        <w:tc>
          <w:tcPr>
            <w:tcW w:w="1228" w:type="dxa"/>
            <w:tcBorders>
              <w:top w:val="single" w:sz="12" w:space="0" w:color="auto"/>
            </w:tcBorders>
            <w:shd w:val="clear" w:color="auto" w:fill="auto"/>
            <w:tcMar>
              <w:left w:w="0" w:type="dxa"/>
            </w:tcMar>
          </w:tcPr>
          <w:p w14:paraId="63D09D32" w14:textId="77777777" w:rsidR="00857232" w:rsidRPr="007045C8" w:rsidRDefault="00857232" w:rsidP="007045C8">
            <w:pPr>
              <w:suppressAutoHyphens w:val="0"/>
              <w:spacing w:before="40" w:after="120" w:line="220" w:lineRule="exact"/>
              <w:ind w:right="113"/>
              <w:rPr>
                <w:i/>
                <w:iCs/>
                <w:szCs w:val="18"/>
              </w:rPr>
            </w:pPr>
            <w:r w:rsidRPr="007045C8">
              <w:rPr>
                <w:lang w:val="en-GB"/>
              </w:rPr>
              <w:t>…</w:t>
            </w:r>
          </w:p>
        </w:tc>
        <w:tc>
          <w:tcPr>
            <w:tcW w:w="1228" w:type="dxa"/>
            <w:tcBorders>
              <w:top w:val="single" w:sz="12" w:space="0" w:color="auto"/>
            </w:tcBorders>
            <w:shd w:val="clear" w:color="auto" w:fill="auto"/>
            <w:tcMar>
              <w:left w:w="0" w:type="dxa"/>
            </w:tcMar>
          </w:tcPr>
          <w:p w14:paraId="552B7A41" w14:textId="77777777" w:rsidR="00857232" w:rsidRPr="007045C8" w:rsidRDefault="00857232" w:rsidP="007045C8">
            <w:pPr>
              <w:suppressAutoHyphens w:val="0"/>
              <w:spacing w:before="40" w:after="120" w:line="220" w:lineRule="exact"/>
              <w:ind w:right="113"/>
              <w:rPr>
                <w:i/>
                <w:iCs/>
                <w:szCs w:val="18"/>
              </w:rPr>
            </w:pPr>
            <w:r w:rsidRPr="007045C8">
              <w:rPr>
                <w:lang w:val="en-GB"/>
              </w:rPr>
              <w:t>…</w:t>
            </w:r>
          </w:p>
        </w:tc>
        <w:tc>
          <w:tcPr>
            <w:tcW w:w="1336" w:type="dxa"/>
            <w:tcBorders>
              <w:top w:val="single" w:sz="12" w:space="0" w:color="auto"/>
            </w:tcBorders>
            <w:shd w:val="clear" w:color="auto" w:fill="auto"/>
            <w:tcMar>
              <w:left w:w="0" w:type="dxa"/>
            </w:tcMar>
          </w:tcPr>
          <w:p w14:paraId="7FFDE973" w14:textId="77777777" w:rsidR="00857232" w:rsidRPr="007045C8" w:rsidRDefault="00857232" w:rsidP="007045C8">
            <w:pPr>
              <w:suppressAutoHyphens w:val="0"/>
              <w:spacing w:before="40" w:after="120" w:line="220" w:lineRule="exact"/>
              <w:ind w:right="113"/>
              <w:rPr>
                <w:i/>
                <w:iCs/>
                <w:szCs w:val="18"/>
              </w:rPr>
            </w:pPr>
            <w:r w:rsidRPr="007045C8">
              <w:rPr>
                <w:lang w:val="en-GB"/>
              </w:rPr>
              <w:t>…</w:t>
            </w:r>
          </w:p>
        </w:tc>
      </w:tr>
      <w:tr w:rsidR="007045C8" w:rsidRPr="007045C8" w14:paraId="6717F60D" w14:textId="77777777" w:rsidTr="007045C8">
        <w:trPr>
          <w:trHeight w:val="167"/>
        </w:trPr>
        <w:tc>
          <w:tcPr>
            <w:tcW w:w="1230" w:type="dxa"/>
            <w:vMerge w:val="restart"/>
            <w:shd w:val="clear" w:color="auto" w:fill="auto"/>
            <w:tcMar>
              <w:left w:w="0" w:type="dxa"/>
            </w:tcMar>
          </w:tcPr>
          <w:p w14:paraId="0F272A9C" w14:textId="3FC0727D" w:rsidR="00857232" w:rsidRPr="007045C8" w:rsidRDefault="00857232" w:rsidP="007045C8">
            <w:pPr>
              <w:suppressAutoHyphens w:val="0"/>
              <w:spacing w:before="40" w:after="120" w:line="220" w:lineRule="exact"/>
              <w:ind w:right="113"/>
              <w:rPr>
                <w:b/>
                <w:bCs/>
                <w:iCs/>
                <w:szCs w:val="18"/>
                <w:lang w:val="fr-FR" w:eastAsia="zh-CN"/>
              </w:rPr>
            </w:pPr>
            <w:r w:rsidRPr="007045C8">
              <w:rPr>
                <w:b/>
                <w:bCs/>
                <w:lang w:val="en-GB"/>
              </w:rPr>
              <w:t>Heat pump</w:t>
            </w:r>
          </w:p>
        </w:tc>
        <w:tc>
          <w:tcPr>
            <w:tcW w:w="1229" w:type="dxa"/>
            <w:shd w:val="clear" w:color="auto" w:fill="auto"/>
            <w:tcMar>
              <w:left w:w="0" w:type="dxa"/>
            </w:tcMar>
          </w:tcPr>
          <w:p w14:paraId="6C9A662E" w14:textId="77777777" w:rsidR="00857232" w:rsidRPr="007045C8" w:rsidRDefault="00857232" w:rsidP="007045C8">
            <w:pPr>
              <w:suppressAutoHyphens w:val="0"/>
              <w:spacing w:before="40" w:after="120" w:line="220" w:lineRule="exact"/>
              <w:ind w:right="113"/>
              <w:rPr>
                <w:b/>
                <w:bCs/>
                <w:iCs/>
                <w:szCs w:val="18"/>
              </w:rPr>
            </w:pPr>
            <w:r w:rsidRPr="007045C8">
              <w:rPr>
                <w:b/>
                <w:bCs/>
                <w:lang w:val="en-GB"/>
              </w:rPr>
              <w:t>M</w:t>
            </w:r>
          </w:p>
        </w:tc>
        <w:tc>
          <w:tcPr>
            <w:tcW w:w="1228" w:type="dxa"/>
            <w:shd w:val="clear" w:color="auto" w:fill="auto"/>
            <w:tcMar>
              <w:left w:w="0" w:type="dxa"/>
            </w:tcMar>
          </w:tcPr>
          <w:p w14:paraId="7A4EE5CC" w14:textId="77777777" w:rsidR="00857232" w:rsidRPr="007045C8" w:rsidRDefault="00857232" w:rsidP="007045C8">
            <w:pPr>
              <w:suppressAutoHyphens w:val="0"/>
              <w:spacing w:before="40" w:after="120" w:line="220" w:lineRule="exact"/>
              <w:ind w:right="113"/>
              <w:rPr>
                <w:b/>
                <w:bCs/>
                <w:iCs/>
                <w:szCs w:val="18"/>
              </w:rPr>
            </w:pPr>
            <w:r w:rsidRPr="007045C8">
              <w:rPr>
                <w:b/>
                <w:bCs/>
                <w:lang w:val="en-GB"/>
              </w:rPr>
              <w:t>Yes</w:t>
            </w:r>
          </w:p>
        </w:tc>
        <w:tc>
          <w:tcPr>
            <w:tcW w:w="1228" w:type="dxa"/>
            <w:shd w:val="clear" w:color="auto" w:fill="auto"/>
            <w:tcMar>
              <w:left w:w="0" w:type="dxa"/>
            </w:tcMar>
          </w:tcPr>
          <w:p w14:paraId="3FD2C350" w14:textId="77777777" w:rsidR="00857232" w:rsidRPr="007045C8" w:rsidRDefault="00857232" w:rsidP="007045C8">
            <w:pPr>
              <w:suppressAutoHyphens w:val="0"/>
              <w:spacing w:before="40" w:after="120" w:line="220" w:lineRule="exact"/>
              <w:ind w:right="113"/>
              <w:rPr>
                <w:b/>
                <w:bCs/>
              </w:rPr>
            </w:pPr>
            <w:r w:rsidRPr="007045C8">
              <w:rPr>
                <w:b/>
                <w:bCs/>
                <w:lang w:val="en-GB"/>
              </w:rPr>
              <w:t>Yes</w:t>
            </w:r>
          </w:p>
        </w:tc>
        <w:tc>
          <w:tcPr>
            <w:tcW w:w="1228" w:type="dxa"/>
            <w:shd w:val="clear" w:color="auto" w:fill="auto"/>
            <w:tcMar>
              <w:left w:w="0" w:type="dxa"/>
            </w:tcMar>
          </w:tcPr>
          <w:p w14:paraId="139BA5D0" w14:textId="77777777" w:rsidR="00857232" w:rsidRPr="007045C8" w:rsidRDefault="00857232" w:rsidP="007045C8">
            <w:pPr>
              <w:suppressAutoHyphens w:val="0"/>
              <w:spacing w:before="40" w:after="120" w:line="220" w:lineRule="exact"/>
              <w:ind w:right="113"/>
              <w:rPr>
                <w:i/>
                <w:iCs/>
                <w:lang w:val="fr-FR"/>
              </w:rPr>
            </w:pPr>
          </w:p>
        </w:tc>
        <w:tc>
          <w:tcPr>
            <w:tcW w:w="1336" w:type="dxa"/>
            <w:shd w:val="clear" w:color="auto" w:fill="auto"/>
            <w:tcMar>
              <w:left w:w="0" w:type="dxa"/>
            </w:tcMar>
          </w:tcPr>
          <w:p w14:paraId="5534D68E" w14:textId="77777777" w:rsidR="00857232" w:rsidRPr="007045C8" w:rsidRDefault="00857232" w:rsidP="007045C8">
            <w:pPr>
              <w:suppressAutoHyphens w:val="0"/>
              <w:spacing w:before="40" w:after="120" w:line="220" w:lineRule="exact"/>
              <w:ind w:right="113"/>
              <w:rPr>
                <w:i/>
                <w:iCs/>
                <w:lang w:val="fr-FR"/>
              </w:rPr>
            </w:pPr>
          </w:p>
        </w:tc>
      </w:tr>
      <w:tr w:rsidR="007045C8" w:rsidRPr="007045C8" w14:paraId="64D6231F" w14:textId="77777777" w:rsidTr="007045C8">
        <w:trPr>
          <w:trHeight w:val="167"/>
        </w:trPr>
        <w:tc>
          <w:tcPr>
            <w:tcW w:w="1230" w:type="dxa"/>
            <w:vMerge/>
            <w:shd w:val="clear" w:color="auto" w:fill="auto"/>
            <w:tcMar>
              <w:left w:w="0" w:type="dxa"/>
            </w:tcMar>
          </w:tcPr>
          <w:p w14:paraId="1D474337" w14:textId="77777777" w:rsidR="00857232" w:rsidRPr="007045C8" w:rsidRDefault="00857232" w:rsidP="007045C8">
            <w:pPr>
              <w:suppressAutoHyphens w:val="0"/>
              <w:spacing w:before="40" w:after="120" w:line="220" w:lineRule="exact"/>
              <w:ind w:right="113"/>
              <w:rPr>
                <w:b/>
                <w:bCs/>
                <w:iCs/>
                <w:lang w:val="fr-FR"/>
              </w:rPr>
            </w:pPr>
          </w:p>
        </w:tc>
        <w:tc>
          <w:tcPr>
            <w:tcW w:w="1229" w:type="dxa"/>
            <w:shd w:val="clear" w:color="auto" w:fill="auto"/>
            <w:tcMar>
              <w:left w:w="0" w:type="dxa"/>
            </w:tcMar>
          </w:tcPr>
          <w:p w14:paraId="51EA5D6F" w14:textId="77777777" w:rsidR="00857232" w:rsidRPr="007045C8" w:rsidRDefault="00857232" w:rsidP="007045C8">
            <w:pPr>
              <w:suppressAutoHyphens w:val="0"/>
              <w:spacing w:before="40" w:after="120" w:line="220" w:lineRule="exact"/>
              <w:ind w:right="113"/>
              <w:rPr>
                <w:b/>
                <w:bCs/>
                <w:iCs/>
                <w:szCs w:val="18"/>
              </w:rPr>
            </w:pPr>
            <w:r w:rsidRPr="007045C8">
              <w:rPr>
                <w:b/>
                <w:bCs/>
                <w:lang w:val="en-GB"/>
              </w:rPr>
              <w:t>N</w:t>
            </w:r>
          </w:p>
        </w:tc>
        <w:tc>
          <w:tcPr>
            <w:tcW w:w="1228" w:type="dxa"/>
            <w:shd w:val="clear" w:color="auto" w:fill="auto"/>
            <w:tcMar>
              <w:left w:w="0" w:type="dxa"/>
            </w:tcMar>
          </w:tcPr>
          <w:p w14:paraId="270F5DF7" w14:textId="77777777" w:rsidR="00857232" w:rsidRPr="007045C8" w:rsidRDefault="00857232" w:rsidP="007045C8">
            <w:pPr>
              <w:suppressAutoHyphens w:val="0"/>
              <w:spacing w:before="40" w:after="120" w:line="220" w:lineRule="exact"/>
              <w:ind w:right="113"/>
              <w:rPr>
                <w:b/>
                <w:bCs/>
              </w:rPr>
            </w:pPr>
            <w:r w:rsidRPr="007045C8">
              <w:rPr>
                <w:b/>
                <w:bCs/>
                <w:lang w:val="en-GB"/>
              </w:rPr>
              <w:t>Yes</w:t>
            </w:r>
          </w:p>
        </w:tc>
        <w:tc>
          <w:tcPr>
            <w:tcW w:w="1228" w:type="dxa"/>
            <w:shd w:val="clear" w:color="auto" w:fill="auto"/>
            <w:tcMar>
              <w:left w:w="0" w:type="dxa"/>
            </w:tcMar>
          </w:tcPr>
          <w:p w14:paraId="1394A320" w14:textId="77777777" w:rsidR="00857232" w:rsidRPr="007045C8" w:rsidRDefault="00857232" w:rsidP="007045C8">
            <w:pPr>
              <w:suppressAutoHyphens w:val="0"/>
              <w:spacing w:before="40" w:after="120" w:line="220" w:lineRule="exact"/>
              <w:ind w:right="113"/>
              <w:rPr>
                <w:b/>
                <w:bCs/>
              </w:rPr>
            </w:pPr>
            <w:r w:rsidRPr="007045C8">
              <w:rPr>
                <w:b/>
                <w:bCs/>
                <w:lang w:val="en-GB"/>
              </w:rPr>
              <w:t>Yes</w:t>
            </w:r>
          </w:p>
        </w:tc>
        <w:tc>
          <w:tcPr>
            <w:tcW w:w="1228" w:type="dxa"/>
            <w:shd w:val="clear" w:color="auto" w:fill="auto"/>
            <w:tcMar>
              <w:left w:w="0" w:type="dxa"/>
            </w:tcMar>
          </w:tcPr>
          <w:p w14:paraId="4842C6A9" w14:textId="77777777" w:rsidR="00857232" w:rsidRPr="007045C8" w:rsidRDefault="00857232" w:rsidP="007045C8">
            <w:pPr>
              <w:suppressAutoHyphens w:val="0"/>
              <w:spacing w:before="40" w:after="120" w:line="220" w:lineRule="exact"/>
              <w:ind w:right="113"/>
              <w:rPr>
                <w:i/>
                <w:iCs/>
                <w:lang w:val="fr-FR"/>
              </w:rPr>
            </w:pPr>
          </w:p>
        </w:tc>
        <w:tc>
          <w:tcPr>
            <w:tcW w:w="1336" w:type="dxa"/>
            <w:shd w:val="clear" w:color="auto" w:fill="auto"/>
            <w:tcMar>
              <w:left w:w="0" w:type="dxa"/>
            </w:tcMar>
          </w:tcPr>
          <w:p w14:paraId="44CC1889" w14:textId="77777777" w:rsidR="00857232" w:rsidRPr="007045C8" w:rsidRDefault="00857232" w:rsidP="007045C8">
            <w:pPr>
              <w:suppressAutoHyphens w:val="0"/>
              <w:spacing w:before="40" w:after="120" w:line="220" w:lineRule="exact"/>
              <w:ind w:right="113"/>
              <w:rPr>
                <w:i/>
                <w:iCs/>
                <w:lang w:val="fr-FR"/>
              </w:rPr>
            </w:pPr>
          </w:p>
        </w:tc>
      </w:tr>
      <w:tr w:rsidR="007045C8" w:rsidRPr="007045C8" w14:paraId="3B7A9BA5" w14:textId="77777777" w:rsidTr="007045C8">
        <w:trPr>
          <w:trHeight w:val="167"/>
        </w:trPr>
        <w:tc>
          <w:tcPr>
            <w:tcW w:w="1230" w:type="dxa"/>
            <w:vMerge/>
            <w:shd w:val="clear" w:color="auto" w:fill="auto"/>
            <w:tcMar>
              <w:left w:w="0" w:type="dxa"/>
            </w:tcMar>
          </w:tcPr>
          <w:p w14:paraId="060E56EC" w14:textId="77777777" w:rsidR="00857232" w:rsidRPr="007045C8" w:rsidRDefault="00857232" w:rsidP="007045C8">
            <w:pPr>
              <w:suppressAutoHyphens w:val="0"/>
              <w:spacing w:before="40" w:after="120" w:line="220" w:lineRule="exact"/>
              <w:ind w:right="113"/>
              <w:rPr>
                <w:b/>
                <w:bCs/>
                <w:iCs/>
                <w:lang w:val="fr-FR"/>
              </w:rPr>
            </w:pPr>
          </w:p>
        </w:tc>
        <w:tc>
          <w:tcPr>
            <w:tcW w:w="1229" w:type="dxa"/>
            <w:shd w:val="clear" w:color="auto" w:fill="auto"/>
            <w:tcMar>
              <w:left w:w="0" w:type="dxa"/>
            </w:tcMar>
          </w:tcPr>
          <w:p w14:paraId="6F295C78" w14:textId="77777777" w:rsidR="00857232" w:rsidRPr="007045C8" w:rsidRDefault="00857232" w:rsidP="007045C8">
            <w:pPr>
              <w:suppressAutoHyphens w:val="0"/>
              <w:spacing w:before="40" w:after="120" w:line="220" w:lineRule="exact"/>
              <w:ind w:right="113"/>
              <w:rPr>
                <w:b/>
                <w:bCs/>
                <w:iCs/>
                <w:szCs w:val="18"/>
              </w:rPr>
            </w:pPr>
            <w:r w:rsidRPr="007045C8">
              <w:rPr>
                <w:b/>
                <w:bCs/>
                <w:lang w:val="en-GB"/>
              </w:rPr>
              <w:t>O</w:t>
            </w:r>
          </w:p>
        </w:tc>
        <w:tc>
          <w:tcPr>
            <w:tcW w:w="1228" w:type="dxa"/>
            <w:shd w:val="clear" w:color="auto" w:fill="auto"/>
            <w:tcMar>
              <w:left w:w="0" w:type="dxa"/>
            </w:tcMar>
          </w:tcPr>
          <w:p w14:paraId="20CD6567" w14:textId="77777777" w:rsidR="00857232" w:rsidRPr="007045C8" w:rsidRDefault="00857232" w:rsidP="007045C8">
            <w:pPr>
              <w:suppressAutoHyphens w:val="0"/>
              <w:spacing w:before="40" w:after="120" w:line="220" w:lineRule="exact"/>
              <w:ind w:right="113"/>
              <w:rPr>
                <w:b/>
                <w:bCs/>
              </w:rPr>
            </w:pPr>
            <w:r w:rsidRPr="007045C8">
              <w:rPr>
                <w:b/>
                <w:bCs/>
                <w:lang w:val="en-GB"/>
              </w:rPr>
              <w:t>Yes</w:t>
            </w:r>
          </w:p>
        </w:tc>
        <w:tc>
          <w:tcPr>
            <w:tcW w:w="1228" w:type="dxa"/>
            <w:shd w:val="clear" w:color="auto" w:fill="auto"/>
            <w:tcMar>
              <w:left w:w="0" w:type="dxa"/>
            </w:tcMar>
          </w:tcPr>
          <w:p w14:paraId="02B7D300" w14:textId="77777777" w:rsidR="00857232" w:rsidRPr="007045C8" w:rsidRDefault="00857232" w:rsidP="007045C8">
            <w:pPr>
              <w:suppressAutoHyphens w:val="0"/>
              <w:spacing w:before="40" w:after="120" w:line="220" w:lineRule="exact"/>
              <w:ind w:right="113"/>
              <w:rPr>
                <w:b/>
                <w:bCs/>
              </w:rPr>
            </w:pPr>
            <w:r w:rsidRPr="007045C8">
              <w:rPr>
                <w:b/>
                <w:bCs/>
                <w:lang w:val="en-GB"/>
              </w:rPr>
              <w:t>Yes</w:t>
            </w:r>
          </w:p>
        </w:tc>
        <w:tc>
          <w:tcPr>
            <w:tcW w:w="1228" w:type="dxa"/>
            <w:shd w:val="clear" w:color="auto" w:fill="auto"/>
            <w:tcMar>
              <w:left w:w="0" w:type="dxa"/>
            </w:tcMar>
          </w:tcPr>
          <w:p w14:paraId="61264B6A" w14:textId="77777777" w:rsidR="00857232" w:rsidRPr="007045C8" w:rsidRDefault="00857232" w:rsidP="007045C8">
            <w:pPr>
              <w:suppressAutoHyphens w:val="0"/>
              <w:spacing w:before="40" w:after="120" w:line="220" w:lineRule="exact"/>
              <w:ind w:right="113"/>
              <w:rPr>
                <w:i/>
                <w:iCs/>
                <w:lang w:val="fr-FR"/>
              </w:rPr>
            </w:pPr>
          </w:p>
        </w:tc>
        <w:tc>
          <w:tcPr>
            <w:tcW w:w="1336" w:type="dxa"/>
            <w:shd w:val="clear" w:color="auto" w:fill="auto"/>
            <w:tcMar>
              <w:left w:w="0" w:type="dxa"/>
            </w:tcMar>
          </w:tcPr>
          <w:p w14:paraId="152805FE" w14:textId="77777777" w:rsidR="00857232" w:rsidRPr="007045C8" w:rsidRDefault="00857232" w:rsidP="007045C8">
            <w:pPr>
              <w:suppressAutoHyphens w:val="0"/>
              <w:spacing w:before="40" w:after="120" w:line="220" w:lineRule="exact"/>
              <w:ind w:right="113"/>
              <w:rPr>
                <w:i/>
                <w:iCs/>
                <w:lang w:val="fr-FR"/>
              </w:rPr>
            </w:pPr>
          </w:p>
        </w:tc>
      </w:tr>
    </w:tbl>
    <w:p w14:paraId="69B1CF86" w14:textId="77777777" w:rsidR="00857232" w:rsidRPr="000E760A" w:rsidRDefault="00857232" w:rsidP="00857232">
      <w:pPr>
        <w:pStyle w:val="SingleTxtG"/>
        <w:ind w:left="2268" w:hanging="1134"/>
        <w:jc w:val="right"/>
        <w:rPr>
          <w:rFonts w:asciiTheme="majorBidi" w:hAnsiTheme="majorBidi" w:cstheme="majorBidi"/>
        </w:rPr>
      </w:pPr>
      <w:r w:rsidRPr="000E760A">
        <w:rPr>
          <w:rFonts w:asciiTheme="majorBidi" w:hAnsiTheme="majorBidi" w:cstheme="majorBidi"/>
        </w:rPr>
        <w:t>”</w:t>
      </w:r>
    </w:p>
    <w:p w14:paraId="65732590" w14:textId="77777777" w:rsidR="00857232" w:rsidRPr="000E760A" w:rsidRDefault="00857232" w:rsidP="00857232">
      <w:pPr>
        <w:pStyle w:val="HChG"/>
        <w:rPr>
          <w:rFonts w:asciiTheme="majorBidi" w:hAnsiTheme="majorBidi" w:cstheme="majorBidi"/>
        </w:rPr>
      </w:pPr>
      <w:r w:rsidRPr="000E760A">
        <w:rPr>
          <w:rFonts w:asciiTheme="majorBidi" w:hAnsiTheme="majorBidi" w:cstheme="majorBidi"/>
        </w:rPr>
        <w:tab/>
        <w:t>II.</w:t>
      </w:r>
      <w:r w:rsidRPr="000E760A">
        <w:rPr>
          <w:rFonts w:asciiTheme="majorBidi" w:hAnsiTheme="majorBidi" w:cstheme="majorBidi"/>
        </w:rPr>
        <w:tab/>
        <w:t>Justification</w:t>
      </w:r>
    </w:p>
    <w:p w14:paraId="0D74F602" w14:textId="733DFD68" w:rsidR="00857232" w:rsidRPr="000E760A" w:rsidRDefault="00D95C57" w:rsidP="00D95C57">
      <w:pPr>
        <w:pStyle w:val="SingleTxtG"/>
        <w:rPr>
          <w:rFonts w:asciiTheme="majorBidi" w:hAnsiTheme="majorBidi" w:cstheme="majorBidi"/>
          <w:spacing w:val="4"/>
        </w:rPr>
      </w:pPr>
      <w:r>
        <w:rPr>
          <w:rFonts w:asciiTheme="majorBidi" w:hAnsiTheme="majorBidi" w:cstheme="majorBidi"/>
        </w:rPr>
        <w:tab/>
      </w:r>
      <w:r w:rsidR="00857232" w:rsidRPr="008B1B36">
        <w:rPr>
          <w:rFonts w:asciiTheme="majorBidi" w:hAnsiTheme="majorBidi" w:cstheme="majorBidi"/>
        </w:rPr>
        <w:t>Some manufacturers wish to use a heat pump as a heating system. The present proposal define</w:t>
      </w:r>
      <w:r w:rsidR="00857232">
        <w:rPr>
          <w:rFonts w:asciiTheme="majorBidi" w:hAnsiTheme="majorBidi" w:cstheme="majorBidi"/>
        </w:rPr>
        <w:t>s</w:t>
      </w:r>
      <w:r w:rsidR="00857232" w:rsidRPr="008B1B36">
        <w:rPr>
          <w:rFonts w:asciiTheme="majorBidi" w:hAnsiTheme="majorBidi" w:cstheme="majorBidi"/>
        </w:rPr>
        <w:t xml:space="preserve"> this new technology for heating the passenger compartment and set</w:t>
      </w:r>
      <w:r w:rsidR="00857232">
        <w:rPr>
          <w:rFonts w:asciiTheme="majorBidi" w:hAnsiTheme="majorBidi" w:cstheme="majorBidi"/>
        </w:rPr>
        <w:t>s</w:t>
      </w:r>
      <w:r w:rsidR="00857232" w:rsidRPr="008B1B36">
        <w:rPr>
          <w:rFonts w:asciiTheme="majorBidi" w:hAnsiTheme="majorBidi" w:cstheme="majorBidi"/>
        </w:rPr>
        <w:t xml:space="preserve"> general requirements for it. It is proposed that annexes 4 and 5 on the test procedure for air quality and the test procedure for temperature should apply; they will ensure that the heat pump operates efficiently and that the air in the interior of the passenger compartment remains unpolluted.</w:t>
      </w:r>
    </w:p>
    <w:p w14:paraId="5B0E6565" w14:textId="77777777" w:rsidR="00857232" w:rsidRPr="000E760A" w:rsidRDefault="00857232" w:rsidP="00857232">
      <w:pPr>
        <w:pStyle w:val="SingleTxtG"/>
        <w:spacing w:before="240" w:after="0"/>
        <w:jc w:val="center"/>
        <w:rPr>
          <w:rFonts w:asciiTheme="majorBidi" w:hAnsiTheme="majorBidi" w:cstheme="majorBidi"/>
          <w:u w:val="single"/>
        </w:rPr>
      </w:pPr>
      <w:r w:rsidRPr="000E760A">
        <w:rPr>
          <w:rFonts w:asciiTheme="majorBidi" w:hAnsiTheme="majorBidi" w:cstheme="majorBidi"/>
          <w:u w:val="single"/>
        </w:rPr>
        <w:tab/>
      </w:r>
      <w:r w:rsidRPr="000E760A">
        <w:rPr>
          <w:rFonts w:asciiTheme="majorBidi" w:hAnsiTheme="majorBidi" w:cstheme="majorBidi"/>
          <w:u w:val="single"/>
        </w:rPr>
        <w:tab/>
      </w:r>
      <w:r w:rsidRPr="000E760A">
        <w:rPr>
          <w:rFonts w:asciiTheme="majorBidi" w:hAnsiTheme="majorBidi" w:cstheme="majorBidi"/>
          <w:u w:val="single"/>
        </w:rPr>
        <w:tab/>
      </w:r>
    </w:p>
    <w:sectPr w:rsidR="00857232" w:rsidRPr="000E760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005D" w14:textId="77777777" w:rsidR="005F40B1" w:rsidRPr="00FB1744" w:rsidRDefault="005F40B1" w:rsidP="00FB1744">
      <w:pPr>
        <w:pStyle w:val="Footer"/>
      </w:pPr>
    </w:p>
  </w:endnote>
  <w:endnote w:type="continuationSeparator" w:id="0">
    <w:p w14:paraId="5A371B66" w14:textId="77777777" w:rsidR="005F40B1" w:rsidRPr="00FB1744" w:rsidRDefault="005F40B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B3D5" w14:textId="72BCD363" w:rsidR="00EA26F9" w:rsidRDefault="00EA26F9" w:rsidP="00EA26F9">
    <w:pPr>
      <w:pStyle w:val="Footer"/>
      <w:tabs>
        <w:tab w:val="right" w:pos="9638"/>
      </w:tabs>
    </w:pPr>
    <w:r w:rsidRPr="00EA26F9">
      <w:rPr>
        <w:b/>
        <w:bCs/>
        <w:sz w:val="18"/>
      </w:rPr>
      <w:fldChar w:fldCharType="begin"/>
    </w:r>
    <w:r w:rsidRPr="00EA26F9">
      <w:rPr>
        <w:b/>
        <w:bCs/>
        <w:sz w:val="18"/>
      </w:rPr>
      <w:instrText xml:space="preserve"> PAGE  \* MERGEFORMAT </w:instrText>
    </w:r>
    <w:r w:rsidRPr="00EA26F9">
      <w:rPr>
        <w:b/>
        <w:bCs/>
        <w:sz w:val="18"/>
      </w:rPr>
      <w:fldChar w:fldCharType="separate"/>
    </w:r>
    <w:r w:rsidR="004F245C">
      <w:rPr>
        <w:b/>
        <w:bCs/>
        <w:noProof/>
        <w:sz w:val="18"/>
      </w:rPr>
      <w:t>2</w:t>
    </w:r>
    <w:r w:rsidRPr="00EA26F9">
      <w:rPr>
        <w:b/>
        <w:bCs/>
        <w:sz w:val="18"/>
      </w:rPr>
      <w:fldChar w:fldCharType="end"/>
    </w:r>
    <w:r>
      <w:tab/>
      <w:t>GE.18-12075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48E5" w14:textId="77777777" w:rsidR="00EA26F9" w:rsidRDefault="00EA26F9" w:rsidP="00EA26F9">
    <w:pPr>
      <w:pStyle w:val="Footer"/>
      <w:tabs>
        <w:tab w:val="right" w:pos="9638"/>
      </w:tabs>
    </w:pPr>
    <w:r>
      <w:t>GE.18-12075</w:t>
    </w:r>
    <w:r>
      <w:tab/>
    </w:r>
    <w:r w:rsidRPr="00EA26F9">
      <w:rPr>
        <w:b/>
        <w:bCs/>
        <w:sz w:val="18"/>
      </w:rPr>
      <w:fldChar w:fldCharType="begin"/>
    </w:r>
    <w:r w:rsidRPr="00EA26F9">
      <w:rPr>
        <w:b/>
        <w:bCs/>
        <w:sz w:val="18"/>
      </w:rPr>
      <w:instrText xml:space="preserve"> PAGE  \* MERGEFORMAT </w:instrText>
    </w:r>
    <w:r w:rsidRPr="00EA26F9">
      <w:rPr>
        <w:b/>
        <w:bCs/>
        <w:sz w:val="18"/>
      </w:rPr>
      <w:fldChar w:fldCharType="separate"/>
    </w:r>
    <w:r w:rsidR="004B349E">
      <w:rPr>
        <w:b/>
        <w:bCs/>
        <w:noProof/>
        <w:sz w:val="18"/>
      </w:rPr>
      <w:t>3</w:t>
    </w:r>
    <w:r w:rsidRPr="00EA26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B55A" w14:textId="77777777" w:rsidR="006623D5" w:rsidRDefault="00EA26F9" w:rsidP="00AB3C7E">
    <w:r>
      <w:rPr>
        <w:noProof/>
        <w:lang w:eastAsia="zh-CN"/>
      </w:rPr>
      <w:drawing>
        <wp:anchor distT="0" distB="0" distL="114300" distR="114300" simplePos="0" relativeHeight="251659264" behindDoc="1" locked="1" layoutInCell="1" allowOverlap="1" wp14:anchorId="21373224" wp14:editId="5D8B46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AF0B79" w14:textId="417C0259" w:rsidR="00EA26F9" w:rsidRDefault="00EA26F9" w:rsidP="00A171FF">
    <w:r>
      <w:t>GE.18-12075  (E)</w:t>
    </w:r>
    <w:r w:rsidR="00AF02EE">
      <w:t xml:space="preserve">    260718    </w:t>
    </w:r>
    <w:r w:rsidR="00A171FF">
      <w:t>26</w:t>
    </w:r>
    <w:r w:rsidR="00AF02EE">
      <w:t>0718</w:t>
    </w:r>
  </w:p>
  <w:p w14:paraId="0F57E944" w14:textId="77777777" w:rsidR="00EA26F9" w:rsidRPr="00EA26F9" w:rsidRDefault="00EA26F9" w:rsidP="00EA26F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32BCBC2" wp14:editId="0234A207">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ECE/TRANS/WP.29/GRSG/20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F660" w14:textId="77777777" w:rsidR="005F40B1" w:rsidRPr="00FB1744" w:rsidRDefault="005F40B1" w:rsidP="00FB1744">
      <w:pPr>
        <w:tabs>
          <w:tab w:val="right" w:pos="2155"/>
        </w:tabs>
        <w:spacing w:after="80" w:line="240" w:lineRule="auto"/>
        <w:ind w:left="680"/>
      </w:pPr>
      <w:r>
        <w:rPr>
          <w:u w:val="single"/>
        </w:rPr>
        <w:tab/>
      </w:r>
    </w:p>
  </w:footnote>
  <w:footnote w:type="continuationSeparator" w:id="0">
    <w:p w14:paraId="45F328CC" w14:textId="77777777" w:rsidR="005F40B1" w:rsidRPr="00FB1744" w:rsidRDefault="005F40B1" w:rsidP="00FB1744">
      <w:pPr>
        <w:tabs>
          <w:tab w:val="right" w:pos="2155"/>
        </w:tabs>
        <w:spacing w:after="80" w:line="240" w:lineRule="auto"/>
        <w:ind w:left="680"/>
      </w:pPr>
      <w:r>
        <w:rPr>
          <w:u w:val="single"/>
        </w:rPr>
        <w:tab/>
      </w:r>
    </w:p>
  </w:footnote>
  <w:footnote w:id="1">
    <w:p w14:paraId="3838A423" w14:textId="280ABD96" w:rsidR="004B349E" w:rsidRPr="00984029" w:rsidRDefault="004B349E" w:rsidP="008F2F09">
      <w:pPr>
        <w:pStyle w:val="FootnoteText"/>
      </w:pPr>
      <w:r w:rsidRPr="00026A5A">
        <w:rPr>
          <w:rStyle w:val="FootnoteReference"/>
          <w:sz w:val="20"/>
          <w:szCs w:val="22"/>
          <w:vertAlign w:val="baseline"/>
        </w:rPr>
        <w:tab/>
        <w:t>*</w:t>
      </w:r>
      <w:r w:rsidRPr="00026A5A">
        <w:rPr>
          <w:rStyle w:val="FootnoteReference"/>
          <w:sz w:val="20"/>
          <w:szCs w:val="22"/>
          <w:vertAlign w:val="baseline"/>
        </w:rPr>
        <w:tab/>
      </w:r>
      <w:r w:rsidRPr="005358A7">
        <w:t>In accordance with the programme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7B19" w14:textId="77777777" w:rsidR="00EA26F9" w:rsidRDefault="00EA26F9" w:rsidP="00EA26F9">
    <w:pPr>
      <w:pStyle w:val="Header"/>
    </w:pPr>
    <w:r>
      <w:t>ECE/TRANS/WP.29/GRSG/2018/21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AFCD" w14:textId="77777777" w:rsidR="00EA26F9" w:rsidRDefault="00EA26F9" w:rsidP="00EA26F9">
    <w:pPr>
      <w:pStyle w:val="Header"/>
      <w:jc w:val="right"/>
    </w:pPr>
    <w:r>
      <w:t>ECE/TRANS/WP.29/GRSG/2018/21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F40B1"/>
    <w:rsid w:val="00026A5A"/>
    <w:rsid w:val="00046E0A"/>
    <w:rsid w:val="00046E92"/>
    <w:rsid w:val="000D1B89"/>
    <w:rsid w:val="001170DC"/>
    <w:rsid w:val="00173854"/>
    <w:rsid w:val="00215ED8"/>
    <w:rsid w:val="00226E1B"/>
    <w:rsid w:val="00247E2C"/>
    <w:rsid w:val="002B4058"/>
    <w:rsid w:val="002D6C53"/>
    <w:rsid w:val="002F5595"/>
    <w:rsid w:val="00334F6A"/>
    <w:rsid w:val="00340E0C"/>
    <w:rsid w:val="00342AC8"/>
    <w:rsid w:val="003A1171"/>
    <w:rsid w:val="003B4550"/>
    <w:rsid w:val="00402842"/>
    <w:rsid w:val="0045631D"/>
    <w:rsid w:val="00461253"/>
    <w:rsid w:val="00485BCC"/>
    <w:rsid w:val="004911C1"/>
    <w:rsid w:val="004B349E"/>
    <w:rsid w:val="004F245C"/>
    <w:rsid w:val="005042C2"/>
    <w:rsid w:val="00506C12"/>
    <w:rsid w:val="0056599A"/>
    <w:rsid w:val="00587690"/>
    <w:rsid w:val="005F40B1"/>
    <w:rsid w:val="00671529"/>
    <w:rsid w:val="006D368D"/>
    <w:rsid w:val="006E0E85"/>
    <w:rsid w:val="0070152E"/>
    <w:rsid w:val="00703AF4"/>
    <w:rsid w:val="007045C8"/>
    <w:rsid w:val="00717266"/>
    <w:rsid w:val="007268F9"/>
    <w:rsid w:val="0079715E"/>
    <w:rsid w:val="007C52B0"/>
    <w:rsid w:val="007F4EDB"/>
    <w:rsid w:val="00803F66"/>
    <w:rsid w:val="00811178"/>
    <w:rsid w:val="00857232"/>
    <w:rsid w:val="008C4E27"/>
    <w:rsid w:val="008F2F09"/>
    <w:rsid w:val="009411B4"/>
    <w:rsid w:val="009935EA"/>
    <w:rsid w:val="009C64E9"/>
    <w:rsid w:val="009D0139"/>
    <w:rsid w:val="009F5CDC"/>
    <w:rsid w:val="00A171FF"/>
    <w:rsid w:val="00A775CF"/>
    <w:rsid w:val="00AB3C7E"/>
    <w:rsid w:val="00AF02EE"/>
    <w:rsid w:val="00B06045"/>
    <w:rsid w:val="00B262D7"/>
    <w:rsid w:val="00C26ADE"/>
    <w:rsid w:val="00C35A27"/>
    <w:rsid w:val="00C83C42"/>
    <w:rsid w:val="00C96318"/>
    <w:rsid w:val="00CA1E51"/>
    <w:rsid w:val="00D95C57"/>
    <w:rsid w:val="00E02C2B"/>
    <w:rsid w:val="00EA26F9"/>
    <w:rsid w:val="00ED6C48"/>
    <w:rsid w:val="00F65F5D"/>
    <w:rsid w:val="00F67CB5"/>
    <w:rsid w:val="00F86A3A"/>
    <w:rsid w:val="00F9737A"/>
    <w:rsid w:val="00FB1744"/>
    <w:rsid w:val="00FC04AB"/>
    <w:rsid w:val="00FF73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7F775"/>
  <w15:docId w15:val="{9DF55996-BFCD-43F2-AB65-7B702709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1">
    <w:name w:val="Table Grid1"/>
    <w:basedOn w:val="TableNormal"/>
    <w:next w:val="TableGrid"/>
    <w:rsid w:val="004B349E"/>
    <w:pPr>
      <w:spacing w:after="0" w:line="240" w:lineRule="atLeast"/>
    </w:pPr>
    <w:rPr>
      <w:rFonts w:eastAsiaTheme="minorHAnsi"/>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C4E27"/>
    <w:rPr>
      <w:color w:val="0000FF"/>
      <w:u w:val="none"/>
    </w:rPr>
  </w:style>
  <w:style w:type="character" w:styleId="CommentReference">
    <w:name w:val="annotation reference"/>
    <w:basedOn w:val="DefaultParagraphFont"/>
    <w:uiPriority w:val="99"/>
    <w:semiHidden/>
    <w:unhideWhenUsed/>
    <w:rsid w:val="008C4E27"/>
    <w:rPr>
      <w:sz w:val="16"/>
      <w:szCs w:val="16"/>
    </w:rPr>
  </w:style>
  <w:style w:type="paragraph" w:styleId="CommentText">
    <w:name w:val="annotation text"/>
    <w:basedOn w:val="Normal"/>
    <w:link w:val="CommentTextChar"/>
    <w:uiPriority w:val="99"/>
    <w:unhideWhenUsed/>
    <w:rsid w:val="008C4E27"/>
    <w:pPr>
      <w:kinsoku w:val="0"/>
      <w:overflowPunct w:val="0"/>
      <w:autoSpaceDE w:val="0"/>
      <w:autoSpaceDN w:val="0"/>
      <w:adjustRightInd w:val="0"/>
      <w:snapToGrid w:val="0"/>
      <w:spacing w:line="240" w:lineRule="auto"/>
    </w:pPr>
    <w:rPr>
      <w:rFonts w:eastAsiaTheme="minorHAnsi"/>
      <w:lang w:val="fr-CH"/>
    </w:rPr>
  </w:style>
  <w:style w:type="character" w:customStyle="1" w:styleId="CommentTextChar">
    <w:name w:val="Comment Text Char"/>
    <w:basedOn w:val="DefaultParagraphFont"/>
    <w:link w:val="CommentText"/>
    <w:uiPriority w:val="99"/>
    <w:rsid w:val="008C4E27"/>
    <w:rPr>
      <w:rFonts w:ascii="Times New Roman" w:eastAsiaTheme="minorHAnsi"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CCC5-8F83-4C06-AA00-6AACBB2B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ECE/TRANS/WP.29/GRSG/2018/21</vt:lpstr>
    </vt:vector>
  </TitlesOfParts>
  <Company>DCM</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ECE/TRANS/WP.29/GRSG/2018/21</dc:title>
  <dc:subject>1812075</dc:subject>
  <dc:creator>ROLLAND</dc:creator>
  <cp:keywords/>
  <dc:description/>
  <cp:lastModifiedBy>Secretariat</cp:lastModifiedBy>
  <cp:revision>3</cp:revision>
  <cp:lastPrinted>2018-07-26T14:47:00Z</cp:lastPrinted>
  <dcterms:created xsi:type="dcterms:W3CDTF">2018-08-28T13:02:00Z</dcterms:created>
  <dcterms:modified xsi:type="dcterms:W3CDTF">2018-08-28T13:02:00Z</dcterms:modified>
</cp:coreProperties>
</file>