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64EA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64EA4" w:rsidP="00264EA4">
            <w:pPr>
              <w:jc w:val="right"/>
            </w:pPr>
            <w:r w:rsidRPr="00264EA4">
              <w:rPr>
                <w:sz w:val="40"/>
              </w:rPr>
              <w:t>ECE</w:t>
            </w:r>
            <w:r>
              <w:t>/TRANS/WP.29/GRSG/93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64EA4" w:rsidP="00C97039">
            <w:pPr>
              <w:spacing w:before="240"/>
            </w:pPr>
            <w:r>
              <w:t>Distr. générale</w:t>
            </w:r>
          </w:p>
          <w:p w:rsidR="00264EA4" w:rsidRDefault="00264EA4" w:rsidP="00264EA4">
            <w:pPr>
              <w:spacing w:line="240" w:lineRule="exact"/>
            </w:pPr>
            <w:r>
              <w:t>17 mai 2018</w:t>
            </w:r>
          </w:p>
          <w:p w:rsidR="00264EA4" w:rsidRDefault="00264EA4" w:rsidP="00264EA4">
            <w:pPr>
              <w:spacing w:line="240" w:lineRule="exact"/>
            </w:pPr>
            <w:r>
              <w:t>Français</w:t>
            </w:r>
          </w:p>
          <w:p w:rsidR="00264EA4" w:rsidRPr="00DB58B5" w:rsidRDefault="00264EA4" w:rsidP="00264EA4">
            <w:pPr>
              <w:spacing w:line="240" w:lineRule="exact"/>
            </w:pPr>
            <w:r>
              <w:t>Original : anglais, français et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64EA4" w:rsidRDefault="00264EA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64EA4" w:rsidRDefault="00264EA4" w:rsidP="00257168">
      <w:pPr>
        <w:spacing w:before="120" w:after="120" w:line="240" w:lineRule="exact"/>
        <w:rPr>
          <w:b/>
        </w:rPr>
      </w:pPr>
      <w:r>
        <w:rPr>
          <w:b/>
        </w:rPr>
        <w:t xml:space="preserve">Groupe de travail </w:t>
      </w:r>
      <w:r w:rsidRPr="00F8248D">
        <w:rPr>
          <w:b/>
          <w:lang w:val="fr-FR"/>
        </w:rPr>
        <w:t>des dispositions générales de sécurité</w:t>
      </w:r>
    </w:p>
    <w:p w:rsidR="00264EA4" w:rsidRDefault="00264EA4" w:rsidP="00257168">
      <w:pPr>
        <w:spacing w:before="120" w:line="240" w:lineRule="exact"/>
        <w:rPr>
          <w:b/>
        </w:rPr>
      </w:pPr>
      <w:r>
        <w:rPr>
          <w:b/>
        </w:rPr>
        <w:t>114</w:t>
      </w:r>
      <w:r w:rsidRPr="00264EA4">
        <w:rPr>
          <w:b/>
          <w:vertAlign w:val="superscript"/>
        </w:rPr>
        <w:t>e</w:t>
      </w:r>
      <w:r>
        <w:rPr>
          <w:b/>
        </w:rPr>
        <w:t> session</w:t>
      </w:r>
    </w:p>
    <w:p w:rsidR="00264EA4" w:rsidRDefault="00264EA4" w:rsidP="00257168">
      <w:pPr>
        <w:spacing w:line="240" w:lineRule="exact"/>
      </w:pPr>
      <w:r>
        <w:t>Genève, 9-13 avril 2018</w:t>
      </w:r>
    </w:p>
    <w:p w:rsidR="00264EA4" w:rsidRDefault="00264EA4" w:rsidP="00264EA4">
      <w:pPr>
        <w:pStyle w:val="HChG"/>
      </w:pPr>
      <w:r>
        <w:rPr>
          <w:lang w:val="fr-FR"/>
        </w:rPr>
        <w:tab/>
      </w:r>
      <w:r>
        <w:rPr>
          <w:lang w:val="fr-FR"/>
        </w:rPr>
        <w:tab/>
      </w:r>
      <w:r w:rsidRPr="00F8248D">
        <w:rPr>
          <w:lang w:val="fr-FR"/>
        </w:rPr>
        <w:t xml:space="preserve">Rapport du Groupe de travail des dispositions générales </w:t>
      </w:r>
      <w:r>
        <w:rPr>
          <w:lang w:val="fr-FR"/>
        </w:rPr>
        <w:br/>
      </w:r>
      <w:r w:rsidRPr="00F8248D">
        <w:rPr>
          <w:lang w:val="fr-FR"/>
        </w:rPr>
        <w:t>de sécurité sur sa 114</w:t>
      </w:r>
      <w:r w:rsidRPr="00F8248D">
        <w:rPr>
          <w:vertAlign w:val="superscript"/>
          <w:lang w:val="fr-FR"/>
        </w:rPr>
        <w:t>e</w:t>
      </w:r>
      <w:r w:rsidRPr="00F8248D">
        <w:rPr>
          <w:lang w:val="fr-FR"/>
        </w:rPr>
        <w:t> session</w:t>
      </w:r>
    </w:p>
    <w:p w:rsidR="00264EA4" w:rsidRPr="00264EA4" w:rsidRDefault="00264EA4" w:rsidP="00264EA4">
      <w:pPr>
        <w:spacing w:after="120"/>
        <w:rPr>
          <w:sz w:val="28"/>
        </w:rPr>
      </w:pPr>
      <w:r w:rsidRPr="00264EA4">
        <w:rPr>
          <w:sz w:val="28"/>
        </w:rPr>
        <w:t>Table des matières</w:t>
      </w:r>
    </w:p>
    <w:p w:rsidR="00264EA4" w:rsidRPr="00264EA4" w:rsidRDefault="00264EA4" w:rsidP="00264EA4">
      <w:pPr>
        <w:tabs>
          <w:tab w:val="right" w:pos="8929"/>
          <w:tab w:val="right" w:pos="9638"/>
        </w:tabs>
        <w:spacing w:after="120"/>
        <w:ind w:left="283"/>
        <w:rPr>
          <w:i/>
          <w:sz w:val="18"/>
        </w:rPr>
      </w:pPr>
      <w:r w:rsidRPr="00264EA4">
        <w:rPr>
          <w:i/>
          <w:sz w:val="18"/>
        </w:rPr>
        <w:tab/>
        <w:t>Paragraphes</w:t>
      </w:r>
      <w:r w:rsidRPr="00264EA4">
        <w:rPr>
          <w:i/>
          <w:sz w:val="18"/>
        </w:rPr>
        <w:tab/>
        <w:t>Page</w:t>
      </w:r>
    </w:p>
    <w:p w:rsidR="00264EA4" w:rsidRDefault="00264EA4" w:rsidP="00264EA4">
      <w:pPr>
        <w:tabs>
          <w:tab w:val="right" w:pos="850"/>
          <w:tab w:val="right" w:leader="dot" w:pos="7654"/>
          <w:tab w:val="right" w:pos="8929"/>
          <w:tab w:val="right" w:pos="9638"/>
        </w:tabs>
        <w:spacing w:after="120"/>
        <w:ind w:left="1134" w:hanging="1134"/>
      </w:pPr>
      <w:r>
        <w:tab/>
        <w:t>I.</w:t>
      </w:r>
      <w:r>
        <w:tab/>
      </w:r>
      <w:r w:rsidR="00C41446" w:rsidRPr="005B25C2">
        <w:rPr>
          <w:lang w:val="fr-FR"/>
        </w:rPr>
        <w:t>Participation</w:t>
      </w:r>
      <w:r>
        <w:tab/>
      </w:r>
      <w:r>
        <w:tab/>
        <w:t>1</w:t>
      </w:r>
      <w:r>
        <w:tab/>
      </w:r>
      <w:r w:rsidR="00101A87">
        <w:t>3</w:t>
      </w:r>
    </w:p>
    <w:p w:rsidR="00264EA4" w:rsidRDefault="00264EA4" w:rsidP="00264EA4">
      <w:pPr>
        <w:tabs>
          <w:tab w:val="right" w:pos="850"/>
          <w:tab w:val="right" w:leader="dot" w:pos="7654"/>
          <w:tab w:val="right" w:pos="8929"/>
          <w:tab w:val="right" w:pos="9638"/>
        </w:tabs>
        <w:spacing w:after="120"/>
        <w:ind w:left="1134" w:hanging="1134"/>
      </w:pPr>
      <w:r>
        <w:tab/>
        <w:t>II.</w:t>
      </w:r>
      <w:r>
        <w:tab/>
      </w:r>
      <w:r w:rsidR="00C41446" w:rsidRPr="005B25C2">
        <w:rPr>
          <w:lang w:val="fr-FR"/>
        </w:rPr>
        <w:t>Adoption de l’ordre du jour (point 1 de l’ordre du jour)</w:t>
      </w:r>
      <w:r>
        <w:tab/>
      </w:r>
      <w:r>
        <w:tab/>
        <w:t>2−4</w:t>
      </w:r>
      <w:r>
        <w:tab/>
      </w:r>
      <w:r w:rsidR="00101A87">
        <w:t>3</w:t>
      </w:r>
    </w:p>
    <w:p w:rsidR="00264EA4" w:rsidRDefault="00264EA4" w:rsidP="00264EA4">
      <w:pPr>
        <w:tabs>
          <w:tab w:val="right" w:pos="850"/>
          <w:tab w:val="right" w:leader="dot" w:pos="7654"/>
          <w:tab w:val="right" w:pos="8929"/>
          <w:tab w:val="right" w:pos="9638"/>
        </w:tabs>
        <w:spacing w:after="120"/>
        <w:ind w:left="1134" w:hanging="1134"/>
      </w:pPr>
      <w:r>
        <w:tab/>
        <w:t>III.</w:t>
      </w:r>
      <w:r>
        <w:tab/>
      </w:r>
      <w:r w:rsidR="00C41446" w:rsidRPr="005B25C2">
        <w:rPr>
          <w:lang w:val="fr-FR"/>
        </w:rPr>
        <w:t>Amendements aux Règlements sur les autobus et les autocars (point 2</w:t>
      </w:r>
      <w:r w:rsidR="00F77D91">
        <w:rPr>
          <w:lang w:val="fr-FR"/>
        </w:rPr>
        <w:br/>
      </w:r>
      <w:r w:rsidR="00C41446" w:rsidRPr="005B25C2">
        <w:rPr>
          <w:lang w:val="fr-FR"/>
        </w:rPr>
        <w:t>d</w:t>
      </w:r>
      <w:r w:rsidR="00C41446">
        <w:rPr>
          <w:lang w:val="fr-FR"/>
        </w:rPr>
        <w:t>e</w:t>
      </w:r>
      <w:r w:rsidR="00F77D91">
        <w:rPr>
          <w:lang w:val="fr-FR"/>
        </w:rPr>
        <w:t xml:space="preserve"> </w:t>
      </w:r>
      <w:r w:rsidR="00C41446" w:rsidRPr="005B25C2">
        <w:rPr>
          <w:lang w:val="fr-FR"/>
        </w:rPr>
        <w:t>l’ordre du jour)</w:t>
      </w:r>
      <w:r>
        <w:tab/>
      </w:r>
      <w:r>
        <w:tab/>
        <w:t>5−9</w:t>
      </w:r>
      <w:r>
        <w:tab/>
      </w:r>
      <w:r w:rsidR="00101A87">
        <w:t>3</w:t>
      </w:r>
    </w:p>
    <w:p w:rsidR="00264EA4" w:rsidRDefault="00264EA4" w:rsidP="00264EA4">
      <w:pPr>
        <w:tabs>
          <w:tab w:val="right" w:leader="dot" w:pos="7654"/>
          <w:tab w:val="right" w:pos="8929"/>
          <w:tab w:val="right" w:pos="9638"/>
        </w:tabs>
        <w:spacing w:after="120"/>
        <w:ind w:left="1559" w:hanging="425"/>
      </w:pPr>
      <w:r>
        <w:t>A.</w:t>
      </w:r>
      <w:r>
        <w:tab/>
      </w:r>
      <w:r w:rsidR="00C41446" w:rsidRPr="005B25C2">
        <w:rPr>
          <w:lang w:val="fr-FR"/>
        </w:rPr>
        <w:t>Règlement ONU n</w:t>
      </w:r>
      <w:r w:rsidR="00C41446" w:rsidRPr="005B25C2">
        <w:rPr>
          <w:vertAlign w:val="superscript"/>
          <w:lang w:val="fr-FR"/>
        </w:rPr>
        <w:t>o</w:t>
      </w:r>
      <w:r w:rsidR="00C41446" w:rsidRPr="005B25C2">
        <w:rPr>
          <w:lang w:val="fr-FR"/>
        </w:rPr>
        <w:t> 107 (Véhicules des catégories M</w:t>
      </w:r>
      <w:r w:rsidR="00C41446" w:rsidRPr="005B25C2">
        <w:rPr>
          <w:vertAlign w:val="subscript"/>
          <w:lang w:val="fr-FR"/>
        </w:rPr>
        <w:t>2</w:t>
      </w:r>
      <w:r w:rsidR="00C41446" w:rsidRPr="005B25C2">
        <w:rPr>
          <w:lang w:val="fr-FR"/>
        </w:rPr>
        <w:t xml:space="preserve"> et M</w:t>
      </w:r>
      <w:r w:rsidR="00C41446" w:rsidRPr="005B25C2">
        <w:rPr>
          <w:vertAlign w:val="subscript"/>
          <w:lang w:val="fr-FR"/>
        </w:rPr>
        <w:t>3</w:t>
      </w:r>
      <w:r w:rsidR="00C41446" w:rsidRPr="005B25C2">
        <w:rPr>
          <w:lang w:val="fr-FR"/>
        </w:rPr>
        <w:t>)</w:t>
      </w:r>
      <w:r>
        <w:tab/>
      </w:r>
      <w:r>
        <w:tab/>
        <w:t>5−6</w:t>
      </w:r>
      <w:r>
        <w:tab/>
      </w:r>
      <w:r w:rsidR="00101A87">
        <w:t>3</w:t>
      </w:r>
    </w:p>
    <w:p w:rsidR="00264EA4" w:rsidRDefault="00264EA4" w:rsidP="00264EA4">
      <w:pPr>
        <w:tabs>
          <w:tab w:val="right" w:leader="dot" w:pos="7654"/>
          <w:tab w:val="right" w:pos="8929"/>
          <w:tab w:val="right" w:pos="9638"/>
        </w:tabs>
        <w:spacing w:after="120"/>
        <w:ind w:left="1559" w:hanging="425"/>
      </w:pPr>
      <w:r>
        <w:t>B.</w:t>
      </w:r>
      <w:r>
        <w:tab/>
      </w:r>
      <w:r w:rsidR="00C41446" w:rsidRPr="005B25C2">
        <w:rPr>
          <w:lang w:val="fr-FR"/>
        </w:rPr>
        <w:t>Règlement ONU n</w:t>
      </w:r>
      <w:r w:rsidR="00C41446" w:rsidRPr="005B25C2">
        <w:rPr>
          <w:vertAlign w:val="superscript"/>
          <w:lang w:val="fr-FR"/>
        </w:rPr>
        <w:t>o</w:t>
      </w:r>
      <w:r w:rsidR="00C41446" w:rsidRPr="005B25C2">
        <w:rPr>
          <w:lang w:val="fr-FR"/>
        </w:rPr>
        <w:t> 118 (Comportement au feu des matériaux)</w:t>
      </w:r>
      <w:r>
        <w:tab/>
      </w:r>
      <w:r>
        <w:tab/>
        <w:t>7−9</w:t>
      </w:r>
      <w:r>
        <w:tab/>
      </w:r>
      <w:r w:rsidR="00101A87">
        <w:t>4</w:t>
      </w:r>
    </w:p>
    <w:p w:rsidR="00264EA4" w:rsidRDefault="00264EA4" w:rsidP="00264EA4">
      <w:pPr>
        <w:tabs>
          <w:tab w:val="right" w:pos="850"/>
          <w:tab w:val="right" w:leader="dot" w:pos="7654"/>
          <w:tab w:val="right" w:pos="8929"/>
          <w:tab w:val="right" w:pos="9638"/>
        </w:tabs>
        <w:spacing w:after="120"/>
        <w:ind w:left="1134" w:hanging="1134"/>
      </w:pPr>
      <w:r>
        <w:tab/>
        <w:t>IV.</w:t>
      </w:r>
      <w:r>
        <w:tab/>
      </w:r>
      <w:r w:rsidR="00C41446" w:rsidRPr="005B25C2">
        <w:rPr>
          <w:lang w:val="fr-FR"/>
        </w:rPr>
        <w:t>Règlement ONU n</w:t>
      </w:r>
      <w:r w:rsidR="00C41446" w:rsidRPr="005B25C2">
        <w:rPr>
          <w:vertAlign w:val="superscript"/>
          <w:lang w:val="fr-FR"/>
        </w:rPr>
        <w:t>o</w:t>
      </w:r>
      <w:r w:rsidR="00C41446" w:rsidRPr="005B25C2">
        <w:rPr>
          <w:lang w:val="fr-FR"/>
        </w:rPr>
        <w:t> 34 (Prévention des incendies)</w:t>
      </w:r>
      <w:r w:rsidR="00C41446" w:rsidRPr="00C41446">
        <w:rPr>
          <w:lang w:val="fr-FR"/>
        </w:rPr>
        <w:t xml:space="preserve"> </w:t>
      </w:r>
      <w:r w:rsidR="00C41446" w:rsidRPr="005B25C2">
        <w:rPr>
          <w:lang w:val="fr-FR"/>
        </w:rPr>
        <w:t>(point 3 de l’ordre du jour)</w:t>
      </w:r>
      <w:r>
        <w:tab/>
      </w:r>
      <w:r>
        <w:tab/>
        <w:t>10−11</w:t>
      </w:r>
      <w:r>
        <w:tab/>
      </w:r>
      <w:r w:rsidR="00101A87">
        <w:t>4</w:t>
      </w:r>
    </w:p>
    <w:p w:rsidR="00264EA4" w:rsidRDefault="00264EA4" w:rsidP="00264EA4">
      <w:pPr>
        <w:tabs>
          <w:tab w:val="right" w:pos="850"/>
          <w:tab w:val="right" w:leader="dot" w:pos="7654"/>
          <w:tab w:val="right" w:pos="8929"/>
          <w:tab w:val="right" w:pos="9638"/>
        </w:tabs>
        <w:spacing w:after="120"/>
        <w:ind w:left="1134" w:hanging="1134"/>
      </w:pPr>
      <w:r>
        <w:tab/>
        <w:t>V.</w:t>
      </w:r>
      <w:r>
        <w:tab/>
      </w:r>
      <w:r w:rsidR="00C41446" w:rsidRPr="005B25C2">
        <w:rPr>
          <w:lang w:val="fr-FR"/>
        </w:rPr>
        <w:t xml:space="preserve">Amendements aux Règlements relatifs aux vitrages de sécurité (point 4 </w:t>
      </w:r>
      <w:r w:rsidR="00C41446">
        <w:rPr>
          <w:lang w:val="fr-FR"/>
        </w:rPr>
        <w:br/>
      </w:r>
      <w:r w:rsidR="00C41446" w:rsidRPr="005B25C2">
        <w:rPr>
          <w:lang w:val="fr-FR"/>
        </w:rPr>
        <w:t>de l’ordre du jour)</w:t>
      </w:r>
      <w:r>
        <w:tab/>
      </w:r>
      <w:r>
        <w:tab/>
        <w:t>12−16</w:t>
      </w:r>
      <w:r>
        <w:tab/>
      </w:r>
      <w:r w:rsidR="00101A87">
        <w:t>5</w:t>
      </w:r>
    </w:p>
    <w:p w:rsidR="00264EA4" w:rsidRDefault="00264EA4" w:rsidP="00264EA4">
      <w:pPr>
        <w:tabs>
          <w:tab w:val="right" w:leader="dot" w:pos="7654"/>
          <w:tab w:val="right" w:pos="8929"/>
          <w:tab w:val="right" w:pos="9638"/>
        </w:tabs>
        <w:spacing w:after="120"/>
        <w:ind w:left="1559" w:hanging="425"/>
      </w:pPr>
      <w:r>
        <w:t>A.</w:t>
      </w:r>
      <w:r>
        <w:tab/>
      </w:r>
      <w:r w:rsidR="00C41446" w:rsidRPr="005B25C2">
        <w:rPr>
          <w:lang w:val="fr-FR"/>
        </w:rPr>
        <w:t>Règlement technique mondial ONU n</w:t>
      </w:r>
      <w:r w:rsidR="00C41446" w:rsidRPr="005B25C2">
        <w:rPr>
          <w:vertAlign w:val="superscript"/>
          <w:lang w:val="fr-FR"/>
        </w:rPr>
        <w:t>o</w:t>
      </w:r>
      <w:r w:rsidR="00C41446" w:rsidRPr="005B25C2">
        <w:rPr>
          <w:lang w:val="fr-FR"/>
        </w:rPr>
        <w:t> 6 (Vitrages de sécurité)</w:t>
      </w:r>
      <w:r>
        <w:tab/>
      </w:r>
      <w:r>
        <w:tab/>
        <w:t>14</w:t>
      </w:r>
      <w:r>
        <w:tab/>
      </w:r>
      <w:r w:rsidR="00101A87">
        <w:t>5</w:t>
      </w:r>
    </w:p>
    <w:p w:rsidR="00264EA4" w:rsidRDefault="00264EA4" w:rsidP="00264EA4">
      <w:pPr>
        <w:tabs>
          <w:tab w:val="right" w:leader="dot" w:pos="7654"/>
          <w:tab w:val="right" w:pos="8929"/>
          <w:tab w:val="right" w:pos="9638"/>
        </w:tabs>
        <w:spacing w:after="120"/>
        <w:ind w:left="1559" w:hanging="425"/>
      </w:pPr>
      <w:r>
        <w:t>B.</w:t>
      </w:r>
      <w:r>
        <w:tab/>
      </w:r>
      <w:r w:rsidR="00C41446" w:rsidRPr="005B25C2">
        <w:rPr>
          <w:lang w:val="fr-FR"/>
        </w:rPr>
        <w:t>Règlement ONU n</w:t>
      </w:r>
      <w:r w:rsidR="00C41446" w:rsidRPr="005B25C2">
        <w:rPr>
          <w:vertAlign w:val="superscript"/>
          <w:lang w:val="fr-FR"/>
        </w:rPr>
        <w:t>o</w:t>
      </w:r>
      <w:r w:rsidR="00C41446" w:rsidRPr="005B25C2">
        <w:rPr>
          <w:lang w:val="fr-FR"/>
        </w:rPr>
        <w:t> 43 (Vitrages de sécurité)</w:t>
      </w:r>
      <w:r>
        <w:tab/>
      </w:r>
      <w:r>
        <w:tab/>
        <w:t>15−16</w:t>
      </w:r>
      <w:r>
        <w:tab/>
      </w:r>
      <w:r w:rsidR="00101A87">
        <w:t>5</w:t>
      </w:r>
    </w:p>
    <w:p w:rsidR="00264EA4" w:rsidRDefault="00264EA4" w:rsidP="00264EA4">
      <w:pPr>
        <w:tabs>
          <w:tab w:val="right" w:pos="850"/>
          <w:tab w:val="right" w:leader="dot" w:pos="7654"/>
          <w:tab w:val="right" w:pos="8929"/>
          <w:tab w:val="right" w:pos="9638"/>
        </w:tabs>
        <w:spacing w:after="120"/>
        <w:ind w:left="1134" w:hanging="1134"/>
      </w:pPr>
      <w:r>
        <w:tab/>
        <w:t>VI.</w:t>
      </w:r>
      <w:r>
        <w:tab/>
      </w:r>
      <w:r w:rsidR="00C41446" w:rsidRPr="005B25C2">
        <w:rPr>
          <w:lang w:val="fr-FR"/>
        </w:rPr>
        <w:t xml:space="preserve">Sensibilisation à la proximité d’usagers de la route vulnérables (point 5 </w:t>
      </w:r>
      <w:r w:rsidR="00C41446">
        <w:rPr>
          <w:lang w:val="fr-FR"/>
        </w:rPr>
        <w:br/>
      </w:r>
      <w:r w:rsidR="00C41446" w:rsidRPr="005B25C2">
        <w:rPr>
          <w:lang w:val="fr-FR"/>
        </w:rPr>
        <w:t>de l’ordre du jour)</w:t>
      </w:r>
      <w:r>
        <w:tab/>
      </w:r>
      <w:r>
        <w:tab/>
        <w:t>17−22</w:t>
      </w:r>
      <w:r>
        <w:tab/>
      </w:r>
      <w:r w:rsidR="00101A87">
        <w:t>6</w:t>
      </w:r>
    </w:p>
    <w:p w:rsidR="00264EA4" w:rsidRDefault="00264EA4" w:rsidP="00264EA4">
      <w:pPr>
        <w:tabs>
          <w:tab w:val="right" w:leader="dot" w:pos="7654"/>
          <w:tab w:val="right" w:pos="8929"/>
          <w:tab w:val="right" w:pos="9638"/>
        </w:tabs>
        <w:spacing w:after="120"/>
        <w:ind w:left="1559" w:hanging="425"/>
      </w:pPr>
      <w:r>
        <w:t>A.</w:t>
      </w:r>
      <w:r>
        <w:tab/>
      </w:r>
      <w:r w:rsidR="00C41446" w:rsidRPr="005B25C2">
        <w:rPr>
          <w:lang w:val="fr-FR"/>
        </w:rPr>
        <w:t>Règlement ONU n</w:t>
      </w:r>
      <w:r w:rsidR="00C41446" w:rsidRPr="005B25C2">
        <w:rPr>
          <w:vertAlign w:val="superscript"/>
          <w:lang w:val="fr-FR"/>
        </w:rPr>
        <w:t>o</w:t>
      </w:r>
      <w:r w:rsidR="00C41446" w:rsidRPr="005B25C2">
        <w:rPr>
          <w:lang w:val="fr-FR"/>
        </w:rPr>
        <w:t> 46 (Dispositifs de vision indirecte)</w:t>
      </w:r>
      <w:r>
        <w:tab/>
      </w:r>
      <w:r>
        <w:tab/>
        <w:t>1</w:t>
      </w:r>
      <w:r w:rsidR="003D31FD">
        <w:t>8−19</w:t>
      </w:r>
      <w:r>
        <w:tab/>
      </w:r>
      <w:r w:rsidR="00101A87">
        <w:t>6</w:t>
      </w:r>
    </w:p>
    <w:p w:rsidR="00264EA4" w:rsidRDefault="00264EA4" w:rsidP="00264EA4">
      <w:pPr>
        <w:tabs>
          <w:tab w:val="right" w:leader="dot" w:pos="7654"/>
          <w:tab w:val="right" w:pos="8929"/>
          <w:tab w:val="right" w:pos="9638"/>
        </w:tabs>
        <w:spacing w:after="120"/>
        <w:ind w:left="1559" w:hanging="425"/>
      </w:pPr>
      <w:r>
        <w:t>B.</w:t>
      </w:r>
      <w:r>
        <w:tab/>
      </w:r>
      <w:r w:rsidR="00C41446" w:rsidRPr="005B25C2">
        <w:rPr>
          <w:lang w:val="fr-FR"/>
        </w:rPr>
        <w:t>Nouveau Règlement ONU sur les systèmes de surveillance</w:t>
      </w:r>
      <w:r w:rsidR="00C41446">
        <w:rPr>
          <w:lang w:val="fr-FR"/>
        </w:rPr>
        <w:br/>
        <w:t>de l’angle mort</w:t>
      </w:r>
      <w:r>
        <w:tab/>
      </w:r>
      <w:r>
        <w:tab/>
      </w:r>
      <w:r w:rsidR="003D31FD">
        <w:t>20</w:t>
      </w:r>
      <w:r>
        <w:t>−</w:t>
      </w:r>
      <w:r w:rsidR="003D31FD">
        <w:t>22</w:t>
      </w:r>
      <w:r>
        <w:tab/>
      </w:r>
      <w:r w:rsidR="00101A87">
        <w:t>6</w:t>
      </w:r>
    </w:p>
    <w:p w:rsidR="003D31FD" w:rsidRDefault="003D31FD" w:rsidP="003D31FD">
      <w:pPr>
        <w:tabs>
          <w:tab w:val="right" w:pos="850"/>
          <w:tab w:val="right" w:leader="dot" w:pos="7654"/>
          <w:tab w:val="right" w:pos="8929"/>
          <w:tab w:val="right" w:pos="9638"/>
        </w:tabs>
        <w:spacing w:after="120"/>
        <w:ind w:left="1134" w:hanging="1134"/>
      </w:pPr>
      <w:r>
        <w:tab/>
        <w:t>VII.</w:t>
      </w:r>
      <w:r>
        <w:tab/>
      </w:r>
      <w:r w:rsidR="00C41446" w:rsidRPr="005B25C2">
        <w:rPr>
          <w:lang w:val="fr-FR"/>
        </w:rPr>
        <w:t xml:space="preserve">Amendements aux Règlements concernant les véhicules fonctionnant au gaz </w:t>
      </w:r>
      <w:r w:rsidR="00C41446">
        <w:rPr>
          <w:lang w:val="fr-FR"/>
        </w:rPr>
        <w:br/>
        <w:t xml:space="preserve">(point 6 </w:t>
      </w:r>
      <w:r w:rsidR="00C41446" w:rsidRPr="005B25C2">
        <w:rPr>
          <w:lang w:val="fr-FR"/>
        </w:rPr>
        <w:t>de l’ordre du jour)</w:t>
      </w:r>
      <w:r>
        <w:tab/>
      </w:r>
      <w:r>
        <w:tab/>
        <w:t>23−35</w:t>
      </w:r>
      <w:r>
        <w:tab/>
      </w:r>
      <w:r w:rsidR="00101A87">
        <w:t>7</w:t>
      </w:r>
    </w:p>
    <w:p w:rsidR="003D31FD" w:rsidRDefault="003D31FD" w:rsidP="003D31FD">
      <w:pPr>
        <w:tabs>
          <w:tab w:val="right" w:leader="dot" w:pos="7654"/>
          <w:tab w:val="right" w:pos="8929"/>
          <w:tab w:val="right" w:pos="9638"/>
        </w:tabs>
        <w:spacing w:after="120"/>
        <w:ind w:left="1559" w:hanging="425"/>
      </w:pPr>
      <w:r>
        <w:t>A.</w:t>
      </w:r>
      <w:r>
        <w:tab/>
      </w:r>
      <w:r w:rsidR="00C41446" w:rsidRPr="005B25C2">
        <w:rPr>
          <w:lang w:val="fr-FR"/>
        </w:rPr>
        <w:t>Règlement ONU n</w:t>
      </w:r>
      <w:r w:rsidR="00C41446" w:rsidRPr="005B25C2">
        <w:rPr>
          <w:vertAlign w:val="superscript"/>
          <w:lang w:val="fr-FR"/>
        </w:rPr>
        <w:t>o</w:t>
      </w:r>
      <w:r w:rsidR="00C41446">
        <w:rPr>
          <w:b/>
          <w:lang w:val="fr-FR"/>
        </w:rPr>
        <w:t> </w:t>
      </w:r>
      <w:r w:rsidR="00C41446" w:rsidRPr="00F77D91">
        <w:rPr>
          <w:lang w:val="fr-FR"/>
        </w:rPr>
        <w:t xml:space="preserve">67 </w:t>
      </w:r>
      <w:r w:rsidR="00C41446" w:rsidRPr="005B25C2">
        <w:rPr>
          <w:lang w:val="fr-FR"/>
        </w:rPr>
        <w:t>(Véhicules alimentés au GPL</w:t>
      </w:r>
      <w:r w:rsidR="00F77D91">
        <w:rPr>
          <w:lang w:val="fr-FR"/>
        </w:rPr>
        <w:t>)</w:t>
      </w:r>
      <w:r>
        <w:tab/>
      </w:r>
      <w:r>
        <w:tab/>
        <w:t>24−27</w:t>
      </w:r>
      <w:r>
        <w:tab/>
      </w:r>
      <w:r w:rsidR="00101A87">
        <w:t>7</w:t>
      </w:r>
    </w:p>
    <w:p w:rsidR="003D31FD" w:rsidRDefault="003D31FD" w:rsidP="003D31FD">
      <w:pPr>
        <w:tabs>
          <w:tab w:val="right" w:leader="dot" w:pos="7654"/>
          <w:tab w:val="right" w:pos="8929"/>
          <w:tab w:val="right" w:pos="9638"/>
        </w:tabs>
        <w:spacing w:after="120"/>
        <w:ind w:left="1559" w:hanging="425"/>
      </w:pPr>
      <w:r>
        <w:t>B.</w:t>
      </w:r>
      <w:r>
        <w:tab/>
      </w:r>
      <w:r w:rsidR="00C41446" w:rsidRPr="005B25C2">
        <w:rPr>
          <w:lang w:val="fr-FR"/>
        </w:rPr>
        <w:t>Règlement ONU n</w:t>
      </w:r>
      <w:r w:rsidR="00C41446" w:rsidRPr="005B25C2">
        <w:rPr>
          <w:vertAlign w:val="superscript"/>
          <w:lang w:val="fr-FR"/>
        </w:rPr>
        <w:t>o</w:t>
      </w:r>
      <w:r w:rsidR="00C41446" w:rsidRPr="005B25C2">
        <w:rPr>
          <w:lang w:val="fr-FR"/>
        </w:rPr>
        <w:t> 110 (Véhicules alimentés au GNC/GNL)</w:t>
      </w:r>
      <w:r>
        <w:tab/>
      </w:r>
      <w:r>
        <w:tab/>
        <w:t>28−35</w:t>
      </w:r>
      <w:r>
        <w:tab/>
      </w:r>
      <w:r w:rsidR="00101A87">
        <w:t>8</w:t>
      </w:r>
    </w:p>
    <w:p w:rsidR="003D31FD" w:rsidRDefault="003D31FD" w:rsidP="003D31FD">
      <w:pPr>
        <w:tabs>
          <w:tab w:val="right" w:pos="850"/>
          <w:tab w:val="right" w:leader="dot" w:pos="7654"/>
          <w:tab w:val="right" w:pos="8929"/>
          <w:tab w:val="right" w:pos="9638"/>
        </w:tabs>
        <w:spacing w:after="120"/>
        <w:ind w:left="1134" w:hanging="1134"/>
      </w:pPr>
      <w:r>
        <w:tab/>
        <w:t>VIII.</w:t>
      </w:r>
      <w:r>
        <w:tab/>
      </w:r>
      <w:r w:rsidR="00C41446" w:rsidRPr="005B25C2">
        <w:rPr>
          <w:lang w:val="fr-FR"/>
        </w:rPr>
        <w:t>Règlement ONU n</w:t>
      </w:r>
      <w:r w:rsidR="00C41446" w:rsidRPr="005B25C2">
        <w:rPr>
          <w:vertAlign w:val="superscript"/>
          <w:lang w:val="fr-FR"/>
        </w:rPr>
        <w:t>o</w:t>
      </w:r>
      <w:r w:rsidR="00C41446" w:rsidRPr="005B25C2">
        <w:rPr>
          <w:lang w:val="fr-FR"/>
        </w:rPr>
        <w:t> 73 (Dispositifs d</w:t>
      </w:r>
      <w:r w:rsidR="00C41446">
        <w:rPr>
          <w:lang w:val="fr-FR"/>
        </w:rPr>
        <w:t>e protection latérale) (point 7</w:t>
      </w:r>
      <w:r w:rsidR="00C41446">
        <w:rPr>
          <w:lang w:val="fr-FR"/>
        </w:rPr>
        <w:br/>
      </w:r>
      <w:r w:rsidR="00C41446" w:rsidRPr="005B25C2">
        <w:rPr>
          <w:lang w:val="fr-FR"/>
        </w:rPr>
        <w:t>de l’ordre du jour)</w:t>
      </w:r>
      <w:r>
        <w:tab/>
      </w:r>
      <w:r>
        <w:tab/>
        <w:t>36−38</w:t>
      </w:r>
      <w:r>
        <w:tab/>
      </w:r>
      <w:r w:rsidR="00101A87">
        <w:t>9</w:t>
      </w:r>
    </w:p>
    <w:p w:rsidR="003D31FD" w:rsidRDefault="003D31FD" w:rsidP="003D31FD">
      <w:pPr>
        <w:tabs>
          <w:tab w:val="right" w:pos="850"/>
          <w:tab w:val="right" w:leader="dot" w:pos="7654"/>
          <w:tab w:val="right" w:pos="8929"/>
          <w:tab w:val="right" w:pos="9638"/>
        </w:tabs>
        <w:spacing w:after="120"/>
        <w:ind w:left="1134" w:hanging="1134"/>
      </w:pPr>
      <w:r>
        <w:tab/>
        <w:t>IX.</w:t>
      </w:r>
      <w:r>
        <w:tab/>
      </w:r>
      <w:r w:rsidR="00C41446" w:rsidRPr="005B25C2">
        <w:rPr>
          <w:lang w:val="fr-FR"/>
        </w:rPr>
        <w:t>Règlement ONU n</w:t>
      </w:r>
      <w:r w:rsidR="00C41446" w:rsidRPr="005B25C2">
        <w:rPr>
          <w:vertAlign w:val="superscript"/>
          <w:lang w:val="fr-FR"/>
        </w:rPr>
        <w:t>o</w:t>
      </w:r>
      <w:r w:rsidR="00C41446" w:rsidRPr="005B25C2">
        <w:rPr>
          <w:lang w:val="fr-FR"/>
        </w:rPr>
        <w:t> 116 (Dispositifs antivol</w:t>
      </w:r>
      <w:r w:rsidR="00C41446">
        <w:rPr>
          <w:lang w:val="fr-FR"/>
        </w:rPr>
        <w:t xml:space="preserve"> et systèmes d’alarme) (point 8</w:t>
      </w:r>
      <w:r w:rsidR="00C41446">
        <w:rPr>
          <w:lang w:val="fr-FR"/>
        </w:rPr>
        <w:br/>
      </w:r>
      <w:r w:rsidR="00C41446" w:rsidRPr="005B25C2">
        <w:rPr>
          <w:lang w:val="fr-FR"/>
        </w:rPr>
        <w:t>de l’ordre du jour)</w:t>
      </w:r>
      <w:r>
        <w:tab/>
      </w:r>
      <w:r>
        <w:tab/>
        <w:t>39−41</w:t>
      </w:r>
      <w:r>
        <w:tab/>
      </w:r>
      <w:r w:rsidR="00101A87">
        <w:t>9</w:t>
      </w:r>
    </w:p>
    <w:p w:rsidR="003D31FD" w:rsidRDefault="003D31FD" w:rsidP="003D31FD">
      <w:pPr>
        <w:tabs>
          <w:tab w:val="right" w:pos="850"/>
          <w:tab w:val="right" w:leader="dot" w:pos="7654"/>
          <w:tab w:val="right" w:pos="8929"/>
          <w:tab w:val="right" w:pos="9638"/>
        </w:tabs>
        <w:spacing w:after="120"/>
        <w:ind w:left="1134" w:hanging="1134"/>
      </w:pPr>
      <w:r>
        <w:tab/>
        <w:t>X.</w:t>
      </w:r>
      <w:r>
        <w:tab/>
      </w:r>
      <w:r w:rsidR="00C41446" w:rsidRPr="005B25C2">
        <w:rPr>
          <w:lang w:val="fr-FR"/>
        </w:rPr>
        <w:t>Règlement ONU n</w:t>
      </w:r>
      <w:r w:rsidR="00C41446" w:rsidRPr="005B25C2">
        <w:rPr>
          <w:vertAlign w:val="superscript"/>
          <w:lang w:val="fr-FR"/>
        </w:rPr>
        <w:t>o</w:t>
      </w:r>
      <w:r w:rsidR="00C41446" w:rsidRPr="005B25C2">
        <w:rPr>
          <w:lang w:val="fr-FR"/>
        </w:rPr>
        <w:t xml:space="preserve"> 121 (Identification des commandes manuelles, des témoins </w:t>
      </w:r>
      <w:r w:rsidR="00C41446">
        <w:rPr>
          <w:lang w:val="fr-FR"/>
        </w:rPr>
        <w:br/>
      </w:r>
      <w:r w:rsidR="00C41446" w:rsidRPr="005B25C2">
        <w:rPr>
          <w:lang w:val="fr-FR"/>
        </w:rPr>
        <w:t>et des indicateurs) (point 9</w:t>
      </w:r>
      <w:r w:rsidR="00C41446">
        <w:rPr>
          <w:lang w:val="fr-FR"/>
        </w:rPr>
        <w:t xml:space="preserve"> </w:t>
      </w:r>
      <w:r w:rsidR="00C41446" w:rsidRPr="005B25C2">
        <w:rPr>
          <w:lang w:val="fr-FR"/>
        </w:rPr>
        <w:t>de l’ordre du jour)</w:t>
      </w:r>
      <w:r>
        <w:tab/>
      </w:r>
      <w:r>
        <w:tab/>
        <w:t>42−43</w:t>
      </w:r>
      <w:r>
        <w:tab/>
      </w:r>
      <w:r w:rsidR="00101A87">
        <w:t>10</w:t>
      </w:r>
    </w:p>
    <w:p w:rsidR="003D31FD" w:rsidRDefault="003D31FD" w:rsidP="003D31FD">
      <w:pPr>
        <w:tabs>
          <w:tab w:val="right" w:pos="850"/>
          <w:tab w:val="right" w:leader="dot" w:pos="7654"/>
          <w:tab w:val="right" w:pos="8929"/>
          <w:tab w:val="right" w:pos="9638"/>
        </w:tabs>
        <w:spacing w:after="120"/>
        <w:ind w:left="1134" w:hanging="1134"/>
      </w:pPr>
      <w:r>
        <w:tab/>
        <w:t>XI.</w:t>
      </w:r>
      <w:r>
        <w:tab/>
      </w:r>
      <w:r w:rsidR="00C41446" w:rsidRPr="005B25C2">
        <w:rPr>
          <w:lang w:val="fr-FR"/>
        </w:rPr>
        <w:t>Règlement ONU n</w:t>
      </w:r>
      <w:r w:rsidR="00C41446" w:rsidRPr="005B25C2">
        <w:rPr>
          <w:vertAlign w:val="superscript"/>
          <w:lang w:val="fr-FR"/>
        </w:rPr>
        <w:t>o</w:t>
      </w:r>
      <w:r w:rsidR="00C41446" w:rsidRPr="005B25C2">
        <w:rPr>
          <w:lang w:val="fr-FR"/>
        </w:rPr>
        <w:t> 122 (Systèmes de chauffage) (point 10</w:t>
      </w:r>
      <w:r w:rsidR="00C41446">
        <w:rPr>
          <w:lang w:val="fr-FR"/>
        </w:rPr>
        <w:t xml:space="preserve"> </w:t>
      </w:r>
      <w:r w:rsidR="00C41446" w:rsidRPr="005B25C2">
        <w:rPr>
          <w:lang w:val="fr-FR"/>
        </w:rPr>
        <w:t>de l’ordre du jour)</w:t>
      </w:r>
      <w:r>
        <w:tab/>
      </w:r>
      <w:r>
        <w:tab/>
        <w:t>44</w:t>
      </w:r>
      <w:r>
        <w:tab/>
      </w:r>
      <w:r w:rsidR="00101A87">
        <w:t>11</w:t>
      </w:r>
    </w:p>
    <w:p w:rsidR="003D31FD" w:rsidRDefault="003D31FD" w:rsidP="003D31FD">
      <w:pPr>
        <w:tabs>
          <w:tab w:val="right" w:pos="850"/>
          <w:tab w:val="right" w:leader="dot" w:pos="7654"/>
          <w:tab w:val="right" w:pos="8929"/>
          <w:tab w:val="right" w:pos="9638"/>
        </w:tabs>
        <w:spacing w:after="120"/>
        <w:ind w:left="1134" w:hanging="1134"/>
      </w:pPr>
      <w:r>
        <w:tab/>
        <w:t>XII.</w:t>
      </w:r>
      <w:r>
        <w:tab/>
      </w:r>
      <w:r w:rsidR="00C41446" w:rsidRPr="005B25C2">
        <w:rPr>
          <w:lang w:val="fr-FR"/>
        </w:rPr>
        <w:t>Systèmes automatiq</w:t>
      </w:r>
      <w:r w:rsidR="00C41446">
        <w:rPr>
          <w:lang w:val="fr-FR"/>
        </w:rPr>
        <w:t>ues d’appel d’urgence (point 11</w:t>
      </w:r>
      <w:r w:rsidR="00C41446" w:rsidRPr="005B25C2">
        <w:rPr>
          <w:lang w:val="fr-FR"/>
        </w:rPr>
        <w:t>de l’ordre du jour)</w:t>
      </w:r>
      <w:r>
        <w:tab/>
      </w:r>
      <w:r>
        <w:tab/>
        <w:t>45−48</w:t>
      </w:r>
      <w:r>
        <w:tab/>
      </w:r>
      <w:r w:rsidR="00101A87">
        <w:t>11</w:t>
      </w:r>
    </w:p>
    <w:p w:rsidR="003D31FD" w:rsidRDefault="003D31FD" w:rsidP="003D31FD">
      <w:pPr>
        <w:tabs>
          <w:tab w:val="right" w:pos="850"/>
          <w:tab w:val="right" w:leader="dot" w:pos="7654"/>
          <w:tab w:val="right" w:pos="8929"/>
          <w:tab w:val="right" w:pos="9638"/>
        </w:tabs>
        <w:spacing w:after="120"/>
        <w:ind w:left="1134" w:hanging="1134"/>
      </w:pPr>
      <w:r>
        <w:tab/>
        <w:t>XIII.</w:t>
      </w:r>
      <w:r>
        <w:tab/>
      </w:r>
      <w:r w:rsidR="00C41446" w:rsidRPr="005B25C2">
        <w:rPr>
          <w:lang w:val="fr-FR"/>
        </w:rPr>
        <w:t xml:space="preserve">Homologation de type internationale de l’ensemble du véhicule (IWVTA) </w:t>
      </w:r>
      <w:r w:rsidR="00C41446">
        <w:rPr>
          <w:lang w:val="fr-FR"/>
        </w:rPr>
        <w:br/>
      </w:r>
      <w:r w:rsidR="00C41446" w:rsidRPr="005B25C2">
        <w:rPr>
          <w:lang w:val="fr-FR"/>
        </w:rPr>
        <w:t>(point 12</w:t>
      </w:r>
      <w:r w:rsidR="00C41446">
        <w:rPr>
          <w:lang w:val="fr-FR"/>
        </w:rPr>
        <w:t xml:space="preserve"> </w:t>
      </w:r>
      <w:r w:rsidR="00C41446" w:rsidRPr="005B25C2">
        <w:rPr>
          <w:lang w:val="fr-FR"/>
        </w:rPr>
        <w:t>de l’ordre du jour)</w:t>
      </w:r>
      <w:r>
        <w:tab/>
      </w:r>
      <w:r>
        <w:tab/>
        <w:t>49−50</w:t>
      </w:r>
      <w:r>
        <w:tab/>
      </w:r>
      <w:r w:rsidR="00101A87">
        <w:t>11</w:t>
      </w:r>
    </w:p>
    <w:p w:rsidR="003D31FD" w:rsidRDefault="003D31FD" w:rsidP="003D31FD">
      <w:pPr>
        <w:tabs>
          <w:tab w:val="right" w:pos="850"/>
          <w:tab w:val="right" w:leader="dot" w:pos="7654"/>
          <w:tab w:val="right" w:pos="8929"/>
          <w:tab w:val="right" w:pos="9638"/>
        </w:tabs>
        <w:spacing w:after="120"/>
        <w:ind w:left="1134" w:hanging="1134"/>
      </w:pPr>
      <w:r>
        <w:tab/>
        <w:t>XIV.</w:t>
      </w:r>
      <w:r>
        <w:tab/>
      </w:r>
      <w:r w:rsidR="00C41446" w:rsidRPr="005B25C2">
        <w:rPr>
          <w:lang w:val="fr-FR"/>
        </w:rPr>
        <w:t>Questions diverses (point 13 de l’ordre du jour)</w:t>
      </w:r>
      <w:r>
        <w:tab/>
      </w:r>
      <w:r>
        <w:tab/>
        <w:t>51−57</w:t>
      </w:r>
      <w:r>
        <w:tab/>
      </w:r>
      <w:r w:rsidR="00101A87">
        <w:t>12</w:t>
      </w:r>
    </w:p>
    <w:p w:rsidR="003D31FD" w:rsidRDefault="003D31FD" w:rsidP="003D31FD">
      <w:pPr>
        <w:tabs>
          <w:tab w:val="right" w:leader="dot" w:pos="7654"/>
          <w:tab w:val="right" w:pos="8929"/>
          <w:tab w:val="right" w:pos="9638"/>
        </w:tabs>
        <w:spacing w:after="120"/>
        <w:ind w:left="1559" w:hanging="425"/>
      </w:pPr>
      <w:r>
        <w:t>A.</w:t>
      </w:r>
      <w:r>
        <w:tab/>
      </w:r>
      <w:r w:rsidR="00C41446" w:rsidRPr="005B25C2">
        <w:rPr>
          <w:lang w:val="fr-FR"/>
        </w:rPr>
        <w:t>Règlement ONU n</w:t>
      </w:r>
      <w:r w:rsidR="00C41446" w:rsidRPr="005B25C2">
        <w:rPr>
          <w:vertAlign w:val="superscript"/>
          <w:lang w:val="fr-FR"/>
        </w:rPr>
        <w:t>o</w:t>
      </w:r>
      <w:r w:rsidR="00C41446" w:rsidRPr="005B25C2">
        <w:rPr>
          <w:lang w:val="fr-FR"/>
        </w:rPr>
        <w:t xml:space="preserve"> 62 (Dispositifs antivol des cyclomoteurs et </w:t>
      </w:r>
      <w:r w:rsidR="00C41446">
        <w:rPr>
          <w:lang w:val="fr-FR"/>
        </w:rPr>
        <w:br/>
      </w:r>
      <w:r w:rsidR="00C41446" w:rsidRPr="005B25C2">
        <w:rPr>
          <w:lang w:val="fr-FR"/>
        </w:rPr>
        <w:t>motocycles)</w:t>
      </w:r>
      <w:r>
        <w:tab/>
      </w:r>
      <w:r>
        <w:tab/>
        <w:t>51</w:t>
      </w:r>
      <w:r>
        <w:tab/>
      </w:r>
      <w:r w:rsidR="00101A87">
        <w:t>12</w:t>
      </w:r>
    </w:p>
    <w:p w:rsidR="003D31FD" w:rsidRDefault="003D31FD" w:rsidP="003D31FD">
      <w:pPr>
        <w:tabs>
          <w:tab w:val="right" w:leader="dot" w:pos="7654"/>
          <w:tab w:val="right" w:pos="8929"/>
          <w:tab w:val="right" w:pos="9638"/>
        </w:tabs>
        <w:spacing w:after="120"/>
        <w:ind w:left="1559" w:hanging="425"/>
      </w:pPr>
      <w:r>
        <w:t>B.</w:t>
      </w:r>
      <w:r>
        <w:tab/>
      </w:r>
      <w:r w:rsidR="00C41446" w:rsidRPr="005B25C2">
        <w:rPr>
          <w:lang w:val="fr-FR"/>
        </w:rPr>
        <w:t>Autres questions</w:t>
      </w:r>
      <w:r>
        <w:tab/>
      </w:r>
      <w:r>
        <w:tab/>
        <w:t>52−55</w:t>
      </w:r>
      <w:r>
        <w:tab/>
      </w:r>
      <w:r w:rsidR="00101A87">
        <w:t>12</w:t>
      </w:r>
    </w:p>
    <w:p w:rsidR="003D31FD" w:rsidRDefault="003D31FD" w:rsidP="003D31FD">
      <w:pPr>
        <w:tabs>
          <w:tab w:val="right" w:leader="dot" w:pos="7654"/>
          <w:tab w:val="right" w:pos="8929"/>
          <w:tab w:val="right" w:pos="9638"/>
        </w:tabs>
        <w:spacing w:after="120"/>
        <w:ind w:left="1559" w:hanging="425"/>
      </w:pPr>
      <w:r>
        <w:t>C.</w:t>
      </w:r>
      <w:r>
        <w:tab/>
      </w:r>
      <w:r w:rsidR="00C41446" w:rsidRPr="005B25C2">
        <w:t xml:space="preserve">Hommages à MM. </w:t>
      </w:r>
      <w:r w:rsidR="00C41446" w:rsidRPr="005B25C2">
        <w:rPr>
          <w:lang w:val="fr-FR"/>
        </w:rPr>
        <w:t>J. Kownacki et F. Boulay</w:t>
      </w:r>
      <w:r>
        <w:tab/>
      </w:r>
      <w:r>
        <w:tab/>
        <w:t>56−57</w:t>
      </w:r>
      <w:r>
        <w:tab/>
      </w:r>
      <w:r w:rsidR="00101A87">
        <w:t>13</w:t>
      </w:r>
    </w:p>
    <w:p w:rsidR="003D31FD" w:rsidRDefault="003D31FD" w:rsidP="003D31FD">
      <w:pPr>
        <w:tabs>
          <w:tab w:val="right" w:pos="850"/>
          <w:tab w:val="right" w:leader="dot" w:pos="7654"/>
          <w:tab w:val="right" w:pos="8929"/>
          <w:tab w:val="right" w:pos="9638"/>
        </w:tabs>
        <w:spacing w:after="120"/>
        <w:ind w:left="1134" w:hanging="1134"/>
      </w:pPr>
      <w:r>
        <w:tab/>
        <w:t>XV.</w:t>
      </w:r>
      <w:r>
        <w:tab/>
      </w:r>
      <w:r w:rsidR="00C41446" w:rsidRPr="005B25C2">
        <w:rPr>
          <w:lang w:val="fr-FR"/>
        </w:rPr>
        <w:t>Ordre du jour provisoire de la 115</w:t>
      </w:r>
      <w:r w:rsidR="00C41446" w:rsidRPr="005B25C2">
        <w:rPr>
          <w:vertAlign w:val="superscript"/>
          <w:lang w:val="fr-FR"/>
        </w:rPr>
        <w:t>e</w:t>
      </w:r>
      <w:r w:rsidR="00C41446" w:rsidRPr="005B25C2">
        <w:rPr>
          <w:lang w:val="fr-FR"/>
        </w:rPr>
        <w:t> session</w:t>
      </w:r>
      <w:r>
        <w:tab/>
      </w:r>
      <w:r>
        <w:tab/>
        <w:t>58</w:t>
      </w:r>
      <w:r>
        <w:tab/>
      </w:r>
      <w:r w:rsidR="00101A87">
        <w:t>13</w:t>
      </w:r>
    </w:p>
    <w:p w:rsidR="00264EA4" w:rsidRDefault="00264EA4" w:rsidP="00264EA4">
      <w:pPr>
        <w:tabs>
          <w:tab w:val="right" w:pos="850"/>
        </w:tabs>
        <w:spacing w:after="120"/>
      </w:pPr>
      <w:r>
        <w:tab/>
        <w:t>Annexes</w:t>
      </w:r>
    </w:p>
    <w:p w:rsidR="00821B59" w:rsidRPr="00B82A37" w:rsidRDefault="00821B59" w:rsidP="00821B59">
      <w:pPr>
        <w:tabs>
          <w:tab w:val="right" w:pos="850"/>
          <w:tab w:val="left" w:pos="1134"/>
          <w:tab w:val="left" w:pos="1559"/>
          <w:tab w:val="left" w:pos="1984"/>
          <w:tab w:val="left" w:leader="dot" w:pos="8900"/>
          <w:tab w:val="right" w:pos="9638"/>
        </w:tabs>
        <w:spacing w:after="120"/>
        <w:ind w:left="1134" w:hanging="1134"/>
      </w:pPr>
      <w:r>
        <w:tab/>
      </w:r>
      <w:r w:rsidRPr="00B82A37">
        <w:t>I.</w:t>
      </w:r>
      <w:r w:rsidRPr="00B82A37">
        <w:tab/>
      </w:r>
      <w:r w:rsidRPr="005B25C2">
        <w:rPr>
          <w:lang w:val="fr-FR"/>
        </w:rPr>
        <w:t>Liste des documents sans cote officielle (GRSG-114-…) distribués</w:t>
      </w:r>
      <w:r w:rsidRPr="00BA7ED5">
        <w:rPr>
          <w:lang w:val="fr-FR"/>
        </w:rPr>
        <w:t xml:space="preserve"> </w:t>
      </w:r>
      <w:r w:rsidRPr="005B25C2">
        <w:rPr>
          <w:lang w:val="fr-FR"/>
        </w:rPr>
        <w:t xml:space="preserve">pendant la session </w:t>
      </w:r>
      <w:r>
        <w:rPr>
          <w:lang w:val="fr-FR"/>
        </w:rPr>
        <w:br/>
      </w:r>
      <w:r w:rsidRPr="005B25C2">
        <w:rPr>
          <w:lang w:val="fr-FR"/>
        </w:rPr>
        <w:t>(anglais seulement)</w:t>
      </w:r>
      <w:r>
        <w:rPr>
          <w:lang w:val="fr-FR"/>
        </w:rPr>
        <w:tab/>
      </w:r>
      <w:r w:rsidRPr="00B82A37">
        <w:tab/>
      </w:r>
      <w:r>
        <w:t>1</w:t>
      </w:r>
      <w:r>
        <w:t>5</w:t>
      </w:r>
      <w:r w:rsidRPr="00B82A37">
        <w:tab/>
      </w:r>
    </w:p>
    <w:p w:rsidR="003D31FD" w:rsidRPr="00B82A37" w:rsidRDefault="003D31FD" w:rsidP="00BA7ED5">
      <w:pPr>
        <w:tabs>
          <w:tab w:val="right" w:pos="850"/>
          <w:tab w:val="left" w:pos="1134"/>
          <w:tab w:val="left" w:pos="1559"/>
          <w:tab w:val="left" w:pos="1984"/>
          <w:tab w:val="left" w:leader="dot" w:pos="8900"/>
          <w:tab w:val="right" w:pos="9638"/>
        </w:tabs>
        <w:spacing w:after="120"/>
        <w:ind w:left="1134" w:hanging="1134"/>
      </w:pPr>
      <w:r w:rsidRPr="00B82A37">
        <w:tab/>
        <w:t>II.</w:t>
      </w:r>
      <w:r w:rsidRPr="00B82A37">
        <w:tab/>
      </w:r>
      <w:r w:rsidR="00BA7ED5" w:rsidRPr="005B25C2">
        <w:rPr>
          <w:lang w:val="fr-FR"/>
        </w:rPr>
        <w:t xml:space="preserve">Mandat et Règlement intérieur du groupe de travail informel </w:t>
      </w:r>
      <w:r w:rsidR="00BA7ED5" w:rsidRPr="005B25C2">
        <w:rPr>
          <w:spacing w:val="2"/>
          <w:lang w:val="fr-FR"/>
        </w:rPr>
        <w:t xml:space="preserve">du GRSG chargé d’étudier le comportement général </w:t>
      </w:r>
      <w:r w:rsidR="00BA7ED5" w:rsidRPr="005B25C2">
        <w:rPr>
          <w:spacing w:val="-2"/>
          <w:lang w:val="fr-FR"/>
        </w:rPr>
        <w:t>des véhicules des catégories M</w:t>
      </w:r>
      <w:r w:rsidR="00BA7ED5" w:rsidRPr="005B25C2">
        <w:rPr>
          <w:spacing w:val="-2"/>
          <w:vertAlign w:val="subscript"/>
          <w:lang w:val="fr-FR"/>
        </w:rPr>
        <w:t>2</w:t>
      </w:r>
      <w:r w:rsidR="00BA7ED5" w:rsidRPr="005B25C2">
        <w:rPr>
          <w:spacing w:val="-2"/>
          <w:lang w:val="fr-FR"/>
        </w:rPr>
        <w:t xml:space="preserve"> et M</w:t>
      </w:r>
      <w:r w:rsidR="00BA7ED5" w:rsidRPr="005B25C2">
        <w:rPr>
          <w:spacing w:val="-2"/>
          <w:vertAlign w:val="subscript"/>
          <w:lang w:val="fr-FR"/>
        </w:rPr>
        <w:t>3</w:t>
      </w:r>
      <w:r w:rsidR="00BA7ED5" w:rsidRPr="005B25C2">
        <w:rPr>
          <w:spacing w:val="-2"/>
          <w:lang w:val="fr-FR"/>
        </w:rPr>
        <w:t xml:space="preserve"> en cas d’incendie</w:t>
      </w:r>
      <w:r w:rsidR="00BA7ED5" w:rsidRPr="005B25C2">
        <w:rPr>
          <w:lang w:val="fr-FR"/>
        </w:rPr>
        <w:t xml:space="preserve"> (BMFE) (par. 8)</w:t>
      </w:r>
      <w:r w:rsidRPr="00B82A37">
        <w:tab/>
      </w:r>
      <w:r w:rsidRPr="00B82A37">
        <w:tab/>
      </w:r>
      <w:r w:rsidR="00821B59">
        <w:t>17</w:t>
      </w:r>
      <w:r w:rsidRPr="00B82A37">
        <w:tab/>
      </w:r>
    </w:p>
    <w:p w:rsidR="003D31FD" w:rsidRPr="00B82A37" w:rsidRDefault="003D31FD" w:rsidP="00BA7ED5">
      <w:pPr>
        <w:tabs>
          <w:tab w:val="right" w:pos="850"/>
          <w:tab w:val="left" w:pos="1134"/>
          <w:tab w:val="left" w:pos="1559"/>
          <w:tab w:val="left" w:pos="1984"/>
          <w:tab w:val="left" w:leader="dot" w:pos="8900"/>
          <w:tab w:val="right" w:pos="9638"/>
        </w:tabs>
        <w:spacing w:after="120"/>
        <w:ind w:left="1134" w:hanging="1134"/>
      </w:pPr>
      <w:r w:rsidRPr="00B82A37">
        <w:tab/>
        <w:t>III.</w:t>
      </w:r>
      <w:r w:rsidRPr="00B82A37">
        <w:tab/>
      </w:r>
      <w:r w:rsidR="00BA7ED5" w:rsidRPr="005B25C2">
        <w:rPr>
          <w:spacing w:val="-2"/>
          <w:lang w:val="fr-FR"/>
        </w:rPr>
        <w:t>Projet de complément 6 à la série 02 d’amendements et</w:t>
      </w:r>
      <w:r w:rsidR="00BA7ED5" w:rsidRPr="005B25C2">
        <w:rPr>
          <w:lang w:val="fr-FR"/>
        </w:rPr>
        <w:t xml:space="preserve"> projet de complément 2 à la série 03 d’amendements au </w:t>
      </w:r>
      <w:r w:rsidR="00BA7ED5" w:rsidRPr="005B25C2">
        <w:rPr>
          <w:spacing w:val="-2"/>
          <w:lang w:val="fr-FR"/>
        </w:rPr>
        <w:t>Règlement ONU n</w:t>
      </w:r>
      <w:r w:rsidR="00BA7ED5" w:rsidRPr="005B25C2">
        <w:rPr>
          <w:spacing w:val="-2"/>
          <w:vertAlign w:val="superscript"/>
          <w:lang w:val="fr-FR"/>
        </w:rPr>
        <w:t>o</w:t>
      </w:r>
      <w:r w:rsidR="00BA7ED5" w:rsidRPr="005B25C2">
        <w:rPr>
          <w:spacing w:val="-2"/>
          <w:lang w:val="fr-FR"/>
        </w:rPr>
        <w:t> 34 (Prévention des incendies) (par. 11)</w:t>
      </w:r>
      <w:r w:rsidRPr="00B82A37">
        <w:tab/>
      </w:r>
      <w:r w:rsidRPr="00B82A37">
        <w:tab/>
      </w:r>
      <w:r w:rsidR="00821B59">
        <w:t>19</w:t>
      </w:r>
      <w:r w:rsidRPr="00B82A37">
        <w:tab/>
      </w:r>
    </w:p>
    <w:p w:rsidR="003D31FD" w:rsidRPr="00B82A37" w:rsidRDefault="003D31FD" w:rsidP="00BA7ED5">
      <w:pPr>
        <w:tabs>
          <w:tab w:val="right" w:pos="850"/>
          <w:tab w:val="left" w:pos="1134"/>
          <w:tab w:val="left" w:pos="1559"/>
          <w:tab w:val="left" w:pos="1984"/>
          <w:tab w:val="left" w:leader="dot" w:pos="8900"/>
          <w:tab w:val="right" w:pos="9638"/>
        </w:tabs>
        <w:spacing w:after="120"/>
        <w:ind w:left="1134" w:hanging="1134"/>
      </w:pPr>
      <w:r w:rsidRPr="00B82A37">
        <w:tab/>
        <w:t>IV.</w:t>
      </w:r>
      <w:r w:rsidRPr="00B82A37">
        <w:tab/>
      </w:r>
      <w:r w:rsidR="00BA7ED5" w:rsidRPr="005B25C2">
        <w:rPr>
          <w:lang w:val="fr-FR"/>
        </w:rPr>
        <w:t>Projet de complément 8 à la série 01 d’amendements au Règlement ONU n</w:t>
      </w:r>
      <w:r w:rsidR="00BA7ED5" w:rsidRPr="005B25C2">
        <w:rPr>
          <w:vertAlign w:val="superscript"/>
          <w:lang w:val="fr-FR"/>
        </w:rPr>
        <w:t>o</w:t>
      </w:r>
      <w:r w:rsidR="00BA7ED5" w:rsidRPr="005B25C2">
        <w:rPr>
          <w:lang w:val="fr-FR"/>
        </w:rPr>
        <w:t xml:space="preserve"> 43 (Vitrages de </w:t>
      </w:r>
      <w:r w:rsidR="00BA7ED5">
        <w:rPr>
          <w:lang w:val="fr-FR"/>
        </w:rPr>
        <w:br/>
      </w:r>
      <w:r w:rsidR="00BA7ED5" w:rsidRPr="005B25C2">
        <w:rPr>
          <w:lang w:val="fr-FR"/>
        </w:rPr>
        <w:t>sécurité) (par. 15)</w:t>
      </w:r>
      <w:r w:rsidRPr="00B82A37">
        <w:tab/>
      </w:r>
      <w:r w:rsidRPr="00B82A37">
        <w:tab/>
      </w:r>
      <w:r w:rsidR="00821B59">
        <w:t>20</w:t>
      </w:r>
      <w:r w:rsidRPr="00B82A37">
        <w:tab/>
      </w:r>
      <w:bookmarkStart w:id="0" w:name="_GoBack"/>
      <w:bookmarkEnd w:id="0"/>
    </w:p>
    <w:p w:rsidR="003D31FD" w:rsidRPr="00B82A37" w:rsidRDefault="003D31FD" w:rsidP="005732B6">
      <w:pPr>
        <w:tabs>
          <w:tab w:val="right" w:pos="850"/>
          <w:tab w:val="left" w:pos="1134"/>
          <w:tab w:val="left" w:pos="1559"/>
          <w:tab w:val="left" w:pos="1843"/>
          <w:tab w:val="left" w:leader="dot" w:pos="8900"/>
          <w:tab w:val="right" w:pos="9638"/>
        </w:tabs>
        <w:spacing w:after="120"/>
        <w:ind w:left="1134" w:hanging="1134"/>
      </w:pPr>
      <w:r w:rsidRPr="00B82A37">
        <w:tab/>
        <w:t>V.</w:t>
      </w:r>
      <w:r w:rsidRPr="00B82A37">
        <w:tab/>
      </w:r>
      <w:r w:rsidR="00BA7ED5" w:rsidRPr="005B25C2">
        <w:rPr>
          <w:lang w:val="fr-FR"/>
        </w:rPr>
        <w:t>Projet de série 02 d’amendements au Règlement ONU n</w:t>
      </w:r>
      <w:r w:rsidR="00BA7ED5" w:rsidRPr="005B25C2">
        <w:rPr>
          <w:vertAlign w:val="superscript"/>
          <w:lang w:val="fr-FR"/>
        </w:rPr>
        <w:t>o</w:t>
      </w:r>
      <w:r w:rsidR="00BA7ED5" w:rsidRPr="005B25C2">
        <w:rPr>
          <w:lang w:val="fr-FR"/>
        </w:rPr>
        <w:t xml:space="preserve"> 67 (Véhicules alimentés au GPL) </w:t>
      </w:r>
      <w:r w:rsidR="00BA7ED5">
        <w:rPr>
          <w:lang w:val="fr-FR"/>
        </w:rPr>
        <w:br/>
      </w:r>
      <w:r w:rsidR="00BA7ED5" w:rsidRPr="005B25C2">
        <w:rPr>
          <w:lang w:val="fr-FR"/>
        </w:rPr>
        <w:t>(par. 25)</w:t>
      </w:r>
      <w:r w:rsidR="005732B6">
        <w:rPr>
          <w:lang w:val="fr-FR"/>
        </w:rPr>
        <w:tab/>
      </w:r>
      <w:r w:rsidRPr="00B82A37">
        <w:tab/>
      </w:r>
      <w:r w:rsidR="00821B59">
        <w:tab/>
        <w:t>25</w:t>
      </w:r>
    </w:p>
    <w:p w:rsidR="003D31FD" w:rsidRPr="00B82A37" w:rsidRDefault="003D31FD" w:rsidP="00BA7ED5">
      <w:pPr>
        <w:tabs>
          <w:tab w:val="right" w:pos="850"/>
          <w:tab w:val="left" w:pos="1134"/>
          <w:tab w:val="left" w:pos="1559"/>
          <w:tab w:val="left" w:pos="1984"/>
          <w:tab w:val="left" w:leader="dot" w:pos="8900"/>
          <w:tab w:val="right" w:pos="9638"/>
        </w:tabs>
        <w:spacing w:after="120"/>
        <w:ind w:left="1134" w:hanging="1134"/>
      </w:pPr>
      <w:r w:rsidRPr="00B82A37">
        <w:tab/>
        <w:t>VI.</w:t>
      </w:r>
      <w:r w:rsidRPr="00B82A37">
        <w:tab/>
      </w:r>
      <w:r w:rsidR="00BA7ED5" w:rsidRPr="005B25C2">
        <w:rPr>
          <w:lang w:val="fr-FR"/>
        </w:rPr>
        <w:t>Groupes de travail informels relevant du GRSG</w:t>
      </w:r>
      <w:r w:rsidRPr="00B82A37">
        <w:tab/>
      </w:r>
      <w:r w:rsidRPr="00B82A37">
        <w:tab/>
      </w:r>
      <w:r w:rsidR="00821B59">
        <w:t>26</w:t>
      </w:r>
      <w:r w:rsidRPr="00B82A37">
        <w:tab/>
      </w:r>
    </w:p>
    <w:p w:rsidR="003D31FD" w:rsidRPr="003D31FD" w:rsidRDefault="003D31FD" w:rsidP="00B62BC3">
      <w:pPr>
        <w:pStyle w:val="HChG"/>
        <w:rPr>
          <w:lang w:val="fr-FR"/>
        </w:rPr>
      </w:pPr>
      <w:r w:rsidRPr="003D31FD">
        <w:br w:type="page"/>
      </w:r>
      <w:r w:rsidR="00B62BC3">
        <w:lastRenderedPageBreak/>
        <w:tab/>
      </w:r>
      <w:r w:rsidRPr="003D31FD">
        <w:rPr>
          <w:lang w:val="fr-FR"/>
        </w:rPr>
        <w:t>I.</w:t>
      </w:r>
      <w:r w:rsidRPr="003D31FD">
        <w:rPr>
          <w:lang w:val="fr-FR"/>
        </w:rPr>
        <w:tab/>
        <w:t>Participation</w:t>
      </w:r>
    </w:p>
    <w:p w:rsidR="003D31FD" w:rsidRPr="003D31FD" w:rsidRDefault="003D31FD" w:rsidP="00B62BC3">
      <w:pPr>
        <w:pStyle w:val="SingleTxtG"/>
        <w:rPr>
          <w:lang w:val="fr-FR"/>
        </w:rPr>
      </w:pPr>
      <w:r w:rsidRPr="003D31FD">
        <w:rPr>
          <w:lang w:val="fr-FR"/>
        </w:rPr>
        <w:t>1.</w:t>
      </w:r>
      <w:r w:rsidRPr="003D31FD">
        <w:rPr>
          <w:lang w:val="fr-FR"/>
        </w:rPr>
        <w:tab/>
        <w:t>Le Groupe de travail des dispositions générales de sécurité (GRSG) a tenu sa 114</w:t>
      </w:r>
      <w:r w:rsidRPr="003D31FD">
        <w:rPr>
          <w:vertAlign w:val="superscript"/>
          <w:lang w:val="fr-FR"/>
        </w:rPr>
        <w:t>e</w:t>
      </w:r>
      <w:r w:rsidRPr="003D31FD">
        <w:rPr>
          <w:lang w:val="fr-FR"/>
        </w:rPr>
        <w:t> session du 9 au 13 avril 2018, à Genève, sous la présidence de M.</w:t>
      </w:r>
      <w:r w:rsidR="00B62BC3">
        <w:rPr>
          <w:lang w:val="fr-FR"/>
        </w:rPr>
        <w:t> </w:t>
      </w:r>
      <w:r w:rsidRPr="003D31FD">
        <w:rPr>
          <w:lang w:val="fr-FR"/>
        </w:rPr>
        <w:t>A.</w:t>
      </w:r>
      <w:r w:rsidR="00B62BC3">
        <w:rPr>
          <w:lang w:val="fr-FR"/>
        </w:rPr>
        <w:t> </w:t>
      </w:r>
      <w:r w:rsidRPr="003D31FD">
        <w:rPr>
          <w:lang w:val="fr-FR"/>
        </w:rPr>
        <w:t>Erario (Italie). Conformément à l’alinéa a) de l’article premier du Règlement intérieur du Forum mondial de l’harmonisation des Règlements concernant les véhicules (WP.29) (documents TRANS/WP.29/690 et ECE/TRANS/WP.29/690/Amends.1 et 2), ont participé aux travaux des experts des pays suivants</w:t>
      </w:r>
      <w:r w:rsidR="00F77D91">
        <w:rPr>
          <w:lang w:val="fr-FR"/>
        </w:rPr>
        <w:t> </w:t>
      </w:r>
      <w:r w:rsidRPr="003D31FD">
        <w:rPr>
          <w:lang w:val="fr-FR"/>
        </w:rPr>
        <w:t>: Afrique du Sud, Allemagne, Belgique, Canada, Chine, Espagne, Fédération de Russie, Finlande, France, Hongrie, Inde, Italie, Japon, Koweït, Lettonie, Norvège, Pays-Bas, Pologne, République de Corée, Roumanie, Royaume-Uni de Grande-Bretagne et d’Irlande du Nord, Saint-Marin, Suède, Tchéquie et Turquie. Un expert de la Commission européenne était aussi présent. Ont également pris part à la session des experts des organisations non gouvernementales ci-après : Association européenne des fournisseurs de l’automobile (CLEPA), Association européenne des gaz de pétrole liquéfiés (AEGPL), Association européenne des véhicules fonctionnant au gaz naturel (NGVA-Europe), Association internationale des constructeurs de motocycles (AICM), Association internationale des véhicules fonctionnant au gaz naturel (NGV Global), Organisation internationale des constructeurs d’automobiles (OICA) et Union internationale des transports routiers (IRU). Sur invitation spéciale du Président, des experts du Comité de liaison de la construction de carrosseries et de remorques (CLCCR), de l’association italienne des véhicules fonctionnant au gaz naturel (NGV-Italy) et de l’Union internationale des transports publics (UITP) y ont également participé.</w:t>
      </w:r>
    </w:p>
    <w:p w:rsidR="003D31FD" w:rsidRPr="003D31FD" w:rsidRDefault="00B62BC3" w:rsidP="00B62BC3">
      <w:pPr>
        <w:pStyle w:val="HChG"/>
        <w:rPr>
          <w:lang w:val="fr-FR"/>
        </w:rPr>
      </w:pPr>
      <w:r>
        <w:rPr>
          <w:lang w:val="fr-FR"/>
        </w:rPr>
        <w:tab/>
      </w:r>
      <w:r w:rsidR="003D31FD" w:rsidRPr="003D31FD">
        <w:rPr>
          <w:lang w:val="fr-FR"/>
        </w:rPr>
        <w:t>II.</w:t>
      </w:r>
      <w:r w:rsidR="003D31FD" w:rsidRPr="003D31FD">
        <w:rPr>
          <w:lang w:val="fr-FR"/>
        </w:rPr>
        <w:tab/>
        <w:t>Adoption de l’ordre du jour (point 1 de l’ordre du jour)</w:t>
      </w:r>
    </w:p>
    <w:p w:rsidR="003D31FD" w:rsidRPr="003D31FD" w:rsidRDefault="003D31FD" w:rsidP="00B62BC3">
      <w:pPr>
        <w:pStyle w:val="SingleTxtG"/>
        <w:ind w:left="2552" w:hanging="1418"/>
        <w:jc w:val="left"/>
        <w:rPr>
          <w:lang w:val="fr-FR"/>
        </w:rPr>
      </w:pPr>
      <w:r w:rsidRPr="003D31FD">
        <w:rPr>
          <w:i/>
          <w:lang w:val="fr-FR"/>
        </w:rPr>
        <w:t>Document(s)</w:t>
      </w:r>
      <w:r w:rsidRPr="00B62BC3">
        <w:rPr>
          <w:lang w:val="fr-FR"/>
        </w:rPr>
        <w:t> :</w:t>
      </w:r>
      <w:r w:rsidRPr="003D31FD">
        <w:rPr>
          <w:i/>
          <w:lang w:val="fr-FR"/>
        </w:rPr>
        <w:tab/>
      </w:r>
      <w:r w:rsidRPr="003D31FD">
        <w:rPr>
          <w:lang w:val="fr-FR"/>
        </w:rPr>
        <w:t>ECE/T</w:t>
      </w:r>
      <w:r w:rsidR="00B62BC3">
        <w:rPr>
          <w:lang w:val="fr-FR"/>
        </w:rPr>
        <w:t>RANS/WP.29/GRSG/2018/1 et Add.1</w:t>
      </w:r>
      <w:r w:rsidR="00B62BC3">
        <w:rPr>
          <w:lang w:val="fr-FR"/>
        </w:rPr>
        <w:br/>
      </w:r>
      <w:r w:rsidRPr="003D31FD">
        <w:rPr>
          <w:lang w:val="fr-FR"/>
        </w:rPr>
        <w:t>Documents informels GRSG-114-01 et GRSG-114-13.</w:t>
      </w:r>
    </w:p>
    <w:p w:rsidR="003D31FD" w:rsidRPr="003D31FD" w:rsidRDefault="003D31FD" w:rsidP="003D31FD">
      <w:pPr>
        <w:pStyle w:val="SingleTxtG"/>
        <w:rPr>
          <w:lang w:val="fr-FR"/>
        </w:rPr>
      </w:pPr>
      <w:r w:rsidRPr="003D31FD">
        <w:rPr>
          <w:lang w:val="fr-FR"/>
        </w:rPr>
        <w:t>2.</w:t>
      </w:r>
      <w:r w:rsidRPr="003D31FD">
        <w:rPr>
          <w:lang w:val="fr-FR"/>
        </w:rPr>
        <w:tab/>
        <w:t>Le GRSG a examiné et adopté l’ordre du jour proposé pour sa 114</w:t>
      </w:r>
      <w:r w:rsidRPr="003D31FD">
        <w:rPr>
          <w:vertAlign w:val="superscript"/>
          <w:lang w:val="fr-FR"/>
        </w:rPr>
        <w:t>e</w:t>
      </w:r>
      <w:r w:rsidR="00B8329D">
        <w:rPr>
          <w:lang w:val="fr-FR"/>
        </w:rPr>
        <w:t> </w:t>
      </w:r>
      <w:r w:rsidRPr="003D31FD">
        <w:rPr>
          <w:lang w:val="fr-FR"/>
        </w:rPr>
        <w:t>session.</w:t>
      </w:r>
    </w:p>
    <w:p w:rsidR="003D31FD" w:rsidRPr="003D31FD" w:rsidRDefault="003D31FD" w:rsidP="003D31FD">
      <w:pPr>
        <w:pStyle w:val="SingleTxtG"/>
        <w:rPr>
          <w:lang w:val="fr-FR"/>
        </w:rPr>
      </w:pPr>
      <w:r w:rsidRPr="003D31FD">
        <w:rPr>
          <w:lang w:val="fr-FR"/>
        </w:rPr>
        <w:t>3.</w:t>
      </w:r>
      <w:r w:rsidRPr="003D31FD">
        <w:rPr>
          <w:lang w:val="fr-FR"/>
        </w:rPr>
        <w:tab/>
        <w:t>Le GRSG a adopté en outre l’ordre d’examen des points de l’ordre du jour proposé par le Président dans le document GRSG-114-01. Il a pris note du document GRSG-114-13 sur les principales décisions et recommandations adoptées par le WP.29 à ses session</w:t>
      </w:r>
      <w:r w:rsidR="00B8329D">
        <w:rPr>
          <w:lang w:val="fr-FR"/>
        </w:rPr>
        <w:t xml:space="preserve">s de novembre 2017 et mars 2018 </w:t>
      </w:r>
      <w:r w:rsidRPr="003D31FD">
        <w:rPr>
          <w:lang w:val="fr-FR"/>
        </w:rPr>
        <w:t>(documents ECE/TRANS/WP.29/1135 et 1137).</w:t>
      </w:r>
    </w:p>
    <w:p w:rsidR="003D31FD" w:rsidRPr="003D31FD" w:rsidRDefault="003D31FD" w:rsidP="003D31FD">
      <w:pPr>
        <w:pStyle w:val="SingleTxtG"/>
        <w:rPr>
          <w:lang w:val="fr-FR"/>
        </w:rPr>
      </w:pPr>
      <w:r w:rsidRPr="003D31FD">
        <w:rPr>
          <w:lang w:val="fr-FR"/>
        </w:rPr>
        <w:t>4.</w:t>
      </w:r>
      <w:r w:rsidRPr="003D31FD">
        <w:rPr>
          <w:lang w:val="fr-FR"/>
        </w:rPr>
        <w:tab/>
        <w:t>On trouvera à l’annexe I du présent rapport les documents sans cote officielle distribués pendant la session, et à l’annexe VI la liste des groupes de travail informels relevant du GRSG.</w:t>
      </w:r>
    </w:p>
    <w:p w:rsidR="003D31FD" w:rsidRPr="003D31FD" w:rsidRDefault="00B8329D" w:rsidP="00B8329D">
      <w:pPr>
        <w:pStyle w:val="HChG"/>
        <w:rPr>
          <w:lang w:val="fr-FR"/>
        </w:rPr>
      </w:pPr>
      <w:r>
        <w:rPr>
          <w:lang w:val="fr-FR"/>
        </w:rPr>
        <w:tab/>
      </w:r>
      <w:r w:rsidR="003D31FD" w:rsidRPr="003D31FD">
        <w:rPr>
          <w:lang w:val="fr-FR"/>
        </w:rPr>
        <w:t>III.</w:t>
      </w:r>
      <w:r w:rsidR="003D31FD" w:rsidRPr="003D31FD">
        <w:rPr>
          <w:lang w:val="fr-FR"/>
        </w:rPr>
        <w:tab/>
        <w:t>Amendements aux Règlements sur les a</w:t>
      </w:r>
      <w:r>
        <w:rPr>
          <w:lang w:val="fr-FR"/>
        </w:rPr>
        <w:t xml:space="preserve">utobus et les autocars (point 2 </w:t>
      </w:r>
      <w:r w:rsidR="003D31FD" w:rsidRPr="003D31FD">
        <w:rPr>
          <w:lang w:val="fr-FR"/>
        </w:rPr>
        <w:t>d</w:t>
      </w:r>
      <w:r w:rsidR="00F77D91">
        <w:rPr>
          <w:lang w:val="fr-FR"/>
        </w:rPr>
        <w:t>e</w:t>
      </w:r>
      <w:r>
        <w:rPr>
          <w:lang w:val="fr-FR"/>
        </w:rPr>
        <w:t xml:space="preserve"> l’ordre du jour)</w:t>
      </w:r>
    </w:p>
    <w:p w:rsidR="003D31FD" w:rsidRPr="003D31FD" w:rsidRDefault="00B8329D" w:rsidP="00B8329D">
      <w:pPr>
        <w:pStyle w:val="H1G"/>
        <w:rPr>
          <w:lang w:val="fr-FR"/>
        </w:rPr>
      </w:pPr>
      <w:r>
        <w:rPr>
          <w:lang w:val="fr-FR"/>
        </w:rPr>
        <w:tab/>
      </w:r>
      <w:r w:rsidR="003D31FD" w:rsidRPr="003D31FD">
        <w:rPr>
          <w:lang w:val="fr-FR"/>
        </w:rPr>
        <w:t>A.</w:t>
      </w:r>
      <w:r w:rsidR="003D31FD" w:rsidRPr="003D31FD">
        <w:rPr>
          <w:lang w:val="fr-FR"/>
        </w:rPr>
        <w:tab/>
        <w:t>Règlement ONU n</w:t>
      </w:r>
      <w:r w:rsidR="003D31FD" w:rsidRPr="003D31FD">
        <w:rPr>
          <w:vertAlign w:val="superscript"/>
          <w:lang w:val="fr-FR"/>
        </w:rPr>
        <w:t>o</w:t>
      </w:r>
      <w:r w:rsidR="003D31FD" w:rsidRPr="003D31FD">
        <w:rPr>
          <w:lang w:val="fr-FR"/>
        </w:rPr>
        <w:t> 107 (Véhicules des catégories M</w:t>
      </w:r>
      <w:r w:rsidR="003D31FD" w:rsidRPr="003D31FD">
        <w:rPr>
          <w:vertAlign w:val="subscript"/>
          <w:lang w:val="fr-FR"/>
        </w:rPr>
        <w:t>2</w:t>
      </w:r>
      <w:r w:rsidR="003D31FD" w:rsidRPr="003D31FD">
        <w:rPr>
          <w:lang w:val="fr-FR"/>
        </w:rPr>
        <w:t xml:space="preserve"> et M</w:t>
      </w:r>
      <w:r w:rsidR="003D31FD" w:rsidRPr="003D31FD">
        <w:rPr>
          <w:vertAlign w:val="subscript"/>
          <w:lang w:val="fr-FR"/>
        </w:rPr>
        <w:t>3</w:t>
      </w:r>
      <w:r w:rsidR="003D31FD" w:rsidRPr="003D31FD">
        <w:rPr>
          <w:lang w:val="fr-FR"/>
        </w:rPr>
        <w:t>)</w:t>
      </w:r>
    </w:p>
    <w:p w:rsidR="003D31FD" w:rsidRPr="003D31FD" w:rsidRDefault="003D31FD" w:rsidP="00B62BC3">
      <w:pPr>
        <w:pStyle w:val="SingleTxtG"/>
        <w:ind w:left="2552" w:hanging="1418"/>
        <w:jc w:val="left"/>
        <w:rPr>
          <w:lang w:val="fr-FR"/>
        </w:rPr>
      </w:pPr>
      <w:r w:rsidRPr="003D31FD">
        <w:rPr>
          <w:i/>
          <w:lang w:val="fr-FR"/>
        </w:rPr>
        <w:t>Document(s) </w:t>
      </w:r>
      <w:r w:rsidRPr="00F77D91">
        <w:rPr>
          <w:lang w:val="fr-FR"/>
        </w:rPr>
        <w:t>:</w:t>
      </w:r>
      <w:r w:rsidRPr="003D31FD">
        <w:rPr>
          <w:i/>
          <w:lang w:val="fr-FR"/>
        </w:rPr>
        <w:tab/>
      </w:r>
      <w:r w:rsidRPr="003D31FD">
        <w:rPr>
          <w:lang w:val="fr-FR"/>
        </w:rPr>
        <w:t>Documents informels GRSG-114-05 et GRSG-114-16.</w:t>
      </w:r>
    </w:p>
    <w:p w:rsidR="003D31FD" w:rsidRPr="003D31FD" w:rsidRDefault="003D31FD" w:rsidP="003D31FD">
      <w:pPr>
        <w:pStyle w:val="SingleTxtG"/>
        <w:rPr>
          <w:lang w:val="fr-FR"/>
        </w:rPr>
      </w:pPr>
      <w:r w:rsidRPr="003D31FD">
        <w:rPr>
          <w:lang w:val="fr-FR"/>
        </w:rPr>
        <w:t>5.</w:t>
      </w:r>
      <w:r w:rsidRPr="003D31FD">
        <w:rPr>
          <w:lang w:val="fr-FR"/>
        </w:rPr>
        <w:tab/>
        <w:t>L’expert de la Pologne a présenté le document GRSG-114-05, visant à corriger une erreur possible dans l’annexe 11 du Règlement ONU n</w:t>
      </w:r>
      <w:r w:rsidRPr="003D31FD">
        <w:rPr>
          <w:vertAlign w:val="superscript"/>
          <w:lang w:val="fr-FR"/>
        </w:rPr>
        <w:t>o</w:t>
      </w:r>
      <w:r w:rsidR="00B8329D">
        <w:rPr>
          <w:lang w:val="fr-FR"/>
        </w:rPr>
        <w:t> </w:t>
      </w:r>
      <w:r w:rsidRPr="003D31FD">
        <w:rPr>
          <w:lang w:val="fr-FR"/>
        </w:rPr>
        <w:t>107 et à aligner cette dernière sur l’annexe 3 en supprimant les paragraphes 3.3.1.2.1 à 3.3.1.2.2.2. L’expert de la France a indiqué que les paragraphes correspondants de l’annexe 3 avaient été supprimés conformément à la proposition de complément 3</w:t>
      </w:r>
      <w:r w:rsidR="00B8329D">
        <w:rPr>
          <w:lang w:val="fr-FR"/>
        </w:rPr>
        <w:t xml:space="preserve"> à la série 03 </w:t>
      </w:r>
      <w:r w:rsidRPr="003D31FD">
        <w:rPr>
          <w:lang w:val="fr-FR"/>
        </w:rPr>
        <w:t>d’amendements au Règlement</w:t>
      </w:r>
      <w:r w:rsidR="00B8329D">
        <w:rPr>
          <w:lang w:val="fr-FR"/>
        </w:rPr>
        <w:t xml:space="preserve"> </w:t>
      </w:r>
      <w:r w:rsidRPr="003D31FD">
        <w:rPr>
          <w:lang w:val="fr-FR"/>
        </w:rPr>
        <w:t>(ECE/TRANS/WP.29/2008/98), suite à quoi le Président a invité les experts à vérifier les modifications successives apportées aux dispositions concernées. Le GRSG a décidé de reprendre l’examen de ce point à sa prochaine session et de maintenir le document GRSG-114-05 à l’ordre du jour en tant que document de référence.</w:t>
      </w:r>
    </w:p>
    <w:p w:rsidR="003D31FD" w:rsidRPr="003D31FD" w:rsidRDefault="003D31FD" w:rsidP="003D31FD">
      <w:pPr>
        <w:pStyle w:val="SingleTxtG"/>
        <w:rPr>
          <w:lang w:val="fr-FR"/>
        </w:rPr>
      </w:pPr>
      <w:r w:rsidRPr="003D31FD">
        <w:rPr>
          <w:lang w:val="fr-FR"/>
        </w:rPr>
        <w:t>6.</w:t>
      </w:r>
      <w:r w:rsidRPr="003D31FD">
        <w:rPr>
          <w:lang w:val="fr-FR"/>
        </w:rPr>
        <w:tab/>
        <w:t xml:space="preserve">Le GRSG a examiné en détail le document GRSG-114-16 soumis par l’expert de l’Italie, dans lequel il est proposé d’adopter de nouvelles dispositions relatives à </w:t>
      </w:r>
      <w:r w:rsidRPr="003D31FD">
        <w:rPr>
          <w:lang w:val="fr-FR"/>
        </w:rPr>
        <w:lastRenderedPageBreak/>
        <w:t>l’homologation possible de dispositifs innovants autres que les plateformes, visant à améliorer l’accessibilité des personnes à mobilité réduite, en particulier à bord des autocars. L’expert du Royaume-Uni a fait part de ses inquiétudes concernant les autocars qui seraient équipés de tels dispositifs optionnels, en expliquant que ces véhicules ne pourraient pas faire l’objet d’une homologation de type, faute de satisfaire pleinement aux prescriptions d’accessibilité contenues dans le Règlement, s’agissant notamment des possibilités d’accès par les utilisateurs de fauteuils roulants. L’expert de la Finlande s’est dit du même avis et a souligné que les élévateurs de ce type ne pouvaient être considérés comme équivalant aux plateformes, car les utilisateurs devaient quitter leur fauteuil roulant. L’expert de l’Allemagne a constaté qu’aucune homologation de type n’était requise pour ces dispositifs optionnels, qui pouvaient être montés après coup sur différents types de véhicules. Finalement, le GRSG a décidé de reprendre l’examen de ce point à sa prochaine session (octobre 2018) et de maintenir le document GRSG-114-16 à l’ordre du jour en tant que document de référence.</w:t>
      </w:r>
    </w:p>
    <w:p w:rsidR="003D31FD" w:rsidRPr="003D31FD" w:rsidRDefault="00B8329D" w:rsidP="00B8329D">
      <w:pPr>
        <w:pStyle w:val="H1G"/>
        <w:rPr>
          <w:lang w:val="fr-FR"/>
        </w:rPr>
      </w:pPr>
      <w:r>
        <w:rPr>
          <w:lang w:val="fr-FR"/>
        </w:rPr>
        <w:tab/>
      </w:r>
      <w:r w:rsidR="003D31FD" w:rsidRPr="003D31FD">
        <w:rPr>
          <w:lang w:val="fr-FR"/>
        </w:rPr>
        <w:t>B.</w:t>
      </w:r>
      <w:r w:rsidR="003D31FD" w:rsidRPr="003D31FD">
        <w:rPr>
          <w:lang w:val="fr-FR"/>
        </w:rPr>
        <w:tab/>
        <w:t>Règlement ONU n</w:t>
      </w:r>
      <w:r w:rsidR="003D31FD" w:rsidRPr="003D31FD">
        <w:rPr>
          <w:vertAlign w:val="superscript"/>
          <w:lang w:val="fr-FR"/>
        </w:rPr>
        <w:t>o</w:t>
      </w:r>
      <w:r w:rsidR="003D31FD" w:rsidRPr="003D31FD">
        <w:rPr>
          <w:lang w:val="fr-FR"/>
        </w:rPr>
        <w:t xml:space="preserve"> 118 (Comportement au feu des matériaux) </w:t>
      </w:r>
    </w:p>
    <w:p w:rsidR="003D31FD" w:rsidRPr="003D31FD" w:rsidRDefault="003D31FD" w:rsidP="00B62BC3">
      <w:pPr>
        <w:pStyle w:val="SingleTxtG"/>
        <w:ind w:left="2552" w:hanging="1418"/>
        <w:jc w:val="left"/>
        <w:rPr>
          <w:lang w:val="fr-FR"/>
        </w:rPr>
      </w:pPr>
      <w:r w:rsidRPr="003D31FD">
        <w:rPr>
          <w:i/>
          <w:lang w:val="fr-FR"/>
        </w:rPr>
        <w:t>Document(s)</w:t>
      </w:r>
      <w:r w:rsidRPr="00F77D91">
        <w:rPr>
          <w:lang w:val="fr-FR"/>
        </w:rPr>
        <w:t> :</w:t>
      </w:r>
      <w:r w:rsidRPr="003D31FD">
        <w:rPr>
          <w:i/>
          <w:lang w:val="fr-FR"/>
        </w:rPr>
        <w:tab/>
      </w:r>
      <w:r w:rsidRPr="003D31FD">
        <w:rPr>
          <w:lang w:val="fr-FR"/>
        </w:rPr>
        <w:t>Documents informels GRSG-114-11, GRSG-114-12 et</w:t>
      </w:r>
      <w:r w:rsidR="00B8329D">
        <w:rPr>
          <w:lang w:val="fr-FR"/>
        </w:rPr>
        <w:br/>
      </w:r>
      <w:r w:rsidRPr="003D31FD">
        <w:rPr>
          <w:lang w:val="fr-FR"/>
        </w:rPr>
        <w:t>GRSG-114-24-Rev.1.</w:t>
      </w:r>
    </w:p>
    <w:p w:rsidR="003D31FD" w:rsidRPr="003D31FD" w:rsidRDefault="003D31FD" w:rsidP="003D31FD">
      <w:pPr>
        <w:pStyle w:val="SingleTxtG"/>
        <w:rPr>
          <w:lang w:val="fr-FR"/>
        </w:rPr>
      </w:pPr>
      <w:r w:rsidRPr="003D31FD">
        <w:rPr>
          <w:lang w:val="fr-FR"/>
        </w:rPr>
        <w:t>7.</w:t>
      </w:r>
      <w:r w:rsidRPr="003D31FD">
        <w:rPr>
          <w:lang w:val="fr-FR"/>
        </w:rPr>
        <w:tab/>
        <w:t>L’expert de la France a présenté le document GRSG-114-11, qui porte sur les deux réunions que l’équipe spéciale sur le comportement général des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xml:space="preserve"> en cas d’incendie a tenues, respectivement à Paris le 29 janvier 2018 et à Bruxelles le 13 mars 2018. Il a indiqué qu’après avoir examiné en profondeur un rapport technique traitant des enquêtes menées par la France sur des accidents, la synthèse des Règlements ONU n</w:t>
      </w:r>
      <w:r w:rsidRPr="003D31FD">
        <w:rPr>
          <w:vertAlign w:val="superscript"/>
          <w:lang w:val="fr-FR"/>
        </w:rPr>
        <w:t>os</w:t>
      </w:r>
      <w:r w:rsidRPr="003D31FD">
        <w:rPr>
          <w:lang w:val="fr-FR"/>
        </w:rPr>
        <w:t> 107 et 118 et les résultats de travaux de recherche complémentaires, l’équipe spéciale avait conclu à la nécessité de créer un nouveau groupe de travail informel chargé d’étudier le comportement général des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xml:space="preserve"> en cas d’incendie (BMFE). Le GRSG a approuvé la demande de l’équipe spéciale et a accueilli avec satisfaction ses recommandations visant à poursuivre l’élaboration des deux Règlements, en tenant compte des mesures de prévention propres à atténuer, voire à supprimer complètement le risque de voir se reproduire ce type</w:t>
      </w:r>
      <w:r w:rsidR="00B8329D">
        <w:rPr>
          <w:lang w:val="fr-FR"/>
        </w:rPr>
        <w:t xml:space="preserve"> </w:t>
      </w:r>
      <w:r w:rsidRPr="003D31FD">
        <w:rPr>
          <w:lang w:val="fr-FR"/>
        </w:rPr>
        <w:t>d’accidents dans l’avenir. Le Président du GRSG a remercié la France d’avoir offert de présider le groupe de travail informel, et l’OICA de s’être engagée à en assurer le secrétariat. Il a annoncé que le GRSG comptait demander, à sa session de juin 2018,</w:t>
      </w:r>
      <w:r w:rsidR="00B8329D">
        <w:rPr>
          <w:lang w:val="fr-FR"/>
        </w:rPr>
        <w:t xml:space="preserve"> </w:t>
      </w:r>
      <w:r w:rsidRPr="003D31FD">
        <w:rPr>
          <w:lang w:val="fr-FR"/>
        </w:rPr>
        <w:t>l’accord du WP.29 pour la création du groupe de travail informel.</w:t>
      </w:r>
    </w:p>
    <w:p w:rsidR="003D31FD" w:rsidRPr="003D31FD" w:rsidRDefault="003D31FD" w:rsidP="003D31FD">
      <w:pPr>
        <w:pStyle w:val="SingleTxtG"/>
        <w:rPr>
          <w:lang w:val="fr-FR"/>
        </w:rPr>
      </w:pPr>
      <w:r w:rsidRPr="003D31FD">
        <w:rPr>
          <w:lang w:val="fr-FR"/>
        </w:rPr>
        <w:t>8.</w:t>
      </w:r>
      <w:r w:rsidRPr="003D31FD">
        <w:rPr>
          <w:lang w:val="fr-FR"/>
        </w:rPr>
        <w:tab/>
        <w:t>L’expert de la France a également présenté le projet de mandat et de règlement intérieur du nouveau groupe de travail informel (GRSG-114-12). L’expert de l’OICA y a souscrit et a suggéré des améliorations supplémentaires à apporter au texte (GRSG-114-24). Le GRSG a révisé la proposition (GRSG-114-24-Rev.1) et a adopté le mandat et le règlement intérieur du groupe de travail informel tels que reproduits à l’annexe II du présent rapport. L’expert de la France a remercié le GRSG de son soutien et a annoncé que l’équipe spéciale tiendrait une nouvelle réunion le 15</w:t>
      </w:r>
      <w:r w:rsidR="00B8329D">
        <w:rPr>
          <w:lang w:val="fr-FR"/>
        </w:rPr>
        <w:t> </w:t>
      </w:r>
      <w:r w:rsidRPr="003D31FD">
        <w:rPr>
          <w:lang w:val="fr-FR"/>
        </w:rPr>
        <w:t xml:space="preserve">juin 2018, à Berlin (dans les locaux de l’Union allemande de l’industrie automobile </w:t>
      </w:r>
      <w:r w:rsidR="00F77D91">
        <w:rPr>
          <w:lang w:val="fr-FR"/>
        </w:rPr>
        <w:t>(VDA)</w:t>
      </w:r>
      <w:r w:rsidRPr="003D31FD">
        <w:rPr>
          <w:lang w:val="fr-FR"/>
        </w:rPr>
        <w:t>).</w:t>
      </w:r>
    </w:p>
    <w:p w:rsidR="003D31FD" w:rsidRPr="003D31FD" w:rsidRDefault="003D31FD" w:rsidP="003D31FD">
      <w:pPr>
        <w:pStyle w:val="SingleTxtG"/>
        <w:rPr>
          <w:lang w:val="fr-FR"/>
        </w:rPr>
      </w:pPr>
      <w:r w:rsidRPr="003D31FD">
        <w:rPr>
          <w:lang w:val="fr-FR"/>
        </w:rPr>
        <w:t>9.</w:t>
      </w:r>
      <w:r w:rsidRPr="003D31FD">
        <w:rPr>
          <w:lang w:val="fr-FR"/>
        </w:rPr>
        <w:tab/>
        <w:t>Le GRSG a décidé de reprendre l’examen de ce point à sa prochaine session.</w:t>
      </w:r>
    </w:p>
    <w:p w:rsidR="003D31FD" w:rsidRPr="003D31FD" w:rsidRDefault="00B8329D" w:rsidP="00B8329D">
      <w:pPr>
        <w:pStyle w:val="HChG"/>
        <w:rPr>
          <w:lang w:val="fr-FR"/>
        </w:rPr>
      </w:pPr>
      <w:r>
        <w:rPr>
          <w:lang w:val="fr-FR"/>
        </w:rPr>
        <w:tab/>
      </w:r>
      <w:r w:rsidR="003D31FD" w:rsidRPr="003D31FD">
        <w:rPr>
          <w:lang w:val="fr-FR"/>
        </w:rPr>
        <w:t>IV.</w:t>
      </w:r>
      <w:r w:rsidR="003D31FD" w:rsidRPr="003D31FD">
        <w:rPr>
          <w:lang w:val="fr-FR"/>
        </w:rPr>
        <w:tab/>
        <w:t>Règlement ONU n</w:t>
      </w:r>
      <w:r w:rsidR="003D31FD" w:rsidRPr="003D31FD">
        <w:rPr>
          <w:vertAlign w:val="superscript"/>
          <w:lang w:val="fr-FR"/>
        </w:rPr>
        <w:t>o</w:t>
      </w:r>
      <w:r w:rsidR="003D31FD" w:rsidRPr="003D31FD">
        <w:rPr>
          <w:lang w:val="fr-FR"/>
        </w:rPr>
        <w:t xml:space="preserve"> 34 (Prévention des incendies) </w:t>
      </w:r>
      <w:r>
        <w:rPr>
          <w:lang w:val="fr-FR"/>
        </w:rPr>
        <w:br/>
        <w:t xml:space="preserve">(point 3 </w:t>
      </w:r>
      <w:r w:rsidR="003D31FD" w:rsidRPr="003D31FD">
        <w:rPr>
          <w:lang w:val="fr-FR"/>
        </w:rPr>
        <w:t>de l’ordre du jour)</w:t>
      </w:r>
    </w:p>
    <w:p w:rsidR="003D31FD" w:rsidRPr="003D31FD" w:rsidRDefault="003D31FD" w:rsidP="00B62BC3">
      <w:pPr>
        <w:pStyle w:val="SingleTxtG"/>
        <w:ind w:left="2552" w:hanging="1418"/>
        <w:jc w:val="left"/>
        <w:rPr>
          <w:b/>
          <w:lang w:val="fr-FR"/>
        </w:rPr>
      </w:pPr>
      <w:r w:rsidRPr="003D31FD">
        <w:rPr>
          <w:i/>
          <w:lang w:val="fr-FR"/>
        </w:rPr>
        <w:t>Document(s) </w:t>
      </w:r>
      <w:r w:rsidRPr="00F77D91">
        <w:rPr>
          <w:lang w:val="fr-FR"/>
        </w:rPr>
        <w:t>:</w:t>
      </w:r>
      <w:r w:rsidRPr="003D31FD">
        <w:rPr>
          <w:i/>
          <w:lang w:val="fr-FR"/>
        </w:rPr>
        <w:tab/>
      </w:r>
      <w:r w:rsidRPr="003D31FD">
        <w:rPr>
          <w:lang w:val="fr-FR"/>
        </w:rPr>
        <w:t>ECE/TRANS/WP.29/GRSG/2018/4.</w:t>
      </w:r>
    </w:p>
    <w:p w:rsidR="003D31FD" w:rsidRPr="003D31FD" w:rsidRDefault="003D31FD" w:rsidP="003D31FD">
      <w:pPr>
        <w:pStyle w:val="SingleTxtG"/>
        <w:rPr>
          <w:lang w:val="fr-FR"/>
        </w:rPr>
      </w:pPr>
      <w:r w:rsidRPr="003D31FD">
        <w:rPr>
          <w:lang w:val="fr-FR"/>
        </w:rPr>
        <w:t>10.</w:t>
      </w:r>
      <w:r w:rsidRPr="003D31FD">
        <w:rPr>
          <w:lang w:val="fr-FR"/>
        </w:rPr>
        <w:tab/>
        <w:t>L’expert de la France a présenté le document ECE/TRANS/WP.29/GRSG/2018/4, qui vise à préciser les dispositions du Règlement ONU n</w:t>
      </w:r>
      <w:r w:rsidRPr="003D31FD">
        <w:rPr>
          <w:vertAlign w:val="superscript"/>
          <w:lang w:val="fr-FR"/>
        </w:rPr>
        <w:t>o</w:t>
      </w:r>
      <w:r w:rsidRPr="003D31FD">
        <w:rPr>
          <w:lang w:val="fr-FR"/>
        </w:rPr>
        <w:t> 34 concernant la protection des réservoirs en cas de collision, et à harmoniser les trois versions linguistiques. Le GRSG a pris note des observations formulées.</w:t>
      </w:r>
    </w:p>
    <w:p w:rsidR="003D31FD" w:rsidRPr="003D31FD" w:rsidRDefault="003D31FD" w:rsidP="003D31FD">
      <w:pPr>
        <w:pStyle w:val="SingleTxtG"/>
        <w:rPr>
          <w:lang w:val="fr-FR"/>
        </w:rPr>
      </w:pPr>
      <w:r w:rsidRPr="003D31FD">
        <w:rPr>
          <w:lang w:val="fr-FR"/>
        </w:rPr>
        <w:t>11.</w:t>
      </w:r>
      <w:r w:rsidRPr="003D31FD">
        <w:rPr>
          <w:lang w:val="fr-FR"/>
        </w:rPr>
        <w:tab/>
        <w:t>À l’issue du débat, le GRSG a adopté le document ECE/TRANS/WP.29/GRSG/</w:t>
      </w:r>
      <w:r w:rsidR="00B8329D">
        <w:rPr>
          <w:lang w:val="fr-FR"/>
        </w:rPr>
        <w:t xml:space="preserve"> </w:t>
      </w:r>
      <w:r w:rsidRPr="003D31FD">
        <w:rPr>
          <w:lang w:val="fr-FR"/>
        </w:rPr>
        <w:t xml:space="preserve">2018/4 tel que reproduit à l’annexe III du présent rapport. Le secrétariat a été chargé de le </w:t>
      </w:r>
      <w:r w:rsidRPr="003D31FD">
        <w:rPr>
          <w:lang w:val="fr-FR"/>
        </w:rPr>
        <w:lastRenderedPageBreak/>
        <w:t>soumettre au WP.29 et au Comité d’administration de l’Accord de 1958 (AC.1), pour examen à leurs sessions de novembre 2018, en tant que projet de complément 6 à la série</w:t>
      </w:r>
      <w:r w:rsidR="00B8329D">
        <w:rPr>
          <w:lang w:val="fr-FR"/>
        </w:rPr>
        <w:t> </w:t>
      </w:r>
      <w:r w:rsidRPr="003D31FD">
        <w:rPr>
          <w:lang w:val="fr-FR"/>
        </w:rPr>
        <w:t>02 d’amendements et de projet de complément 2 à la série 03 d’amendements au Règlement ONU n</w:t>
      </w:r>
      <w:r w:rsidRPr="003D31FD">
        <w:rPr>
          <w:vertAlign w:val="superscript"/>
          <w:lang w:val="fr-FR"/>
        </w:rPr>
        <w:t>o</w:t>
      </w:r>
      <w:r w:rsidR="00B8329D">
        <w:rPr>
          <w:lang w:val="fr-FR"/>
        </w:rPr>
        <w:t> </w:t>
      </w:r>
      <w:r w:rsidRPr="003D31FD">
        <w:rPr>
          <w:lang w:val="fr-FR"/>
        </w:rPr>
        <w:t>34.</w:t>
      </w:r>
    </w:p>
    <w:p w:rsidR="003D31FD" w:rsidRPr="003D31FD" w:rsidRDefault="00B8329D" w:rsidP="00B8329D">
      <w:pPr>
        <w:pStyle w:val="HChG"/>
        <w:rPr>
          <w:lang w:val="fr-FR"/>
        </w:rPr>
      </w:pPr>
      <w:r>
        <w:rPr>
          <w:lang w:val="fr-FR"/>
        </w:rPr>
        <w:tab/>
      </w:r>
      <w:r w:rsidR="003D31FD" w:rsidRPr="003D31FD">
        <w:rPr>
          <w:lang w:val="fr-FR"/>
        </w:rPr>
        <w:t>V.</w:t>
      </w:r>
      <w:r w:rsidR="003D31FD" w:rsidRPr="003D31FD">
        <w:rPr>
          <w:lang w:val="fr-FR"/>
        </w:rPr>
        <w:tab/>
        <w:t xml:space="preserve">Amendements aux Règlements relatifs aux vitrages </w:t>
      </w:r>
      <w:r>
        <w:rPr>
          <w:lang w:val="fr-FR"/>
        </w:rPr>
        <w:br/>
        <w:t xml:space="preserve">de sécurité (point 4 </w:t>
      </w:r>
      <w:r w:rsidR="003D31FD" w:rsidRPr="003D31FD">
        <w:rPr>
          <w:lang w:val="fr-FR"/>
        </w:rPr>
        <w:t>de l’ordre du jour)</w:t>
      </w:r>
    </w:p>
    <w:p w:rsidR="003D31FD" w:rsidRPr="003D31FD" w:rsidRDefault="003D31FD" w:rsidP="00B62BC3">
      <w:pPr>
        <w:pStyle w:val="SingleTxtG"/>
        <w:ind w:left="2552" w:hanging="1418"/>
        <w:jc w:val="left"/>
        <w:rPr>
          <w:lang w:val="fr-FR"/>
        </w:rPr>
      </w:pPr>
      <w:r w:rsidRPr="003D31FD">
        <w:rPr>
          <w:i/>
          <w:lang w:val="fr-FR"/>
        </w:rPr>
        <w:t>Document(s)</w:t>
      </w:r>
      <w:r w:rsidRPr="00F77D91">
        <w:rPr>
          <w:lang w:val="fr-FR"/>
        </w:rPr>
        <w:t> :</w:t>
      </w:r>
      <w:r w:rsidRPr="003D31FD">
        <w:rPr>
          <w:i/>
          <w:lang w:val="fr-FR"/>
        </w:rPr>
        <w:tab/>
      </w:r>
      <w:r w:rsidRPr="003D31FD">
        <w:rPr>
          <w:lang w:val="fr-FR"/>
        </w:rPr>
        <w:t>Document informel GRSG-114-22.</w:t>
      </w:r>
    </w:p>
    <w:p w:rsidR="003D31FD" w:rsidRPr="003D31FD" w:rsidRDefault="003D31FD" w:rsidP="003D31FD">
      <w:pPr>
        <w:pStyle w:val="SingleTxtG"/>
        <w:rPr>
          <w:lang w:val="fr-FR"/>
        </w:rPr>
      </w:pPr>
      <w:r w:rsidRPr="003D31FD">
        <w:rPr>
          <w:lang w:val="fr-FR"/>
        </w:rPr>
        <w:t>12.</w:t>
      </w:r>
      <w:r w:rsidRPr="003D31FD">
        <w:rPr>
          <w:lang w:val="fr-FR"/>
        </w:rPr>
        <w:tab/>
        <w:t>L’expert de la République de Corée et Président du groupe de travail informel des vitrages de toit panoramique a présenté les résultats de la neuvièm</w:t>
      </w:r>
      <w:r w:rsidR="00B8329D">
        <w:rPr>
          <w:lang w:val="fr-FR"/>
        </w:rPr>
        <w:t>e réunion du groupe, tenue le 9 </w:t>
      </w:r>
      <w:r w:rsidRPr="003D31FD">
        <w:rPr>
          <w:lang w:val="fr-FR"/>
        </w:rPr>
        <w:t>avril 2018 (GRSG-114-22). Il a ajouté qu’en raison de contraintes budgétaires, aucune des activités de recherche et d’expérimentation sur les zones de vitrage à impression céramique n’avait commencé. Il a conclu en indiquant que les membres du groupe de travail informel avaient demandé que le mandat de leur groupe soit prolongé (de juin 2018 à avril 2020).</w:t>
      </w:r>
    </w:p>
    <w:p w:rsidR="003D31FD" w:rsidRPr="003D31FD" w:rsidRDefault="003D31FD" w:rsidP="003D31FD">
      <w:pPr>
        <w:pStyle w:val="SingleTxtG"/>
        <w:rPr>
          <w:lang w:val="fr-FR"/>
        </w:rPr>
      </w:pPr>
      <w:r w:rsidRPr="003D31FD">
        <w:rPr>
          <w:lang w:val="fr-FR"/>
        </w:rPr>
        <w:t>13.</w:t>
      </w:r>
      <w:r w:rsidRPr="003D31FD">
        <w:rPr>
          <w:lang w:val="fr-FR"/>
        </w:rPr>
        <w:tab/>
        <w:t>Le GRSG a approuvé la demande du groupe de travail informel et l’a encouragé à poursuivre ses travaux. Le Président du GRSG a proposé de demander l’accord du WP.29, à sa session de juin 2018, pour que le mandat du groupe soit prolongé de deux ans. Le GRSG a décidé de reprendre l’examen de ce point à sa session d’octobre 2018.</w:t>
      </w:r>
    </w:p>
    <w:p w:rsidR="003D31FD" w:rsidRPr="003D31FD" w:rsidRDefault="00B8329D" w:rsidP="00B8329D">
      <w:pPr>
        <w:pStyle w:val="H1G"/>
        <w:rPr>
          <w:lang w:val="fr-FR"/>
        </w:rPr>
      </w:pPr>
      <w:r>
        <w:rPr>
          <w:lang w:val="fr-FR"/>
        </w:rPr>
        <w:tab/>
      </w:r>
      <w:r w:rsidR="003D31FD" w:rsidRPr="003D31FD">
        <w:rPr>
          <w:lang w:val="fr-FR"/>
        </w:rPr>
        <w:t>A.</w:t>
      </w:r>
      <w:r w:rsidR="003D31FD" w:rsidRPr="003D31FD">
        <w:rPr>
          <w:lang w:val="fr-FR"/>
        </w:rPr>
        <w:tab/>
        <w:t>Règlement technique mondial ONU n</w:t>
      </w:r>
      <w:r w:rsidR="003D31FD" w:rsidRPr="003D31FD">
        <w:rPr>
          <w:vertAlign w:val="superscript"/>
          <w:lang w:val="fr-FR"/>
        </w:rPr>
        <w:t>o</w:t>
      </w:r>
      <w:r w:rsidR="003D31FD" w:rsidRPr="003D31FD">
        <w:rPr>
          <w:lang w:val="fr-FR"/>
        </w:rPr>
        <w:t xml:space="preserve"> 6 (Vitrages de sécurité) </w:t>
      </w:r>
    </w:p>
    <w:p w:rsidR="003D31FD" w:rsidRPr="003D31FD" w:rsidRDefault="003D31FD" w:rsidP="00B62BC3">
      <w:pPr>
        <w:pStyle w:val="SingleTxtG"/>
        <w:ind w:left="2552" w:hanging="1418"/>
        <w:jc w:val="left"/>
        <w:rPr>
          <w:lang w:val="fr-FR"/>
        </w:rPr>
      </w:pPr>
      <w:r w:rsidRPr="003D31FD">
        <w:rPr>
          <w:i/>
          <w:lang w:val="fr-FR"/>
        </w:rPr>
        <w:t>Document(s) </w:t>
      </w:r>
      <w:r w:rsidRPr="00F77D91">
        <w:rPr>
          <w:lang w:val="fr-FR"/>
        </w:rPr>
        <w:t>:</w:t>
      </w:r>
      <w:r w:rsidRPr="003D31FD">
        <w:rPr>
          <w:i/>
          <w:lang w:val="fr-FR"/>
        </w:rPr>
        <w:tab/>
      </w:r>
      <w:r w:rsidRPr="003D31FD">
        <w:rPr>
          <w:lang w:val="fr-FR"/>
        </w:rPr>
        <w:t>Document informel GRSG-114-20.</w:t>
      </w:r>
    </w:p>
    <w:p w:rsidR="003D31FD" w:rsidRPr="003D31FD" w:rsidRDefault="003D31FD" w:rsidP="003D31FD">
      <w:pPr>
        <w:pStyle w:val="SingleTxtG"/>
        <w:rPr>
          <w:lang w:val="fr-FR"/>
        </w:rPr>
      </w:pPr>
      <w:r w:rsidRPr="003D31FD">
        <w:rPr>
          <w:lang w:val="fr-FR"/>
        </w:rPr>
        <w:t>14.</w:t>
      </w:r>
      <w:r w:rsidRPr="003D31FD">
        <w:rPr>
          <w:lang w:val="fr-FR"/>
        </w:rPr>
        <w:tab/>
      </w:r>
      <w:r w:rsidRPr="00B8329D">
        <w:rPr>
          <w:spacing w:val="-2"/>
          <w:lang w:val="fr-FR"/>
        </w:rPr>
        <w:t>L’expert de l’Inde a préféré présenter le document GRSG-114-20 au titre du point</w:t>
      </w:r>
      <w:r w:rsidR="00B8329D" w:rsidRPr="00B8329D">
        <w:rPr>
          <w:spacing w:val="-2"/>
          <w:lang w:val="fr-FR"/>
        </w:rPr>
        <w:t> </w:t>
      </w:r>
      <w:r w:rsidRPr="00B8329D">
        <w:rPr>
          <w:spacing w:val="-2"/>
          <w:lang w:val="fr-FR"/>
        </w:rPr>
        <w:t>4</w:t>
      </w:r>
      <w:r w:rsidR="00B8329D" w:rsidRPr="00B8329D">
        <w:rPr>
          <w:spacing w:val="-2"/>
          <w:lang w:val="fr-FR"/>
        </w:rPr>
        <w:t> </w:t>
      </w:r>
      <w:r w:rsidRPr="00B8329D">
        <w:rPr>
          <w:spacing w:val="-2"/>
          <w:lang w:val="fr-FR"/>
        </w:rPr>
        <w:t>b)</w:t>
      </w:r>
      <w:r w:rsidRPr="003D31FD">
        <w:rPr>
          <w:lang w:val="fr-FR"/>
        </w:rPr>
        <w:t xml:space="preserve"> ci-après.</w:t>
      </w:r>
    </w:p>
    <w:p w:rsidR="003D31FD" w:rsidRPr="003D31FD" w:rsidRDefault="00B8329D" w:rsidP="00B8329D">
      <w:pPr>
        <w:pStyle w:val="H1G"/>
        <w:rPr>
          <w:lang w:val="fr-FR"/>
        </w:rPr>
      </w:pPr>
      <w:r>
        <w:rPr>
          <w:lang w:val="fr-FR"/>
        </w:rPr>
        <w:tab/>
      </w:r>
      <w:r w:rsidR="003D31FD" w:rsidRPr="003D31FD">
        <w:rPr>
          <w:lang w:val="fr-FR"/>
        </w:rPr>
        <w:t>B.</w:t>
      </w:r>
      <w:r w:rsidR="003D31FD" w:rsidRPr="003D31FD">
        <w:rPr>
          <w:lang w:val="fr-FR"/>
        </w:rPr>
        <w:tab/>
        <w:t>Règlement ONU n</w:t>
      </w:r>
      <w:r w:rsidR="003D31FD" w:rsidRPr="003D31FD">
        <w:rPr>
          <w:vertAlign w:val="superscript"/>
          <w:lang w:val="fr-FR"/>
        </w:rPr>
        <w:t>o</w:t>
      </w:r>
      <w:r w:rsidR="003D31FD" w:rsidRPr="003D31FD">
        <w:rPr>
          <w:lang w:val="fr-FR"/>
        </w:rPr>
        <w:t> 43 (Vitrages de sécurité)</w:t>
      </w:r>
    </w:p>
    <w:p w:rsidR="003D31FD" w:rsidRPr="003D31FD" w:rsidRDefault="003D31FD" w:rsidP="00B62BC3">
      <w:pPr>
        <w:pStyle w:val="SingleTxtG"/>
        <w:ind w:left="2552" w:hanging="1418"/>
        <w:jc w:val="left"/>
        <w:rPr>
          <w:lang w:val="fr-FR"/>
        </w:rPr>
      </w:pPr>
      <w:r w:rsidRPr="003D31FD">
        <w:rPr>
          <w:i/>
          <w:lang w:val="fr-FR"/>
        </w:rPr>
        <w:t>Document(s) </w:t>
      </w:r>
      <w:r w:rsidRPr="00F77D91">
        <w:rPr>
          <w:lang w:val="fr-FR"/>
        </w:rPr>
        <w:t>:</w:t>
      </w:r>
      <w:r w:rsidR="00B8329D">
        <w:rPr>
          <w:lang w:val="fr-FR"/>
        </w:rPr>
        <w:tab/>
        <w:t>ECE/TRANS/WP.29/GRSG/2018/7</w:t>
      </w:r>
      <w:r w:rsidR="00B8329D">
        <w:rPr>
          <w:lang w:val="fr-FR"/>
        </w:rPr>
        <w:br/>
      </w:r>
      <w:r w:rsidRPr="003D31FD">
        <w:rPr>
          <w:lang w:val="fr-FR"/>
        </w:rPr>
        <w:t>Documents informel</w:t>
      </w:r>
      <w:r w:rsidR="00B8329D">
        <w:rPr>
          <w:lang w:val="fr-FR"/>
        </w:rPr>
        <w:t xml:space="preserve">s GRSG-114-04, GRSG-114-20 </w:t>
      </w:r>
      <w:r w:rsidR="00B8329D">
        <w:rPr>
          <w:lang w:val="fr-FR"/>
        </w:rPr>
        <w:br/>
        <w:t xml:space="preserve">et </w:t>
      </w:r>
      <w:r w:rsidRPr="003D31FD">
        <w:rPr>
          <w:lang w:val="fr-FR"/>
        </w:rPr>
        <w:t>GRSG-114-23-Rev.1.</w:t>
      </w:r>
    </w:p>
    <w:p w:rsidR="003D31FD" w:rsidRPr="003D31FD" w:rsidRDefault="003D31FD" w:rsidP="003D31FD">
      <w:pPr>
        <w:pStyle w:val="SingleTxtG"/>
        <w:rPr>
          <w:lang w:val="fr-FR"/>
        </w:rPr>
      </w:pPr>
      <w:r w:rsidRPr="003D31FD">
        <w:rPr>
          <w:lang w:val="fr-FR"/>
        </w:rPr>
        <w:t>15.</w:t>
      </w:r>
      <w:r w:rsidRPr="003D31FD">
        <w:rPr>
          <w:lang w:val="fr-FR"/>
        </w:rPr>
        <w:tab/>
        <w:t>L’expert de la Finlande a présenté le document ECE/TRANS/WP.29/GRSG/2018/7, qui a trait à l’installation sur les véhicules de vitrages en verre feuilleté à propriétés mécaniques améliorées. L’expert de la Pologne a présenté le document GRSG-114-04, dans lequel il est proposé d’aligner les nouvelles prescriptions sur la structure générale du règlement. L’expert de l’Inde a suggéré de reprendre la terminologie du règlement (GRSG-114-20). Le GRSG a constaté que ses membres affichaient pour la plupart une préférence pour l’utilisation facultative des nouvelles dispositions et préféraient également qu’elles soient soumises au WP.29 sous forme de complément. Il a adopté le document ECE/</w:t>
      </w:r>
      <w:r w:rsidR="00B8329D">
        <w:rPr>
          <w:lang w:val="fr-FR"/>
        </w:rPr>
        <w:t xml:space="preserve"> </w:t>
      </w:r>
      <w:r w:rsidRPr="003D31FD">
        <w:rPr>
          <w:lang w:val="fr-FR"/>
        </w:rPr>
        <w:t>TRANS/WP.29/GRSG/2018/7 tel que révisé sur la base du document GRSG-114-23-Rev.1, qui est reproduit à l’annexe IV du présent rapport. Le secrétariat a été chargé de le soumettre au WP.29 et à l’AC.1, pour examen à leurs sessions de novembre 2018, en tant que projet de complément 8 à la série 01 d’amendements au Règlement ONU n</w:t>
      </w:r>
      <w:r w:rsidRPr="003D31FD">
        <w:rPr>
          <w:vertAlign w:val="superscript"/>
          <w:lang w:val="fr-FR"/>
        </w:rPr>
        <w:t>o</w:t>
      </w:r>
      <w:r w:rsidRPr="003D31FD">
        <w:rPr>
          <w:lang w:val="fr-FR"/>
        </w:rPr>
        <w:t> 43.</w:t>
      </w:r>
    </w:p>
    <w:p w:rsidR="003D31FD" w:rsidRPr="003D31FD" w:rsidRDefault="003D31FD" w:rsidP="003D31FD">
      <w:pPr>
        <w:pStyle w:val="SingleTxtG"/>
        <w:rPr>
          <w:lang w:val="fr-FR"/>
        </w:rPr>
      </w:pPr>
      <w:r w:rsidRPr="003D31FD">
        <w:rPr>
          <w:lang w:val="fr-FR"/>
        </w:rPr>
        <w:t>16.</w:t>
      </w:r>
      <w:r w:rsidRPr="003D31FD">
        <w:rPr>
          <w:lang w:val="fr-FR"/>
        </w:rPr>
        <w:tab/>
        <w:t>Le GRSG a rappelé l’objet du document GRSG-114-20, à savoir harmoniser le Règlement technique mondial ONU n</w:t>
      </w:r>
      <w:r w:rsidRPr="003D31FD">
        <w:rPr>
          <w:vertAlign w:val="superscript"/>
          <w:lang w:val="fr-FR"/>
        </w:rPr>
        <w:t>o</w:t>
      </w:r>
      <w:r w:rsidRPr="003D31FD">
        <w:rPr>
          <w:lang w:val="fr-FR"/>
        </w:rPr>
        <w:t> 6 sur les vitrages de sécurité, et a invité l’expert de l’Inde à lui soumettre en temps opportun une proposition officielle pour examen à sa prochaine session. L’expert de l’Inde a offert d’assumer les fonctions de responsable technique de l’élaboration de l’amendement et de soumettre au WP.29 et à l’AC.</w:t>
      </w:r>
      <w:r w:rsidR="00F77D91">
        <w:rPr>
          <w:lang w:val="fr-FR"/>
        </w:rPr>
        <w:t>3</w:t>
      </w:r>
      <w:r w:rsidRPr="003D31FD">
        <w:rPr>
          <w:lang w:val="fr-FR"/>
        </w:rPr>
        <w:t>, à leurs sessions de juin 2018, une demande officielle d’autorisation de modifier le Règlement.</w:t>
      </w:r>
    </w:p>
    <w:p w:rsidR="003D31FD" w:rsidRPr="003D31FD" w:rsidRDefault="00B8329D" w:rsidP="00B8329D">
      <w:pPr>
        <w:pStyle w:val="HChG"/>
        <w:rPr>
          <w:lang w:val="fr-FR"/>
        </w:rPr>
      </w:pPr>
      <w:r>
        <w:rPr>
          <w:lang w:val="fr-FR"/>
        </w:rPr>
        <w:lastRenderedPageBreak/>
        <w:tab/>
      </w:r>
      <w:r w:rsidR="003D31FD" w:rsidRPr="003D31FD">
        <w:rPr>
          <w:lang w:val="fr-FR"/>
        </w:rPr>
        <w:t>VI.</w:t>
      </w:r>
      <w:r w:rsidR="003D31FD" w:rsidRPr="003D31FD">
        <w:rPr>
          <w:lang w:val="fr-FR"/>
        </w:rPr>
        <w:tab/>
        <w:t>Sensibilisation à la proximité d’usagers d</w:t>
      </w:r>
      <w:r>
        <w:rPr>
          <w:lang w:val="fr-FR"/>
        </w:rPr>
        <w:t xml:space="preserve">e la route vulnérables (point 5 </w:t>
      </w:r>
      <w:r w:rsidR="003D31FD" w:rsidRPr="003D31FD">
        <w:rPr>
          <w:lang w:val="fr-FR"/>
        </w:rPr>
        <w:t>de l’ordre du jour)</w:t>
      </w:r>
    </w:p>
    <w:p w:rsidR="003D31FD" w:rsidRPr="003D31FD" w:rsidRDefault="003D31FD" w:rsidP="003D31FD">
      <w:pPr>
        <w:pStyle w:val="SingleTxtG"/>
        <w:rPr>
          <w:lang w:val="fr-FR"/>
        </w:rPr>
      </w:pPr>
      <w:r w:rsidRPr="003D31FD">
        <w:rPr>
          <w:lang w:val="fr-FR"/>
        </w:rPr>
        <w:t>17.</w:t>
      </w:r>
      <w:r w:rsidRPr="003D31FD">
        <w:rPr>
          <w:lang w:val="fr-FR"/>
        </w:rPr>
        <w:tab/>
        <w:t xml:space="preserve">Le GRSG a pris note du rapport oral de l’expert de la Commission européenne sur l’état d’avancement des travaux du groupe de travail informel sur la sensibilisation à la proximité d’usagers de la route vulnérables (VRU-Proxi). L’expert de la Commission européenne a rappelé que le document GRSG-113-27, présenté à la session précédente du GRSG, mettait en évidence la nécessité de collecter des données détaillées sur les accidents. Il a de nouveau invité les experts gouvernementaux à communiquer les données relatives aux accidents dans leur pays, qui permettraient d’avoir une vision claire de la situation dans le monde entier et d’aider le groupe de travail informel à orienter ses travaux. </w:t>
      </w:r>
    </w:p>
    <w:p w:rsidR="003D31FD" w:rsidRPr="003D31FD" w:rsidRDefault="00B8329D" w:rsidP="00B8329D">
      <w:pPr>
        <w:pStyle w:val="H1G"/>
        <w:rPr>
          <w:lang w:val="fr-FR"/>
        </w:rPr>
      </w:pPr>
      <w:r>
        <w:rPr>
          <w:lang w:val="fr-FR"/>
        </w:rPr>
        <w:tab/>
      </w:r>
      <w:r w:rsidR="003D31FD" w:rsidRPr="003D31FD">
        <w:rPr>
          <w:lang w:val="fr-FR"/>
        </w:rPr>
        <w:t>A.</w:t>
      </w:r>
      <w:r w:rsidR="003D31FD" w:rsidRPr="003D31FD">
        <w:rPr>
          <w:lang w:val="fr-FR"/>
        </w:rPr>
        <w:tab/>
        <w:t>Règlement ONU n</w:t>
      </w:r>
      <w:r w:rsidR="003D31FD" w:rsidRPr="003D31FD">
        <w:rPr>
          <w:vertAlign w:val="superscript"/>
          <w:lang w:val="fr-FR"/>
        </w:rPr>
        <w:t>o</w:t>
      </w:r>
      <w:r w:rsidR="003D31FD" w:rsidRPr="003D31FD">
        <w:rPr>
          <w:lang w:val="fr-FR"/>
        </w:rPr>
        <w:t> 46 (Dispositifs de vision indirecte)</w:t>
      </w:r>
    </w:p>
    <w:p w:rsidR="003D31FD" w:rsidRPr="003D31FD" w:rsidRDefault="003D31FD" w:rsidP="00B62BC3">
      <w:pPr>
        <w:pStyle w:val="SingleTxtG"/>
        <w:ind w:left="2552" w:hanging="1418"/>
        <w:jc w:val="left"/>
        <w:rPr>
          <w:lang w:val="fr-FR"/>
        </w:rPr>
      </w:pPr>
      <w:r w:rsidRPr="003D31FD">
        <w:rPr>
          <w:i/>
          <w:lang w:val="fr-FR"/>
        </w:rPr>
        <w:t>Document(s) </w:t>
      </w:r>
      <w:r w:rsidRPr="003D31FD">
        <w:rPr>
          <w:lang w:val="fr-FR"/>
        </w:rPr>
        <w:t>:</w:t>
      </w:r>
      <w:r w:rsidRPr="003D31FD">
        <w:rPr>
          <w:lang w:val="fr-FR"/>
        </w:rPr>
        <w:tab/>
        <w:t>ECE/TRANS/WP.29/GRSG/2018/9</w:t>
      </w:r>
      <w:r w:rsidR="00B8329D">
        <w:rPr>
          <w:lang w:val="fr-FR"/>
        </w:rPr>
        <w:br/>
      </w:r>
      <w:r w:rsidRPr="003D31FD">
        <w:rPr>
          <w:lang w:val="fr-FR"/>
        </w:rPr>
        <w:t>Document informel GRSG-114-25-Rev.1.</w:t>
      </w:r>
    </w:p>
    <w:p w:rsidR="003D31FD" w:rsidRPr="003D31FD" w:rsidRDefault="003D31FD" w:rsidP="003D31FD">
      <w:pPr>
        <w:pStyle w:val="SingleTxtG"/>
        <w:rPr>
          <w:lang w:val="fr-FR"/>
        </w:rPr>
      </w:pPr>
      <w:r w:rsidRPr="003D31FD">
        <w:rPr>
          <w:lang w:val="fr-FR"/>
        </w:rPr>
        <w:t>18.</w:t>
      </w:r>
      <w:r w:rsidRPr="003D31FD">
        <w:rPr>
          <w:lang w:val="fr-FR"/>
        </w:rPr>
        <w:tab/>
        <w:t>L’expert de l’OICA a présenté le document GRSG-114-25-Rev.1, qui remplace le document ECE/TRANS/WP.29/GRSG/2018/9, lequel visait à aligner la version française du Règlement ONU n</w:t>
      </w:r>
      <w:r w:rsidRPr="003D31FD">
        <w:rPr>
          <w:vertAlign w:val="superscript"/>
          <w:lang w:val="fr-FR"/>
        </w:rPr>
        <w:t>o</w:t>
      </w:r>
      <w:r w:rsidRPr="003D31FD">
        <w:rPr>
          <w:lang w:val="fr-FR"/>
        </w:rPr>
        <w:t> 46 sur la version anglaise et à préciser les prescriptions du paragraphe 16.1.1.3 concernant les surimpressions des systèmes à caméra et moniteur conformément aux décisions prises par le groupe de travail chargé d’étudier ces systèmes. La proposition formulée a recueilli une large adhésion.</w:t>
      </w:r>
    </w:p>
    <w:p w:rsidR="003D31FD" w:rsidRPr="003D31FD" w:rsidRDefault="003D31FD" w:rsidP="003D31FD">
      <w:pPr>
        <w:pStyle w:val="SingleTxtG"/>
        <w:rPr>
          <w:lang w:val="fr-FR"/>
        </w:rPr>
      </w:pPr>
      <w:r w:rsidRPr="003D31FD">
        <w:rPr>
          <w:lang w:val="fr-FR"/>
        </w:rPr>
        <w:t>19.</w:t>
      </w:r>
      <w:r w:rsidRPr="003D31FD">
        <w:rPr>
          <w:lang w:val="fr-FR"/>
        </w:rPr>
        <w:tab/>
        <w:t>Le GRSG a adopté la proposition telle que reproduite ci-dessous. Le secrétariat a été chargé de la soumettre au WP.29 et à l’AC.1, pour examen à leurs sessions de novembre 2018, en tant que projet de complément 6 à la série 04 d’amendements au Règlement ONU n</w:t>
      </w:r>
      <w:r w:rsidRPr="003D31FD">
        <w:rPr>
          <w:vertAlign w:val="superscript"/>
          <w:lang w:val="fr-FR"/>
        </w:rPr>
        <w:t>o</w:t>
      </w:r>
      <w:r w:rsidRPr="003D31FD">
        <w:rPr>
          <w:lang w:val="fr-FR"/>
        </w:rPr>
        <w:t xml:space="preserve"> 46. </w:t>
      </w:r>
    </w:p>
    <w:p w:rsidR="003D31FD" w:rsidRPr="003D31FD" w:rsidRDefault="003D31FD" w:rsidP="003D31FD">
      <w:pPr>
        <w:pStyle w:val="SingleTxtG"/>
        <w:rPr>
          <w:lang w:val="fr-FR"/>
        </w:rPr>
      </w:pPr>
      <w:r w:rsidRPr="003D31FD">
        <w:rPr>
          <w:i/>
          <w:lang w:val="fr-FR"/>
        </w:rPr>
        <w:t>Version anglaise, paragraphe 16.1.1.3</w:t>
      </w:r>
      <w:r w:rsidRPr="003D31FD">
        <w:rPr>
          <w:lang w:val="fr-FR"/>
        </w:rPr>
        <w:t>, modifier comme suit :</w:t>
      </w:r>
    </w:p>
    <w:p w:rsidR="003D31FD" w:rsidRPr="003D31FD" w:rsidRDefault="003D31FD" w:rsidP="003F2CC3">
      <w:pPr>
        <w:pStyle w:val="SingleTxtG"/>
        <w:tabs>
          <w:tab w:val="left" w:pos="2268"/>
        </w:tabs>
        <w:rPr>
          <w:lang w:val="en-US"/>
        </w:rPr>
      </w:pPr>
      <w:r w:rsidRPr="003D31FD">
        <w:rPr>
          <w:lang w:val="en-US"/>
        </w:rPr>
        <w:t>« 16.1.1.3</w:t>
      </w:r>
      <w:r w:rsidRPr="003D31FD">
        <w:rPr>
          <w:lang w:val="en-US"/>
        </w:rPr>
        <w:tab/>
        <w:t xml:space="preserve">Overlay requirements within the minimum required field of vision </w:t>
      </w:r>
    </w:p>
    <w:p w:rsidR="003D31FD" w:rsidRPr="003D31FD" w:rsidRDefault="003F2CC3" w:rsidP="003F2CC3">
      <w:pPr>
        <w:pStyle w:val="SingleTxtG"/>
        <w:ind w:left="2268"/>
        <w:rPr>
          <w:lang w:val="en-US"/>
        </w:rPr>
      </w:pPr>
      <w:r>
        <w:rPr>
          <w:lang w:val="en-US"/>
        </w:rPr>
        <w:tab/>
      </w:r>
      <w:r w:rsidR="003D31FD" w:rsidRPr="003D31FD">
        <w:rPr>
          <w:lang w:val="en-US"/>
        </w:rPr>
        <w:t>Overlays shall display only</w:t>
      </w:r>
      <w:r w:rsidR="003D31FD" w:rsidRPr="003D31FD">
        <w:rPr>
          <w:b/>
          <w:lang w:val="en-US"/>
        </w:rPr>
        <w:t xml:space="preserve"> safety-related</w:t>
      </w:r>
      <w:r w:rsidR="003D31FD" w:rsidRPr="003D31FD">
        <w:rPr>
          <w:lang w:val="en-US"/>
        </w:rPr>
        <w:t xml:space="preserve"> rearward </w:t>
      </w:r>
      <w:r w:rsidR="003D31FD" w:rsidRPr="003D31FD">
        <w:rPr>
          <w:b/>
          <w:lang w:val="en-US"/>
        </w:rPr>
        <w:t>v</w:t>
      </w:r>
      <w:r>
        <w:rPr>
          <w:b/>
          <w:lang w:val="en-US"/>
        </w:rPr>
        <w:t xml:space="preserve">ision </w:t>
      </w:r>
      <w:r w:rsidR="003D31FD" w:rsidRPr="003D31FD">
        <w:rPr>
          <w:lang w:val="en-US"/>
        </w:rPr>
        <w:t>information.</w:t>
      </w:r>
    </w:p>
    <w:p w:rsidR="003D31FD" w:rsidRPr="003D31FD" w:rsidRDefault="003F2CC3" w:rsidP="003F2CC3">
      <w:pPr>
        <w:pStyle w:val="SingleTxtG"/>
        <w:ind w:left="2268"/>
        <w:rPr>
          <w:lang w:val="en-US"/>
        </w:rPr>
      </w:pPr>
      <w:r>
        <w:rPr>
          <w:lang w:val="en-US"/>
        </w:rPr>
        <w:tab/>
      </w:r>
      <w:r w:rsidR="003D31FD" w:rsidRPr="003D31FD">
        <w:rPr>
          <w:lang w:val="en-US"/>
        </w:rPr>
        <w:t>All overlays shall …… worst case(s). ».</w:t>
      </w:r>
    </w:p>
    <w:p w:rsidR="003D31FD" w:rsidRPr="003D31FD" w:rsidRDefault="003D31FD" w:rsidP="003D31FD">
      <w:pPr>
        <w:pStyle w:val="SingleTxtG"/>
        <w:rPr>
          <w:lang w:val="fr-FR"/>
        </w:rPr>
      </w:pPr>
      <w:r w:rsidRPr="003D31FD">
        <w:rPr>
          <w:i/>
          <w:lang w:val="fr-FR"/>
        </w:rPr>
        <w:t>Version française, paragraphe 16.1.1.3</w:t>
      </w:r>
      <w:r w:rsidRPr="003D31FD">
        <w:rPr>
          <w:lang w:val="fr-FR"/>
        </w:rPr>
        <w:t>, modifier comme suit :</w:t>
      </w:r>
    </w:p>
    <w:p w:rsidR="003D31FD" w:rsidRPr="003D31FD" w:rsidRDefault="003D31FD" w:rsidP="003F2CC3">
      <w:pPr>
        <w:pStyle w:val="SingleTxtG"/>
        <w:ind w:left="2268" w:hanging="1134"/>
        <w:rPr>
          <w:lang w:val="fr-FR"/>
        </w:rPr>
      </w:pPr>
      <w:r w:rsidRPr="003D31FD">
        <w:rPr>
          <w:lang w:val="fr-FR"/>
        </w:rPr>
        <w:t>« 16.1.1.3</w:t>
      </w:r>
      <w:r w:rsidRPr="003D31FD">
        <w:rPr>
          <w:lang w:val="fr-FR"/>
        </w:rPr>
        <w:tab/>
        <w:t>Prescriptions concernant les s</w:t>
      </w:r>
      <w:r w:rsidR="003F2CC3">
        <w:rPr>
          <w:lang w:val="fr-FR"/>
        </w:rPr>
        <w:t xml:space="preserve">urimpressions dans le champ de </w:t>
      </w:r>
      <w:r w:rsidRPr="003D31FD">
        <w:rPr>
          <w:lang w:val="fr-FR"/>
        </w:rPr>
        <w:t>vision minimal requis</w:t>
      </w:r>
    </w:p>
    <w:p w:rsidR="003D31FD" w:rsidRPr="003D31FD" w:rsidRDefault="003D31FD" w:rsidP="003F2CC3">
      <w:pPr>
        <w:pStyle w:val="SingleTxtG"/>
        <w:ind w:left="2268"/>
        <w:rPr>
          <w:lang w:val="fr-FR"/>
        </w:rPr>
      </w:pPr>
      <w:r w:rsidRPr="003D31FD">
        <w:rPr>
          <w:lang w:val="fr-FR"/>
        </w:rPr>
        <w:tab/>
        <w:t>Les surimpressions ne doivent</w:t>
      </w:r>
      <w:r w:rsidRPr="003D31FD">
        <w:rPr>
          <w:b/>
          <w:lang w:val="fr-FR"/>
        </w:rPr>
        <w:t xml:space="preserve"> afficher</w:t>
      </w:r>
      <w:r w:rsidRPr="003D31FD">
        <w:rPr>
          <w:lang w:val="fr-FR"/>
        </w:rPr>
        <w:t xml:space="preserve"> que des informations </w:t>
      </w:r>
      <w:r w:rsidRPr="003D31FD">
        <w:rPr>
          <w:b/>
          <w:lang w:val="fr-FR"/>
        </w:rPr>
        <w:t>de vision vers l’arrière</w:t>
      </w:r>
      <w:r w:rsidRPr="003D31FD">
        <w:rPr>
          <w:lang w:val="fr-FR"/>
        </w:rPr>
        <w:t xml:space="preserve"> relatives </w:t>
      </w:r>
      <w:r w:rsidRPr="003D31FD">
        <w:rPr>
          <w:b/>
          <w:lang w:val="fr-FR"/>
        </w:rPr>
        <w:t>à la sécurité.</w:t>
      </w:r>
    </w:p>
    <w:p w:rsidR="003D31FD" w:rsidRPr="003D31FD" w:rsidRDefault="003F2CC3" w:rsidP="003F2CC3">
      <w:pPr>
        <w:pStyle w:val="SingleTxtG"/>
        <w:ind w:left="2268"/>
        <w:rPr>
          <w:lang w:val="fr-FR"/>
        </w:rPr>
      </w:pPr>
      <w:r>
        <w:rPr>
          <w:lang w:val="fr-FR"/>
        </w:rPr>
        <w:tab/>
      </w:r>
      <w:r w:rsidR="003D31FD" w:rsidRPr="003D31FD">
        <w:rPr>
          <w:lang w:val="fr-FR"/>
        </w:rPr>
        <w:t>Toutes les surimpressions doivent […] la moins favorable. ».</w:t>
      </w:r>
    </w:p>
    <w:p w:rsidR="003D31FD" w:rsidRPr="003D31FD" w:rsidRDefault="003F2CC3" w:rsidP="003F2CC3">
      <w:pPr>
        <w:pStyle w:val="H1G"/>
        <w:rPr>
          <w:lang w:val="fr-FR"/>
        </w:rPr>
      </w:pPr>
      <w:r>
        <w:rPr>
          <w:lang w:val="fr-FR"/>
        </w:rPr>
        <w:tab/>
      </w:r>
      <w:r w:rsidR="003D31FD" w:rsidRPr="003D31FD">
        <w:rPr>
          <w:lang w:val="fr-FR"/>
        </w:rPr>
        <w:t>B.</w:t>
      </w:r>
      <w:r w:rsidR="003D31FD" w:rsidRPr="003D31FD">
        <w:rPr>
          <w:lang w:val="fr-FR"/>
        </w:rPr>
        <w:tab/>
        <w:t xml:space="preserve">Nouveau Règlement ONU sur les systèmes de surveillance </w:t>
      </w:r>
      <w:r>
        <w:rPr>
          <w:lang w:val="fr-FR"/>
        </w:rPr>
        <w:br/>
      </w:r>
      <w:r w:rsidR="003D31FD" w:rsidRPr="003D31FD">
        <w:rPr>
          <w:lang w:val="fr-FR"/>
        </w:rPr>
        <w:t>de l’angle mort</w:t>
      </w:r>
    </w:p>
    <w:p w:rsidR="003D31FD" w:rsidRPr="003D31FD" w:rsidRDefault="003D31FD" w:rsidP="00B8329D">
      <w:pPr>
        <w:pStyle w:val="SingleTxtG"/>
        <w:ind w:left="2552" w:hanging="1418"/>
        <w:jc w:val="left"/>
        <w:rPr>
          <w:lang w:val="fr-FR"/>
        </w:rPr>
      </w:pPr>
      <w:r w:rsidRPr="003D31FD">
        <w:rPr>
          <w:i/>
          <w:lang w:val="fr-FR"/>
        </w:rPr>
        <w:t>Document(s) </w:t>
      </w:r>
      <w:r w:rsidRPr="00F77D91">
        <w:rPr>
          <w:lang w:val="fr-FR"/>
        </w:rPr>
        <w:t>:</w:t>
      </w:r>
      <w:r w:rsidRPr="003D31FD">
        <w:rPr>
          <w:i/>
          <w:lang w:val="fr-FR"/>
        </w:rPr>
        <w:tab/>
      </w:r>
      <w:r w:rsidRPr="003D31FD">
        <w:rPr>
          <w:lang w:val="fr-FR"/>
        </w:rPr>
        <w:t>ECE/TRANS/WP.29/GRSG/2017/</w:t>
      </w:r>
      <w:r w:rsidR="003F2CC3">
        <w:rPr>
          <w:lang w:val="fr-FR"/>
        </w:rPr>
        <w:t>11</w:t>
      </w:r>
      <w:r w:rsidR="003F2CC3">
        <w:rPr>
          <w:lang w:val="fr-FR"/>
        </w:rPr>
        <w:br/>
      </w:r>
      <w:r w:rsidRPr="003D31FD">
        <w:rPr>
          <w:lang w:val="fr-FR"/>
        </w:rPr>
        <w:t>Document informel GRSG-114-21.</w:t>
      </w:r>
    </w:p>
    <w:p w:rsidR="003D31FD" w:rsidRPr="003D31FD" w:rsidRDefault="003D31FD" w:rsidP="003D31FD">
      <w:pPr>
        <w:pStyle w:val="SingleTxtG"/>
        <w:rPr>
          <w:lang w:val="fr-FR"/>
        </w:rPr>
      </w:pPr>
      <w:r w:rsidRPr="003D31FD">
        <w:rPr>
          <w:lang w:val="fr-FR"/>
        </w:rPr>
        <w:t>20.</w:t>
      </w:r>
      <w:r w:rsidRPr="003D31FD">
        <w:rPr>
          <w:lang w:val="fr-FR"/>
        </w:rPr>
        <w:tab/>
        <w:t>L’expert de l’Allemagne a rappelé l’objet du document ECE/TRANS/WP.29/</w:t>
      </w:r>
      <w:r w:rsidR="003F2CC3">
        <w:rPr>
          <w:lang w:val="fr-FR"/>
        </w:rPr>
        <w:t xml:space="preserve"> </w:t>
      </w:r>
      <w:r w:rsidRPr="003D31FD">
        <w:rPr>
          <w:lang w:val="fr-FR"/>
        </w:rPr>
        <w:t>GRSG/2017/11 et a rendu compte du résultat des travaux du groupe de travail informel VRU-Proxi (GRSG-114-21). Ce dernier avait recommandé d’élargir le champ d’application du nouveau Règlement ONU aux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L’expert de l’OICA a fait valoir que l’amendement proposé était prématuré et que les données sur les accidents ne justifiaient pas pour l’heure d’élargir le champ d’application du Règlement aux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xml:space="preserve"> Le GRSG a constaté que, pour certaines régions, cette nécessité trouvait son origine dans les dispositions générales de sécurité.</w:t>
      </w:r>
    </w:p>
    <w:p w:rsidR="003D31FD" w:rsidRPr="003D31FD" w:rsidRDefault="003D31FD" w:rsidP="003D31FD">
      <w:pPr>
        <w:pStyle w:val="SingleTxtG"/>
        <w:rPr>
          <w:lang w:val="fr-FR"/>
        </w:rPr>
      </w:pPr>
      <w:r w:rsidRPr="003D31FD">
        <w:rPr>
          <w:lang w:val="fr-FR"/>
        </w:rPr>
        <w:lastRenderedPageBreak/>
        <w:t>21.</w:t>
      </w:r>
      <w:r w:rsidRPr="003D31FD">
        <w:rPr>
          <w:lang w:val="fr-FR"/>
        </w:rPr>
        <w:tab/>
        <w:t>L’expert du Royaume-Uni s’est dit favorable à la proposition dans son ensemble, mais a fait observer que les conducteurs pourraient désactiver les systèmes d’alerte visés. Il a souligné la nécessité de continuer à étudier l’efficacité de ces systèmes, en particulier l’interface homme-machine (IHM).</w:t>
      </w:r>
    </w:p>
    <w:p w:rsidR="003D31FD" w:rsidRPr="003D31FD" w:rsidRDefault="003D31FD" w:rsidP="003D31FD">
      <w:pPr>
        <w:pStyle w:val="SingleTxtG"/>
        <w:rPr>
          <w:lang w:val="fr-FR"/>
        </w:rPr>
      </w:pPr>
      <w:r w:rsidRPr="003D31FD">
        <w:rPr>
          <w:lang w:val="fr-FR"/>
        </w:rPr>
        <w:t>22.</w:t>
      </w:r>
      <w:r w:rsidRPr="003D31FD">
        <w:rPr>
          <w:lang w:val="fr-FR"/>
        </w:rPr>
        <w:tab/>
        <w:t>L’expert de l’Allemagne a fait part de son intention de revoir la proposition et de soumettre en temps opportun une proposition révisée pour examen par le GRSG à sa session d’octobre 2018.</w:t>
      </w:r>
    </w:p>
    <w:p w:rsidR="003D31FD" w:rsidRPr="003D31FD" w:rsidRDefault="003F2CC3" w:rsidP="003F2CC3">
      <w:pPr>
        <w:pStyle w:val="HChG"/>
        <w:rPr>
          <w:lang w:val="fr-FR"/>
        </w:rPr>
      </w:pPr>
      <w:r>
        <w:rPr>
          <w:lang w:val="fr-FR"/>
        </w:rPr>
        <w:tab/>
      </w:r>
      <w:r w:rsidR="003D31FD" w:rsidRPr="003D31FD">
        <w:rPr>
          <w:lang w:val="fr-FR"/>
        </w:rPr>
        <w:t>VII.</w:t>
      </w:r>
      <w:r w:rsidR="003D31FD" w:rsidRPr="003D31FD">
        <w:rPr>
          <w:lang w:val="fr-FR"/>
        </w:rPr>
        <w:tab/>
        <w:t>Amendements aux Règlements concernant les véhicules fonctionnant au gaz (point 6 de l’ordre du jour)</w:t>
      </w:r>
    </w:p>
    <w:p w:rsidR="003D31FD" w:rsidRPr="003D31FD" w:rsidRDefault="003D31FD" w:rsidP="00B8329D">
      <w:pPr>
        <w:pStyle w:val="SingleTxtG"/>
        <w:ind w:left="2552" w:hanging="1418"/>
        <w:jc w:val="left"/>
        <w:rPr>
          <w:lang w:val="fr-FR"/>
        </w:rPr>
      </w:pPr>
      <w:r w:rsidRPr="003D31FD">
        <w:rPr>
          <w:i/>
          <w:lang w:val="fr-FR"/>
        </w:rPr>
        <w:t>Document(s) </w:t>
      </w:r>
      <w:r w:rsidRPr="00F77D91">
        <w:rPr>
          <w:lang w:val="fr-FR"/>
        </w:rPr>
        <w:t>:</w:t>
      </w:r>
      <w:r w:rsidRPr="003D31FD">
        <w:rPr>
          <w:lang w:val="fr-FR"/>
        </w:rPr>
        <w:tab/>
        <w:t>Document informel GRSG-114-08.</w:t>
      </w:r>
    </w:p>
    <w:p w:rsidR="003D31FD" w:rsidRPr="003D31FD" w:rsidRDefault="003D31FD" w:rsidP="003D31FD">
      <w:pPr>
        <w:pStyle w:val="SingleTxtG"/>
        <w:rPr>
          <w:lang w:val="fr-FR"/>
        </w:rPr>
      </w:pPr>
      <w:r w:rsidRPr="003D31FD">
        <w:rPr>
          <w:lang w:val="fr-FR"/>
        </w:rPr>
        <w:t>23.</w:t>
      </w:r>
      <w:r w:rsidRPr="003D31FD">
        <w:rPr>
          <w:lang w:val="fr-FR"/>
        </w:rPr>
        <w:tab/>
        <w:t>L’expert de l’Allemagne a présenté le document GRSG-114-08, qui porte sur la réunion que l’équipe spéciale des Règlements concernant les véhicules fonctionnant au gaz a tenue récemment (6 et 7 février 2018) à Cologne (Allemagne). Il a indiqué que les travaux avaient bien avancé en ce qui concernait le Règlement ONU n</w:t>
      </w:r>
      <w:r w:rsidRPr="003D31FD">
        <w:rPr>
          <w:vertAlign w:val="superscript"/>
          <w:lang w:val="fr-FR"/>
        </w:rPr>
        <w:t>o</w:t>
      </w:r>
      <w:r w:rsidRPr="003D31FD">
        <w:rPr>
          <w:lang w:val="fr-FR"/>
        </w:rPr>
        <w:t> 110, mais que les amendements au Règlement ONU n</w:t>
      </w:r>
      <w:r w:rsidRPr="003D31FD">
        <w:rPr>
          <w:vertAlign w:val="superscript"/>
          <w:lang w:val="fr-FR"/>
        </w:rPr>
        <w:t>o</w:t>
      </w:r>
      <w:r w:rsidRPr="003D31FD">
        <w:rPr>
          <w:lang w:val="fr-FR"/>
        </w:rPr>
        <w:t xml:space="preserve"> 67 étaient encore à l’examen.</w:t>
      </w:r>
    </w:p>
    <w:p w:rsidR="003D31FD" w:rsidRPr="003D31FD" w:rsidRDefault="003F2CC3" w:rsidP="003F2CC3">
      <w:pPr>
        <w:pStyle w:val="H1G"/>
        <w:rPr>
          <w:lang w:val="fr-FR"/>
        </w:rPr>
      </w:pPr>
      <w:r>
        <w:rPr>
          <w:lang w:val="fr-FR"/>
        </w:rPr>
        <w:tab/>
      </w:r>
      <w:r w:rsidR="003D31FD" w:rsidRPr="003D31FD">
        <w:rPr>
          <w:lang w:val="fr-FR"/>
        </w:rPr>
        <w:t>A.</w:t>
      </w:r>
      <w:r w:rsidR="003D31FD" w:rsidRPr="003D31FD">
        <w:rPr>
          <w:lang w:val="fr-FR"/>
        </w:rPr>
        <w:tab/>
        <w:t>Règlement ONU n</w:t>
      </w:r>
      <w:r w:rsidR="003D31FD" w:rsidRPr="003D31FD">
        <w:rPr>
          <w:vertAlign w:val="superscript"/>
          <w:lang w:val="fr-FR"/>
        </w:rPr>
        <w:t>o</w:t>
      </w:r>
      <w:r w:rsidR="00320DE2">
        <w:rPr>
          <w:lang w:val="fr-FR"/>
        </w:rPr>
        <w:t xml:space="preserve"> 67 </w:t>
      </w:r>
      <w:r w:rsidR="003D31FD" w:rsidRPr="003D31FD">
        <w:rPr>
          <w:lang w:val="fr-FR"/>
        </w:rPr>
        <w:t>(Véhicules</w:t>
      </w:r>
      <w:r>
        <w:rPr>
          <w:lang w:val="fr-FR"/>
        </w:rPr>
        <w:t xml:space="preserve"> alimentés au GPL</w:t>
      </w:r>
      <w:r w:rsidR="00F77D91">
        <w:rPr>
          <w:lang w:val="fr-FR"/>
        </w:rPr>
        <w:t>)</w:t>
      </w:r>
    </w:p>
    <w:p w:rsidR="003D31FD" w:rsidRPr="003D31FD" w:rsidRDefault="003D31FD" w:rsidP="00B8329D">
      <w:pPr>
        <w:pStyle w:val="SingleTxtG"/>
        <w:ind w:left="2552" w:hanging="1418"/>
        <w:jc w:val="left"/>
        <w:rPr>
          <w:lang w:val="fr-FR"/>
        </w:rPr>
      </w:pPr>
      <w:r w:rsidRPr="003F2CC3">
        <w:rPr>
          <w:i/>
          <w:lang w:val="fr-FR"/>
        </w:rPr>
        <w:t>Document(s)</w:t>
      </w:r>
      <w:r w:rsidRPr="00F77D91">
        <w:rPr>
          <w:lang w:val="fr-FR"/>
        </w:rPr>
        <w:t> :</w:t>
      </w:r>
      <w:r w:rsidRPr="003F2CC3">
        <w:rPr>
          <w:i/>
          <w:lang w:val="fr-FR"/>
        </w:rPr>
        <w:tab/>
      </w:r>
      <w:r w:rsidRPr="003F2CC3">
        <w:rPr>
          <w:lang w:val="fr-FR"/>
        </w:rPr>
        <w:t>ECE</w:t>
      </w:r>
      <w:r w:rsidR="003F2CC3" w:rsidRPr="003F2CC3">
        <w:rPr>
          <w:lang w:val="fr-FR"/>
        </w:rPr>
        <w:t>/TRANS/WP.29/GRSG/2017/16</w:t>
      </w:r>
      <w:r w:rsidR="003F2CC3" w:rsidRPr="003F2CC3">
        <w:rPr>
          <w:lang w:val="fr-FR"/>
        </w:rPr>
        <w:br/>
      </w:r>
      <w:r w:rsidRPr="003F2CC3">
        <w:rPr>
          <w:lang w:val="fr-FR"/>
        </w:rPr>
        <w:t>ECE</w:t>
      </w:r>
      <w:r w:rsidR="003F2CC3" w:rsidRPr="003F2CC3">
        <w:rPr>
          <w:lang w:val="fr-FR"/>
        </w:rPr>
        <w:t>/TRANS/WP.29/GRSG/2017/22</w:t>
      </w:r>
      <w:r w:rsidR="003F2CC3" w:rsidRPr="003F2CC3">
        <w:rPr>
          <w:lang w:val="fr-FR"/>
        </w:rPr>
        <w:br/>
        <w:t>ECE/TRANS/WP.29/GRSG/2018/2</w:t>
      </w:r>
      <w:r w:rsidR="003F2CC3" w:rsidRPr="003F2CC3">
        <w:rPr>
          <w:lang w:val="fr-FR"/>
        </w:rPr>
        <w:br/>
      </w:r>
      <w:r w:rsidR="003F2CC3">
        <w:rPr>
          <w:lang w:val="fr-FR"/>
        </w:rPr>
        <w:t>ECE/TRANS/WP.29/GRSG/2018/8</w:t>
      </w:r>
      <w:r w:rsidR="003F2CC3">
        <w:rPr>
          <w:lang w:val="fr-FR"/>
        </w:rPr>
        <w:br/>
      </w:r>
      <w:r w:rsidRPr="003D31FD">
        <w:rPr>
          <w:lang w:val="fr-FR"/>
        </w:rPr>
        <w:t>Document informel GRSG-114-09-Rev.1.</w:t>
      </w:r>
    </w:p>
    <w:p w:rsidR="003D31FD" w:rsidRPr="003D31FD" w:rsidRDefault="003D31FD" w:rsidP="003D31FD">
      <w:pPr>
        <w:pStyle w:val="SingleTxtG"/>
        <w:rPr>
          <w:lang w:val="fr-FR"/>
        </w:rPr>
      </w:pPr>
      <w:r w:rsidRPr="003D31FD">
        <w:rPr>
          <w:lang w:val="fr-FR"/>
        </w:rPr>
        <w:t>24.</w:t>
      </w:r>
      <w:r w:rsidRPr="003D31FD">
        <w:rPr>
          <w:lang w:val="fr-FR"/>
        </w:rPr>
        <w:tab/>
        <w:t>L’expert de la Pologne a présenté le document ECE/TRANS/WP.29/GRSG/2018/8, qui vise à simplifier et à adapter à l’évolution technique le Règlement ONU n</w:t>
      </w:r>
      <w:r w:rsidRPr="003D31FD">
        <w:rPr>
          <w:vertAlign w:val="superscript"/>
          <w:lang w:val="fr-FR"/>
        </w:rPr>
        <w:t>o</w:t>
      </w:r>
      <w:r w:rsidRPr="003D31FD">
        <w:rPr>
          <w:lang w:val="fr-FR"/>
        </w:rPr>
        <w:t> 67, en particulier la définition d’un type de conteneur et l’annexe 2B. Sur la proposition consistant à supprimer le texte figurant en caractères biffés dans la fiche de communication, plusieurs experts ont dit préférer qu’il demeure aligné sur les autres Règlements ONU et soit conservé sous cette forme. Les experts de l’Italie et de l’AEGPL ont émis des réserves pour examen. Le GRSG a pris note des préoccupations suscitées par la proposition, ainsi que des suggestions formulées concernant la possibilité d’opter pour différentes versions et variantes dans la fiche de communication, le Règlement ne donnant de définition que pour un type de conteneur, et non pour les accessoires. À l’issue du débat, l’expert de l’AEGPL a offert d’élaborer avec d’autres parties prenantes une nouvelle proposition pour examen à la prochaine session du GRSG.</w:t>
      </w:r>
    </w:p>
    <w:p w:rsidR="003D31FD" w:rsidRPr="003D31FD" w:rsidRDefault="003D31FD" w:rsidP="003D31FD">
      <w:pPr>
        <w:pStyle w:val="SingleTxtG"/>
        <w:rPr>
          <w:lang w:val="fr-FR"/>
        </w:rPr>
      </w:pPr>
      <w:r w:rsidRPr="003D31FD">
        <w:rPr>
          <w:lang w:val="fr-FR"/>
        </w:rPr>
        <w:t>25.</w:t>
      </w:r>
      <w:r w:rsidRPr="003D31FD">
        <w:rPr>
          <w:lang w:val="fr-FR"/>
        </w:rPr>
        <w:tab/>
        <w:t>L’expert de l’Allemagne a rappelé l’issue des délibérations de l’équipe spéciale des Règlements concernant les véhicules fonctionnant au gaz (voir le paragraphe 23 ci-dessus) à propos du document ECE/TRANS/WP.29/GRSG/2017/16, et a présenté le document GRSG-114-09, qui contient des propositions d’amendements au Règlement. Le GRSG a constaté que ces propositions étaient bien accueillies dans l’ensemble et qu’elles avaient suscité quelques observations. Il a examiné une proposition révisée (GRSG-114-09-Rev.1) et a adopté le document ECE/</w:t>
      </w:r>
      <w:r w:rsidRPr="00F77D91">
        <w:rPr>
          <w:spacing w:val="-2"/>
          <w:lang w:val="fr-FR"/>
        </w:rPr>
        <w:t>TRANS/WP.29/GRSG/2017/16 tel que reproduit à l’annexe</w:t>
      </w:r>
      <w:r w:rsidRPr="003D31FD">
        <w:rPr>
          <w:lang w:val="fr-FR"/>
        </w:rPr>
        <w:t xml:space="preserve"> V du présent rapport. Le secrétariat a été chargé de soumettre la proposition au WP.29 et à l’AC.1, pour examen à leurs sessions de novembre 2018, en tant que projet de série 02</w:t>
      </w:r>
      <w:r w:rsidR="00F77D91">
        <w:rPr>
          <w:lang w:val="fr-FR"/>
        </w:rPr>
        <w:t xml:space="preserve"> </w:t>
      </w:r>
      <w:r w:rsidRPr="003D31FD">
        <w:rPr>
          <w:lang w:val="fr-FR"/>
        </w:rPr>
        <w:t>d’amendements au Règlement ONU n</w:t>
      </w:r>
      <w:r w:rsidRPr="003D31FD">
        <w:rPr>
          <w:vertAlign w:val="superscript"/>
          <w:lang w:val="fr-FR"/>
        </w:rPr>
        <w:t>o</w:t>
      </w:r>
      <w:r w:rsidRPr="003D31FD">
        <w:rPr>
          <w:lang w:val="fr-FR"/>
        </w:rPr>
        <w:t> 67.</w:t>
      </w:r>
    </w:p>
    <w:p w:rsidR="003D31FD" w:rsidRPr="003D31FD" w:rsidRDefault="003D31FD" w:rsidP="003D31FD">
      <w:pPr>
        <w:pStyle w:val="SingleTxtG"/>
        <w:rPr>
          <w:lang w:val="fr-FR"/>
        </w:rPr>
      </w:pPr>
      <w:r w:rsidRPr="003D31FD">
        <w:rPr>
          <w:lang w:val="fr-FR"/>
        </w:rPr>
        <w:t>26.</w:t>
      </w:r>
      <w:r w:rsidRPr="003D31FD">
        <w:rPr>
          <w:lang w:val="fr-FR"/>
        </w:rPr>
        <w:tab/>
        <w:t>L’expert de l’OICA a présenté le document ECE/TRANS/WP.29/GRSG/2018/2, qui a trait à la modification des prescriptions relatives aux essais de vieillissement prévus à l’annexe 15 du Règlement ONU n</w:t>
      </w:r>
      <w:r w:rsidRPr="003D31FD">
        <w:rPr>
          <w:vertAlign w:val="superscript"/>
          <w:lang w:val="fr-FR"/>
        </w:rPr>
        <w:t>o</w:t>
      </w:r>
      <w:r w:rsidRPr="003D31FD">
        <w:rPr>
          <w:lang w:val="fr-FR"/>
        </w:rPr>
        <w:t xml:space="preserve"> 67 et au résultat du vieillissement des matériaux, tels que les tuyaux en caoutchouc, qui sont en contact avec le GPL. Le GRSG a invité l’équipe spéciale des Règlements concernant les véhicules fonctionnant au GPL à reprendre l’examen de cette question et à lui soumettre une proposition en temps opportun, afin qu’il puisse l’étudier à sa prochaine session. Le document ECE/TRANS/WP.29/GRSG/2018/2 serait maintenu à l’ordre du jour en </w:t>
      </w:r>
      <w:r w:rsidR="003F2CC3">
        <w:rPr>
          <w:lang w:val="fr-FR"/>
        </w:rPr>
        <w:t>tant que document de référence.</w:t>
      </w:r>
    </w:p>
    <w:p w:rsidR="003D31FD" w:rsidRPr="003D31FD" w:rsidRDefault="003D31FD" w:rsidP="003D31FD">
      <w:pPr>
        <w:pStyle w:val="SingleTxtG"/>
        <w:rPr>
          <w:lang w:val="fr-FR"/>
        </w:rPr>
      </w:pPr>
      <w:r w:rsidRPr="003D31FD">
        <w:rPr>
          <w:lang w:val="fr-FR"/>
        </w:rPr>
        <w:lastRenderedPageBreak/>
        <w:t>27.</w:t>
      </w:r>
      <w:r w:rsidRPr="003D31FD">
        <w:rPr>
          <w:lang w:val="fr-FR"/>
        </w:rPr>
        <w:tab/>
        <w:t>Rappelant l’objet du document ECE/TRANS/WP.29/GRSG/2017/22, l’expert de la Turquie a offert d’examiner la proposition et de soumettre en temps opportun un nouveau document officiel pour examen à la prochaine session du GRSG.</w:t>
      </w:r>
    </w:p>
    <w:p w:rsidR="003D31FD" w:rsidRPr="003D31FD" w:rsidRDefault="003F2CC3" w:rsidP="003F2CC3">
      <w:pPr>
        <w:pStyle w:val="H1G"/>
        <w:rPr>
          <w:lang w:val="fr-FR"/>
        </w:rPr>
      </w:pPr>
      <w:r>
        <w:rPr>
          <w:lang w:val="fr-FR"/>
        </w:rPr>
        <w:tab/>
      </w:r>
      <w:r w:rsidR="003D31FD" w:rsidRPr="003D31FD">
        <w:rPr>
          <w:lang w:val="fr-FR"/>
        </w:rPr>
        <w:t>B.</w:t>
      </w:r>
      <w:r w:rsidR="003D31FD" w:rsidRPr="003D31FD">
        <w:rPr>
          <w:lang w:val="fr-FR"/>
        </w:rPr>
        <w:tab/>
        <w:t>Règlement ONU n</w:t>
      </w:r>
      <w:r w:rsidR="003D31FD" w:rsidRPr="003D31FD">
        <w:rPr>
          <w:vertAlign w:val="superscript"/>
          <w:lang w:val="fr-FR"/>
        </w:rPr>
        <w:t>o</w:t>
      </w:r>
      <w:r w:rsidR="003D31FD" w:rsidRPr="003D31FD">
        <w:rPr>
          <w:lang w:val="fr-FR"/>
        </w:rPr>
        <w:t> 110 (Véhicules alimentés au GNC/GNL)</w:t>
      </w:r>
    </w:p>
    <w:p w:rsidR="003D31FD" w:rsidRPr="003D31FD" w:rsidRDefault="003D31FD" w:rsidP="00B8329D">
      <w:pPr>
        <w:pStyle w:val="SingleTxtG"/>
        <w:ind w:left="2552" w:hanging="1418"/>
        <w:jc w:val="left"/>
        <w:rPr>
          <w:lang w:val="fr-FR"/>
        </w:rPr>
      </w:pPr>
      <w:r w:rsidRPr="003F2CC3">
        <w:rPr>
          <w:i/>
          <w:lang w:val="fr-FR"/>
        </w:rPr>
        <w:t>Document(s) </w:t>
      </w:r>
      <w:r w:rsidRPr="00F77D91">
        <w:rPr>
          <w:lang w:val="fr-FR"/>
        </w:rPr>
        <w:t>:</w:t>
      </w:r>
      <w:r w:rsidRPr="003F2CC3">
        <w:rPr>
          <w:i/>
          <w:lang w:val="fr-FR"/>
        </w:rPr>
        <w:tab/>
      </w:r>
      <w:r w:rsidR="003F2CC3" w:rsidRPr="003F2CC3">
        <w:rPr>
          <w:lang w:val="fr-FR"/>
        </w:rPr>
        <w:t>ECE/TRANS/WP.29/GRSG/2017/17</w:t>
      </w:r>
      <w:r w:rsidR="003F2CC3" w:rsidRPr="003F2CC3">
        <w:rPr>
          <w:lang w:val="fr-FR"/>
        </w:rPr>
        <w:br/>
        <w:t>ECE/TRANS/WP.29/GRSG/2017/29</w:t>
      </w:r>
      <w:r w:rsidR="003F2CC3" w:rsidRPr="003F2CC3">
        <w:rPr>
          <w:lang w:val="fr-FR"/>
        </w:rPr>
        <w:br/>
      </w:r>
      <w:r w:rsidRPr="003D31FD">
        <w:rPr>
          <w:lang w:val="fr-FR"/>
        </w:rPr>
        <w:t>ECE/TRANS/WP</w:t>
      </w:r>
      <w:r w:rsidR="003F2CC3">
        <w:rPr>
          <w:lang w:val="fr-FR"/>
        </w:rPr>
        <w:t>.29/GRSG/2018/3</w:t>
      </w:r>
      <w:r w:rsidR="003F2CC3">
        <w:rPr>
          <w:lang w:val="fr-FR"/>
        </w:rPr>
        <w:br/>
        <w:t>Documents informels GRSG-113-24</w:t>
      </w:r>
      <w:r w:rsidR="003F2CC3">
        <w:rPr>
          <w:lang w:val="fr-FR"/>
        </w:rPr>
        <w:br/>
      </w:r>
      <w:r w:rsidRPr="003D31FD">
        <w:rPr>
          <w:lang w:val="fr-FR"/>
        </w:rPr>
        <w:t>GRSG-113-25, G</w:t>
      </w:r>
      <w:r w:rsidR="003F2CC3">
        <w:rPr>
          <w:lang w:val="fr-FR"/>
        </w:rPr>
        <w:t>RSG-113-26, GRSG-114-03, GRSG-</w:t>
      </w:r>
      <w:r w:rsidRPr="003D31FD">
        <w:rPr>
          <w:lang w:val="fr-FR"/>
        </w:rPr>
        <w:t>114-06-Rev.1, GRS</w:t>
      </w:r>
      <w:r w:rsidR="003F2CC3">
        <w:rPr>
          <w:lang w:val="fr-FR"/>
        </w:rPr>
        <w:t xml:space="preserve">G-114-07, GRSG-114-10-Rev.1, </w:t>
      </w:r>
      <w:r w:rsidRPr="003D31FD">
        <w:rPr>
          <w:lang w:val="fr-FR"/>
        </w:rPr>
        <w:t>GRSG-114-14, GR</w:t>
      </w:r>
      <w:r w:rsidR="003F2CC3">
        <w:rPr>
          <w:lang w:val="fr-FR"/>
        </w:rPr>
        <w:t>SG-114-15, GRSG-114-19, GRSG-</w:t>
      </w:r>
      <w:r w:rsidRPr="003D31FD">
        <w:rPr>
          <w:lang w:val="fr-FR"/>
        </w:rPr>
        <w:t>114-26, GRSG-114-27 et GRSG-114-32.</w:t>
      </w:r>
    </w:p>
    <w:p w:rsidR="003D31FD" w:rsidRPr="003D31FD" w:rsidRDefault="003D31FD" w:rsidP="003D31FD">
      <w:pPr>
        <w:pStyle w:val="SingleTxtG"/>
        <w:rPr>
          <w:lang w:val="fr-FR"/>
        </w:rPr>
      </w:pPr>
      <w:r w:rsidRPr="003D31FD">
        <w:rPr>
          <w:lang w:val="fr-FR"/>
        </w:rPr>
        <w:t>28.</w:t>
      </w:r>
      <w:r w:rsidRPr="003D31FD">
        <w:rPr>
          <w:lang w:val="fr-FR"/>
        </w:rPr>
        <w:tab/>
        <w:t>L’expert de l’Allemagne a présenté le document GRSG-114-10, qui contient le résultat des délibérations de l’équipe spéciale des Règlements concernant les véhicules fonctionnant au gaz à propos du document ECE/TRANS/WP.29/GRSG/2017/17, visant à améliorer les prescriptions d’installation et d’inspection des bouteilles de gaz naturel comprimé (GNC) ou des réservoirs de gaz naturel liquéfié (GNL) et de leurs accessoires. L’expert de l’Italie a dit préférer que ces récipients fassent l’objet d’un contrôle plus fiable qui ne nécessite pas le retrait des éléments non structurels (GRSG-114-19). À l’issue du débat, le GRSG a décidé d’ajouter dans le Règlement des prescriptions de conception qui permettraient de procéder aisément à des contrôles techniques périodiques. L’expert des Pays-Bas a demandé que les fabricants des récipients visés fournissent des recommandations plus détaillées concernant les contrôles techniques périodiques et les essais aux fins de requalification périodique, et que ces recommandations soient archivées et mises à disposition pour tous les contrôles.</w:t>
      </w:r>
    </w:p>
    <w:p w:rsidR="003D31FD" w:rsidRPr="003D31FD" w:rsidRDefault="003D31FD" w:rsidP="003D31FD">
      <w:pPr>
        <w:pStyle w:val="SingleTxtG"/>
        <w:rPr>
          <w:lang w:val="fr-FR"/>
        </w:rPr>
      </w:pPr>
      <w:r w:rsidRPr="003D31FD">
        <w:rPr>
          <w:lang w:val="fr-FR"/>
        </w:rPr>
        <w:t>29.</w:t>
      </w:r>
      <w:r w:rsidRPr="003D31FD">
        <w:rPr>
          <w:lang w:val="fr-FR"/>
        </w:rPr>
        <w:tab/>
        <w:t>L’expert de l’OICA a présenté le document GRSG-114-26, qui contient une proposition d’amendements aux spécifications concernant l’inspection des bouteilles de GNC ou des réservoirs de GNL et de leurs accessoires. Le GRSG n’a pas appuyé la proposition.</w:t>
      </w:r>
    </w:p>
    <w:p w:rsidR="003D31FD" w:rsidRPr="003D31FD" w:rsidRDefault="003D31FD" w:rsidP="003D31FD">
      <w:pPr>
        <w:pStyle w:val="SingleTxtG"/>
        <w:rPr>
          <w:lang w:val="fr-FR"/>
        </w:rPr>
      </w:pPr>
      <w:r w:rsidRPr="003D31FD">
        <w:rPr>
          <w:lang w:val="fr-FR"/>
        </w:rPr>
        <w:t>30.</w:t>
      </w:r>
      <w:r w:rsidRPr="003D31FD">
        <w:rPr>
          <w:lang w:val="fr-FR"/>
        </w:rPr>
        <w:tab/>
        <w:t>Enfin, le GRSG a examiné une proposition révisée (GRSG-114-10-Rev.1) et a adopté le document ECE/TRANS/WP.29/GRSG/2017/17 tel que reproduit ci-dessous. Le secrétariat a été chargé de soumettre la proposition au WP.29 et à l’AC.1, pour examen à leurs sessions de novembre 2018, en tant que projet de complément 1 à la série 03 d’amendements au Règlement ONU n</w:t>
      </w:r>
      <w:r w:rsidRPr="003D31FD">
        <w:rPr>
          <w:vertAlign w:val="superscript"/>
          <w:lang w:val="fr-FR"/>
        </w:rPr>
        <w:t>o</w:t>
      </w:r>
      <w:r w:rsidRPr="003D31FD">
        <w:rPr>
          <w:lang w:val="fr-FR"/>
        </w:rPr>
        <w:t xml:space="preserve"> 110. </w:t>
      </w:r>
    </w:p>
    <w:p w:rsidR="003D31FD" w:rsidRPr="003D31FD" w:rsidRDefault="003D31FD" w:rsidP="003D31FD">
      <w:pPr>
        <w:pStyle w:val="SingleTxtG"/>
        <w:rPr>
          <w:lang w:val="fr-FR"/>
        </w:rPr>
      </w:pPr>
      <w:r w:rsidRPr="003D31FD">
        <w:rPr>
          <w:i/>
          <w:lang w:val="fr-FR"/>
        </w:rPr>
        <w:t>Ajouter un nouveau paragraphe 18.1.6.1</w:t>
      </w:r>
      <w:r w:rsidRPr="003D31FD">
        <w:rPr>
          <w:lang w:val="fr-FR"/>
        </w:rPr>
        <w:t>, libellé comme suit :</w:t>
      </w:r>
    </w:p>
    <w:p w:rsidR="003D31FD" w:rsidRPr="003D31FD" w:rsidRDefault="003D31FD" w:rsidP="00F77D91">
      <w:pPr>
        <w:pStyle w:val="SingleTxtG"/>
        <w:ind w:left="2268" w:hanging="1134"/>
        <w:rPr>
          <w:lang w:val="fr-FR"/>
        </w:rPr>
      </w:pPr>
      <w:r w:rsidRPr="003D31FD">
        <w:rPr>
          <w:lang w:val="fr-FR"/>
        </w:rPr>
        <w:t>« 18.1.6.1</w:t>
      </w:r>
      <w:r w:rsidRPr="003D31FD">
        <w:rPr>
          <w:lang w:val="fr-FR"/>
        </w:rPr>
        <w:tab/>
        <w:t>Nonobstant les dispositions du paragraphe 18.1.6, il doit être possible d’exécuter un contrôle externe (par exemple aux fins du contrôle technique périodique) d’une bouteille de GNC ou d’un réservoir de GNL et de ses accessoires, conformément aux spécifications du fabricant, en utilisant non pas des outils pour démonter des éléments quelconques, mais des auxiliaires visuels tels que des lampes, de</w:t>
      </w:r>
      <w:r w:rsidR="00F77D91">
        <w:rPr>
          <w:lang w:val="fr-FR"/>
        </w:rPr>
        <w:t>s miroirs ou des endoscopes. ».</w:t>
      </w:r>
    </w:p>
    <w:p w:rsidR="003D31FD" w:rsidRPr="003D31FD" w:rsidRDefault="003D31FD" w:rsidP="003D31FD">
      <w:pPr>
        <w:pStyle w:val="SingleTxtG"/>
        <w:rPr>
          <w:lang w:val="fr-FR"/>
        </w:rPr>
      </w:pPr>
      <w:r w:rsidRPr="003D31FD">
        <w:rPr>
          <w:lang w:val="fr-FR"/>
        </w:rPr>
        <w:t>31.</w:t>
      </w:r>
      <w:r w:rsidRPr="003D31FD">
        <w:rPr>
          <w:lang w:val="fr-FR"/>
        </w:rPr>
        <w:tab/>
        <w:t>L’expert de l’Italie, se référant au document ECE/TRANS/WP.29/GRSG/2017/29, a proposé de modifier l’annexe 3A du Règlement en ce qui concerne les prescriptions d’essai pour la requalification périodique des bouteilles de GNC, notamment en y introduisant de nouvelles dispositions exigeant que toutes les bouteilles soient soumises à un essai de choc sans capot de protection, le but étant d’éviter les défaillances structurelles pendant la durée de vie en service de ces récipients (GRSG-114-32). Le GRSG a accueilli avec satisfaction les données d’essai fournies par l’Italie concernant les bouteilles de type GNC-4 (GRSG-114-07, GRSG-114-14, GRSG-114-15). Il a pris note des préoccupations et des observations formulées. Enfin, il a décidé de renvoyer la question à l’équipe spéciale et d’en reprendre l’examen à sa prochaine session, sur la base d’un document officiel révisé.</w:t>
      </w:r>
    </w:p>
    <w:p w:rsidR="003D31FD" w:rsidRPr="003D31FD" w:rsidRDefault="003D31FD" w:rsidP="003D31FD">
      <w:pPr>
        <w:pStyle w:val="SingleTxtG"/>
        <w:rPr>
          <w:lang w:val="fr-FR"/>
        </w:rPr>
      </w:pPr>
      <w:r w:rsidRPr="003D31FD">
        <w:rPr>
          <w:lang w:val="fr-FR"/>
        </w:rPr>
        <w:t>32.</w:t>
      </w:r>
      <w:r w:rsidRPr="003D31FD">
        <w:rPr>
          <w:lang w:val="fr-FR"/>
        </w:rPr>
        <w:tab/>
        <w:t>L’expert de NGV Global a présenté le document ECE/TRANS/WP.29/GRSG/</w:t>
      </w:r>
      <w:r w:rsidR="003F2CC3">
        <w:rPr>
          <w:lang w:val="fr-FR"/>
        </w:rPr>
        <w:t xml:space="preserve"> </w:t>
      </w:r>
      <w:r w:rsidRPr="003D31FD">
        <w:rPr>
          <w:lang w:val="fr-FR"/>
        </w:rPr>
        <w:t xml:space="preserve">2018/3, dans lequel il est proposé de corriger le tableau 6.4 relatif aux essais de qualification des types de bouteilles. Le GRSG a adopté la proposition et a chargé le </w:t>
      </w:r>
      <w:r w:rsidRPr="003D31FD">
        <w:rPr>
          <w:lang w:val="fr-FR"/>
        </w:rPr>
        <w:lastRenderedPageBreak/>
        <w:t>secrétariat de la soumettre au WP.29 et à l’AC.1, pour examen à leurs sessions de novembre 2018, en tant que rectificatif 1 à la révision 3 du Règlement ONU n</w:t>
      </w:r>
      <w:r w:rsidRPr="003D31FD">
        <w:rPr>
          <w:vertAlign w:val="superscript"/>
          <w:lang w:val="fr-FR"/>
        </w:rPr>
        <w:t>o</w:t>
      </w:r>
      <w:r w:rsidRPr="003D31FD">
        <w:rPr>
          <w:lang w:val="fr-FR"/>
        </w:rPr>
        <w:t> 110.</w:t>
      </w:r>
    </w:p>
    <w:p w:rsidR="003D31FD" w:rsidRPr="003D31FD" w:rsidRDefault="003D31FD" w:rsidP="003D31FD">
      <w:pPr>
        <w:pStyle w:val="SingleTxtG"/>
        <w:rPr>
          <w:lang w:val="fr-FR"/>
        </w:rPr>
      </w:pPr>
      <w:r w:rsidRPr="003D31FD">
        <w:rPr>
          <w:lang w:val="fr-FR"/>
        </w:rPr>
        <w:t>33.</w:t>
      </w:r>
      <w:r w:rsidRPr="003D31FD">
        <w:rPr>
          <w:lang w:val="fr-FR"/>
        </w:rPr>
        <w:tab/>
        <w:t>L’expert des Pays-Bas a présenté le document GRSG-114-03, qui porte sur les nouvelles prescriptions applicables à certains composants utilisés dans les systèmes GNC/</w:t>
      </w:r>
      <w:r w:rsidR="003F2CC3">
        <w:rPr>
          <w:lang w:val="fr-FR"/>
        </w:rPr>
        <w:t xml:space="preserve"> </w:t>
      </w:r>
      <w:r w:rsidRPr="003D31FD">
        <w:rPr>
          <w:lang w:val="fr-FR"/>
        </w:rPr>
        <w:t>GNL, tels que les « accumulateurs de GNC » et les « compresseurs de GNC ». Le GRSG n’a relevé aucune objection à la proposition et a décidé de l’examiner en détail à sa prochaine session, sur la base d’un document officiel.</w:t>
      </w:r>
    </w:p>
    <w:p w:rsidR="003D31FD" w:rsidRPr="003D31FD" w:rsidRDefault="003D31FD" w:rsidP="003D31FD">
      <w:pPr>
        <w:pStyle w:val="SingleTxtG"/>
        <w:rPr>
          <w:lang w:val="fr-FR"/>
        </w:rPr>
      </w:pPr>
      <w:r w:rsidRPr="003D31FD">
        <w:rPr>
          <w:lang w:val="fr-FR"/>
        </w:rPr>
        <w:t>34.</w:t>
      </w:r>
      <w:r w:rsidRPr="003D31FD">
        <w:rPr>
          <w:lang w:val="fr-FR"/>
        </w:rPr>
        <w:tab/>
        <w:t>L’expert des Pays-Bas a présenté le document GRSG-114-06, qui vise à permettre l’utilisation de générateurs fonctionnant au gaz pour alimenter des accessoires ou d’autres systèmes montés sur les véhicules. L’expert du Royaume-Uni a suggéré de simplifier le texte et de faire uniquement mention d’un moteur secondaire. Le GRSG a constaté que le document GRSG-114-06-Rev.1 recueillait une large adhésion et a chargé le secrétariat de le distribuer sous une cote officielle à sa prochaine session, afin qu’il puisse l’examiner une dernière fois.</w:t>
      </w:r>
    </w:p>
    <w:p w:rsidR="003D31FD" w:rsidRPr="003D31FD" w:rsidRDefault="003D31FD" w:rsidP="003D31FD">
      <w:pPr>
        <w:pStyle w:val="SingleTxtG"/>
        <w:rPr>
          <w:lang w:val="fr-FR"/>
        </w:rPr>
      </w:pPr>
      <w:r w:rsidRPr="003D31FD">
        <w:rPr>
          <w:lang w:val="fr-FR"/>
        </w:rPr>
        <w:t>35.</w:t>
      </w:r>
      <w:r w:rsidRPr="003D31FD">
        <w:rPr>
          <w:lang w:val="fr-FR"/>
        </w:rPr>
        <w:tab/>
        <w:t xml:space="preserve">L’expert de l’OICA a sollicité l’avis du GRSG sur le document GRSG-114-27, qui vise à adapter le texte du Règlement aux modèles actuels de régulateurs de débit de gaz qui sont montés sur les carburateurs et les injecteurs. Le GRSG a approuvé la proposition dans son principe et a décidé de reprendre l’examen de ce point à sa prochaine session, sur la base d’un document officiel. </w:t>
      </w:r>
    </w:p>
    <w:p w:rsidR="003D31FD" w:rsidRPr="003D31FD" w:rsidRDefault="003F2CC3" w:rsidP="003F2CC3">
      <w:pPr>
        <w:pStyle w:val="HChG"/>
        <w:rPr>
          <w:lang w:val="fr-FR"/>
        </w:rPr>
      </w:pPr>
      <w:r>
        <w:rPr>
          <w:lang w:val="fr-FR"/>
        </w:rPr>
        <w:tab/>
      </w:r>
      <w:r w:rsidR="003D31FD" w:rsidRPr="003D31FD">
        <w:rPr>
          <w:lang w:val="fr-FR"/>
        </w:rPr>
        <w:t>VIII.</w:t>
      </w:r>
      <w:r w:rsidR="003D31FD" w:rsidRPr="003D31FD">
        <w:rPr>
          <w:lang w:val="fr-FR"/>
        </w:rPr>
        <w:tab/>
        <w:t>Règlement ONU n</w:t>
      </w:r>
      <w:r w:rsidR="003D31FD" w:rsidRPr="003D31FD">
        <w:rPr>
          <w:vertAlign w:val="superscript"/>
          <w:lang w:val="fr-FR"/>
        </w:rPr>
        <w:t>o</w:t>
      </w:r>
      <w:r w:rsidR="003D31FD" w:rsidRPr="003D31FD">
        <w:rPr>
          <w:lang w:val="fr-FR"/>
        </w:rPr>
        <w:t> 73 (Dispositifs de protection latérale) (point 7 de l’ordre du jour)</w:t>
      </w:r>
    </w:p>
    <w:p w:rsidR="003D31FD" w:rsidRPr="003D31FD" w:rsidRDefault="003D31FD" w:rsidP="00B8329D">
      <w:pPr>
        <w:pStyle w:val="SingleTxtG"/>
        <w:ind w:left="2552" w:hanging="1418"/>
        <w:jc w:val="left"/>
        <w:rPr>
          <w:lang w:val="fr-FR"/>
        </w:rPr>
      </w:pPr>
      <w:r w:rsidRPr="003D31FD">
        <w:rPr>
          <w:i/>
          <w:lang w:val="fr-FR"/>
        </w:rPr>
        <w:t>Document(s) </w:t>
      </w:r>
      <w:r w:rsidRPr="003D31FD">
        <w:rPr>
          <w:lang w:val="fr-FR"/>
        </w:rPr>
        <w:t>:</w:t>
      </w:r>
      <w:r w:rsidRPr="003D31FD">
        <w:rPr>
          <w:lang w:val="fr-FR"/>
        </w:rPr>
        <w:tab/>
        <w:t>ECE/TRANS/WP.29/GRSG/2018/5</w:t>
      </w:r>
      <w:r w:rsidR="003F2CC3">
        <w:rPr>
          <w:lang w:val="fr-FR"/>
        </w:rPr>
        <w:br/>
      </w:r>
      <w:r w:rsidRPr="003D31FD">
        <w:rPr>
          <w:lang w:val="fr-FR"/>
        </w:rPr>
        <w:t>Document informel GRSG-113-11-Rev.1.</w:t>
      </w:r>
    </w:p>
    <w:p w:rsidR="003D31FD" w:rsidRPr="003D31FD" w:rsidRDefault="003D31FD" w:rsidP="003D31FD">
      <w:pPr>
        <w:pStyle w:val="SingleTxtG"/>
        <w:rPr>
          <w:lang w:val="fr-FR"/>
        </w:rPr>
      </w:pPr>
      <w:r w:rsidRPr="003D31FD">
        <w:rPr>
          <w:lang w:val="fr-FR"/>
        </w:rPr>
        <w:t>36.</w:t>
      </w:r>
      <w:r w:rsidRPr="003D31FD">
        <w:rPr>
          <w:lang w:val="fr-FR"/>
        </w:rPr>
        <w:tab/>
        <w:t>Le GRSG a rappelé l’étude sur l’évolution des dispositifs de protection latérale dans le contexte du Règlement ONU n</w:t>
      </w:r>
      <w:r w:rsidRPr="003D31FD">
        <w:rPr>
          <w:vertAlign w:val="superscript"/>
          <w:lang w:val="fr-FR"/>
        </w:rPr>
        <w:t>o</w:t>
      </w:r>
      <w:r w:rsidR="00F77D91">
        <w:rPr>
          <w:lang w:val="fr-FR"/>
        </w:rPr>
        <w:t> </w:t>
      </w:r>
      <w:r w:rsidRPr="003D31FD">
        <w:rPr>
          <w:lang w:val="fr-FR"/>
        </w:rPr>
        <w:t xml:space="preserve">73 qui avait été présentée à sa session précédente (GRSG-113-11-Rev.1). L’expert de la France a suggéré d’améliorer le niveau d’efficacité des dispositifs de protection latérale (DPL) pour que les usagers de la route vulnérables soient mieux protégés (ECE/TRANS/WP.29/GRSG/2018/5). L’expert de la Fédération de Russie s’est inquiété du manque de données statistiques détaillées sur les décès dus à des chocs latéraux, ainsi que des conséquences que les amendements proposés entraîneraient pour les véhicules dans les régions présentant des conditions climatiques et/ou routières particulières. L’expert de l’OICA a déclaré partager les préoccupations de la Fédération de Russie. Il a fait observer que les dimensions géométriques proposées pourraient engendrer de nouveaux problèmes ou risques. Il a conclu en disant qu’il faudrait prévoir des dérogations pour les véhicules spéciaux. </w:t>
      </w:r>
    </w:p>
    <w:p w:rsidR="003D31FD" w:rsidRPr="003D31FD" w:rsidRDefault="003D31FD" w:rsidP="003D31FD">
      <w:pPr>
        <w:pStyle w:val="SingleTxtG"/>
        <w:rPr>
          <w:lang w:val="fr-FR"/>
        </w:rPr>
      </w:pPr>
      <w:r w:rsidRPr="003D31FD">
        <w:rPr>
          <w:lang w:val="fr-FR"/>
        </w:rPr>
        <w:t>37.</w:t>
      </w:r>
      <w:r w:rsidRPr="003D31FD">
        <w:rPr>
          <w:lang w:val="fr-FR"/>
        </w:rPr>
        <w:tab/>
        <w:t>Après avoir examiné en détail le document ECE/TRANS/WP.29/GRSG/2018/5, le GRSG a souscrit à la proposition de la France d’organiser une réunion avant la prochaine session du GRSG, afin d’examiner plus en profondeur et de clarifier les questions en suspens.</w:t>
      </w:r>
    </w:p>
    <w:p w:rsidR="003D31FD" w:rsidRPr="003D31FD" w:rsidRDefault="003D31FD" w:rsidP="003D31FD">
      <w:pPr>
        <w:pStyle w:val="SingleTxtG"/>
        <w:rPr>
          <w:lang w:val="fr-FR"/>
        </w:rPr>
      </w:pPr>
      <w:r w:rsidRPr="003D31FD">
        <w:rPr>
          <w:lang w:val="fr-FR"/>
        </w:rPr>
        <w:t>38.</w:t>
      </w:r>
      <w:r w:rsidRPr="003D31FD">
        <w:rPr>
          <w:lang w:val="fr-FR"/>
        </w:rPr>
        <w:tab/>
        <w:t>Le GRSG a décidé de reprendre l’examen de ce point à sa prochaine session (octobre 2018) et a prié le secrétariat de maintenir les documents ECE/TRANS/WP.29/</w:t>
      </w:r>
      <w:r w:rsidR="003F2CC3">
        <w:rPr>
          <w:lang w:val="fr-FR"/>
        </w:rPr>
        <w:t xml:space="preserve"> </w:t>
      </w:r>
      <w:r w:rsidRPr="003D31FD">
        <w:rPr>
          <w:lang w:val="fr-FR"/>
        </w:rPr>
        <w:t>GRSG/2018/5 et GRSG-113-11-Rev.1 à l’ordre du jour en tant que documents de référence.</w:t>
      </w:r>
    </w:p>
    <w:p w:rsidR="003D31FD" w:rsidRPr="003D31FD" w:rsidRDefault="003F2CC3" w:rsidP="003F2CC3">
      <w:pPr>
        <w:pStyle w:val="HChG"/>
        <w:rPr>
          <w:lang w:val="fr-FR"/>
        </w:rPr>
      </w:pPr>
      <w:r>
        <w:rPr>
          <w:lang w:val="fr-FR"/>
        </w:rPr>
        <w:tab/>
      </w:r>
      <w:r w:rsidR="003D31FD" w:rsidRPr="003D31FD">
        <w:rPr>
          <w:lang w:val="fr-FR"/>
        </w:rPr>
        <w:t>IX.</w:t>
      </w:r>
      <w:r w:rsidR="003D31FD" w:rsidRPr="003D31FD">
        <w:rPr>
          <w:lang w:val="fr-FR"/>
        </w:rPr>
        <w:tab/>
        <w:t>Règlement ONU n</w:t>
      </w:r>
      <w:r w:rsidR="003D31FD" w:rsidRPr="003D31FD">
        <w:rPr>
          <w:vertAlign w:val="superscript"/>
          <w:lang w:val="fr-FR"/>
        </w:rPr>
        <w:t>o</w:t>
      </w:r>
      <w:r w:rsidR="003D31FD" w:rsidRPr="003D31FD">
        <w:rPr>
          <w:lang w:val="fr-FR"/>
        </w:rPr>
        <w:t> 116 (Dispositifs antivol et systèmes d’alarme) (point 8 de l’ordre du jour)</w:t>
      </w:r>
    </w:p>
    <w:p w:rsidR="003D31FD" w:rsidRPr="003D31FD" w:rsidRDefault="003D31FD" w:rsidP="00B8329D">
      <w:pPr>
        <w:pStyle w:val="SingleTxtG"/>
        <w:ind w:left="2552" w:hanging="1418"/>
        <w:jc w:val="left"/>
        <w:rPr>
          <w:lang w:val="fr-FR"/>
        </w:rPr>
      </w:pPr>
      <w:r w:rsidRPr="003F2CC3">
        <w:rPr>
          <w:i/>
        </w:rPr>
        <w:t>Document(s) </w:t>
      </w:r>
      <w:r w:rsidRPr="003F2CC3">
        <w:t>:</w:t>
      </w:r>
      <w:r w:rsidRPr="003F2CC3">
        <w:tab/>
        <w:t>ECE</w:t>
      </w:r>
      <w:r w:rsidR="003F2CC3" w:rsidRPr="003F2CC3">
        <w:t>/TRANS/WP.29/GRSG/2017/23</w:t>
      </w:r>
      <w:r w:rsidR="003F2CC3" w:rsidRPr="003F2CC3">
        <w:br/>
      </w:r>
      <w:r w:rsidRPr="003F2CC3">
        <w:t>ECE/TR</w:t>
      </w:r>
      <w:r w:rsidR="003F2CC3" w:rsidRPr="003F2CC3">
        <w:t>ANS/WP.29/GRSG/2017/24</w:t>
      </w:r>
      <w:r w:rsidR="003F2CC3" w:rsidRPr="003F2CC3">
        <w:br/>
      </w:r>
      <w:r w:rsidRPr="003D31FD">
        <w:rPr>
          <w:lang w:val="fr-FR"/>
        </w:rPr>
        <w:t>ECE/TRA</w:t>
      </w:r>
      <w:r w:rsidR="003F2CC3">
        <w:rPr>
          <w:lang w:val="fr-FR"/>
        </w:rPr>
        <w:t>NS/WP.29/GRSG/2017/25 et Corr.1</w:t>
      </w:r>
      <w:r w:rsidR="003F2CC3">
        <w:rPr>
          <w:lang w:val="fr-FR"/>
        </w:rPr>
        <w:br/>
      </w:r>
      <w:r w:rsidRPr="003D31FD">
        <w:rPr>
          <w:lang w:val="fr-FR"/>
        </w:rPr>
        <w:t>Documents informel</w:t>
      </w:r>
      <w:r w:rsidR="003F2CC3">
        <w:rPr>
          <w:lang w:val="fr-FR"/>
        </w:rPr>
        <w:t xml:space="preserve">s GRSG-114-28, GRSG-114-29 et </w:t>
      </w:r>
      <w:r w:rsidRPr="003D31FD">
        <w:rPr>
          <w:lang w:val="fr-FR"/>
        </w:rPr>
        <w:t>GRSG-114-30.</w:t>
      </w:r>
    </w:p>
    <w:p w:rsidR="003D31FD" w:rsidRPr="003D31FD" w:rsidRDefault="003D31FD" w:rsidP="003D31FD">
      <w:pPr>
        <w:pStyle w:val="SingleTxtG"/>
        <w:rPr>
          <w:lang w:val="fr-FR"/>
        </w:rPr>
      </w:pPr>
      <w:r w:rsidRPr="003D31FD">
        <w:rPr>
          <w:lang w:val="fr-FR"/>
        </w:rPr>
        <w:lastRenderedPageBreak/>
        <w:t>39.</w:t>
      </w:r>
      <w:r w:rsidRPr="003D31FD">
        <w:rPr>
          <w:lang w:val="fr-FR"/>
        </w:rPr>
        <w:tab/>
        <w:t>L’expert de l’OICA, s’exprimant en sa qualité de représentant du GRSG auprès du groupe de travail informel de l’homologation de type internationale de l’ensemble du véhicule (IWVTA), a informé le GRSG de la dissociation du Règlement ONU n</w:t>
      </w:r>
      <w:r w:rsidRPr="003D31FD">
        <w:rPr>
          <w:vertAlign w:val="superscript"/>
          <w:lang w:val="fr-FR"/>
        </w:rPr>
        <w:t>o</w:t>
      </w:r>
      <w:r w:rsidRPr="003D31FD">
        <w:rPr>
          <w:lang w:val="fr-FR"/>
        </w:rPr>
        <w:t> 116. Il a rappelé l’objet : a) du document ECE/TRANS/WP.29/GRSG/2017/23, dans lequel figurent les prescriptions relatives aux dispositifs contre l’utilisation non autorisée en tant qu’amendement au Règlement ONU n</w:t>
      </w:r>
      <w:r w:rsidRPr="003D31FD">
        <w:rPr>
          <w:vertAlign w:val="superscript"/>
          <w:lang w:val="fr-FR"/>
        </w:rPr>
        <w:t>o</w:t>
      </w:r>
      <w:r w:rsidRPr="003D31FD">
        <w:rPr>
          <w:lang w:val="fr-FR"/>
        </w:rPr>
        <w:t> 116 ; b) du document ECE/TRANS/WP.29/GRSG/</w:t>
      </w:r>
      <w:r w:rsidR="00B82A37">
        <w:rPr>
          <w:lang w:val="fr-FR"/>
        </w:rPr>
        <w:t xml:space="preserve"> </w:t>
      </w:r>
      <w:r w:rsidRPr="003D31FD">
        <w:rPr>
          <w:lang w:val="fr-FR"/>
        </w:rPr>
        <w:t>2017/24 en tant que nouveau projet de règlement ONU sur les dispositifs d’immobilisation des véhicules ; et c) du document ECE/TRANS/WP.29/GRSG/2017/25 en tant que nouveau projet de règlement ONU sur les systèmes d’alarme pour véhicules. Après avoir examiné en détail le document GRSG-114-28 (lequel remplace le document ECE/TRANS/WP.29/</w:t>
      </w:r>
      <w:r w:rsidR="00B82A37">
        <w:rPr>
          <w:lang w:val="fr-FR"/>
        </w:rPr>
        <w:t xml:space="preserve"> </w:t>
      </w:r>
      <w:r w:rsidRPr="003D31FD">
        <w:rPr>
          <w:lang w:val="fr-FR"/>
        </w:rPr>
        <w:t>GRSG/2017/24), le GRSG a décidé d’adopter les trois Règlements ONU en même temps. Le secrétariat a été chargé de diffuser le document GRSG-114-28 en tant que version révisée du document officiel, afin qu’il puisse être examiné à la session d’octobre 2018 du GRSG.</w:t>
      </w:r>
    </w:p>
    <w:p w:rsidR="003D31FD" w:rsidRPr="003D31FD" w:rsidRDefault="003D31FD" w:rsidP="003D31FD">
      <w:pPr>
        <w:pStyle w:val="SingleTxtG"/>
        <w:rPr>
          <w:lang w:val="fr-FR"/>
        </w:rPr>
      </w:pPr>
      <w:r w:rsidRPr="003D31FD">
        <w:rPr>
          <w:lang w:val="fr-FR"/>
        </w:rPr>
        <w:t>40.</w:t>
      </w:r>
      <w:r w:rsidRPr="003D31FD">
        <w:rPr>
          <w:lang w:val="fr-FR"/>
        </w:rPr>
        <w:tab/>
        <w:t>L’expert de l’OICA a présenté le document GRSG-114-29, qui vise à préciser les dispositions relatives à l’essai environnemental des cl</w:t>
      </w:r>
      <w:r w:rsidR="00F77D91">
        <w:rPr>
          <w:lang w:val="fr-FR"/>
        </w:rPr>
        <w:t>ef</w:t>
      </w:r>
      <w:r w:rsidRPr="003D31FD">
        <w:rPr>
          <w:lang w:val="fr-FR"/>
        </w:rPr>
        <w:t>s, qui sont des éléments non intégrés aux véhicules. L’expert de la France a souligné la nécessité d’aligner également d’autres dispositions du Règlement. Il a offert d’élaborer, en temps opportun et en collaboration avec l’expert de l’OICA, une proposition révisée pour examen à la prochaine session du GRSG en tant que document officiel.</w:t>
      </w:r>
    </w:p>
    <w:p w:rsidR="003D31FD" w:rsidRPr="003D31FD" w:rsidRDefault="003D31FD" w:rsidP="003D31FD">
      <w:pPr>
        <w:pStyle w:val="SingleTxtG"/>
        <w:rPr>
          <w:lang w:val="fr-FR"/>
        </w:rPr>
      </w:pPr>
      <w:r w:rsidRPr="003D31FD">
        <w:rPr>
          <w:lang w:val="fr-FR"/>
        </w:rPr>
        <w:t>41.</w:t>
      </w:r>
      <w:r w:rsidRPr="003D31FD">
        <w:rPr>
          <w:lang w:val="fr-FR"/>
        </w:rPr>
        <w:tab/>
        <w:t>L’expert de l’OICA a présenté le document GRSG-114-30, qui vise à retirer du Règlement ONU n</w:t>
      </w:r>
      <w:r w:rsidRPr="003D31FD">
        <w:rPr>
          <w:vertAlign w:val="superscript"/>
          <w:lang w:val="fr-FR"/>
        </w:rPr>
        <w:t>o</w:t>
      </w:r>
      <w:r w:rsidRPr="003D31FD">
        <w:rPr>
          <w:lang w:val="fr-FR"/>
        </w:rPr>
        <w:t xml:space="preserve"> 116 les renvois aux normes européennes en matière de fréquence, au motif que les spécifications relatives aux transmissions radio ne sont pas encore harmonisées et continuent d’être réglementées au niveau national ou régional. L’expert du Royaume-Uni a recommandé que le WP.29 examine plus en profondeur les transmissions et interconnexions radio. Le GRSG a constaté que le groupe de travail informel des systèmes de transport intelligents et de la conduite automatisée (ITS/AD) avait entrepris un </w:t>
      </w:r>
      <w:r w:rsidRPr="00B057B0">
        <w:rPr>
          <w:spacing w:val="-2"/>
          <w:lang w:val="fr-FR"/>
        </w:rPr>
        <w:t>examen horizontal de questions telles que l’interconnexion des véhicules, la cybersécurité</w:t>
      </w:r>
      <w:r w:rsidRPr="003D31FD">
        <w:rPr>
          <w:lang w:val="fr-FR"/>
        </w:rPr>
        <w:t xml:space="preserve"> et </w:t>
      </w:r>
      <w:r w:rsidRPr="00B057B0">
        <w:rPr>
          <w:spacing w:val="-2"/>
          <w:lang w:val="fr-FR"/>
        </w:rPr>
        <w:t>la mise à jour des logiciels par radiocommunication. Il a décidé de reprendre l’examen de</w:t>
      </w:r>
      <w:r w:rsidRPr="003D31FD">
        <w:rPr>
          <w:lang w:val="fr-FR"/>
        </w:rPr>
        <w:t xml:space="preserve"> ce point à sa prochaine session et a invité le secrétariat à diffuser le document GRSG-114-30 sous une cote officielle. </w:t>
      </w:r>
    </w:p>
    <w:p w:rsidR="003D31FD" w:rsidRPr="003D31FD" w:rsidRDefault="00B82A37" w:rsidP="00B82A37">
      <w:pPr>
        <w:pStyle w:val="HChG"/>
        <w:rPr>
          <w:lang w:val="fr-FR"/>
        </w:rPr>
      </w:pPr>
      <w:r>
        <w:rPr>
          <w:lang w:val="fr-FR"/>
        </w:rPr>
        <w:tab/>
      </w:r>
      <w:r w:rsidR="003D31FD" w:rsidRPr="003D31FD">
        <w:rPr>
          <w:lang w:val="fr-FR"/>
        </w:rPr>
        <w:t>X.</w:t>
      </w:r>
      <w:r w:rsidR="003D31FD" w:rsidRPr="003D31FD">
        <w:rPr>
          <w:lang w:val="fr-FR"/>
        </w:rPr>
        <w:tab/>
        <w:t>Règlement ONU n</w:t>
      </w:r>
      <w:r w:rsidR="003D31FD" w:rsidRPr="003D31FD">
        <w:rPr>
          <w:vertAlign w:val="superscript"/>
          <w:lang w:val="fr-FR"/>
        </w:rPr>
        <w:t>o</w:t>
      </w:r>
      <w:r w:rsidR="003D31FD" w:rsidRPr="003D31FD">
        <w:rPr>
          <w:lang w:val="fr-FR"/>
        </w:rPr>
        <w:t> 121 (Identification des commandes manuelles, des témoins et des indicateurs) (point 9</w:t>
      </w:r>
      <w:r>
        <w:rPr>
          <w:lang w:val="fr-FR"/>
        </w:rPr>
        <w:br/>
      </w:r>
      <w:r w:rsidR="003D31FD" w:rsidRPr="003D31FD">
        <w:rPr>
          <w:lang w:val="fr-FR"/>
        </w:rPr>
        <w:t>de l’ordre du jour)</w:t>
      </w:r>
    </w:p>
    <w:p w:rsidR="003D31FD" w:rsidRPr="003D31FD" w:rsidRDefault="003D31FD" w:rsidP="00B8329D">
      <w:pPr>
        <w:pStyle w:val="SingleTxtG"/>
        <w:ind w:left="2552" w:hanging="1418"/>
        <w:jc w:val="left"/>
        <w:rPr>
          <w:lang w:val="fr-FR"/>
        </w:rPr>
      </w:pPr>
      <w:r w:rsidRPr="003D31FD">
        <w:rPr>
          <w:i/>
          <w:lang w:val="fr-FR"/>
        </w:rPr>
        <w:t>Document(s) </w:t>
      </w:r>
      <w:r w:rsidR="00B82A37">
        <w:rPr>
          <w:lang w:val="fr-FR"/>
        </w:rPr>
        <w:t>:</w:t>
      </w:r>
      <w:r w:rsidR="00B82A37">
        <w:rPr>
          <w:lang w:val="fr-FR"/>
        </w:rPr>
        <w:tab/>
        <w:t>ECE/TRANS/WP.29/GRSG/2018/6</w:t>
      </w:r>
      <w:r w:rsidR="00B82A37">
        <w:rPr>
          <w:lang w:val="fr-FR"/>
        </w:rPr>
        <w:br/>
      </w:r>
      <w:r w:rsidRPr="003D31FD">
        <w:rPr>
          <w:lang w:val="fr-FR"/>
        </w:rPr>
        <w:t>Document informel GRSG-114-17.</w:t>
      </w:r>
    </w:p>
    <w:p w:rsidR="003D31FD" w:rsidRPr="003D31FD" w:rsidRDefault="003D31FD" w:rsidP="003D31FD">
      <w:pPr>
        <w:pStyle w:val="SingleTxtG"/>
        <w:rPr>
          <w:lang w:val="fr-FR"/>
        </w:rPr>
      </w:pPr>
      <w:r w:rsidRPr="003D31FD">
        <w:rPr>
          <w:lang w:val="fr-FR"/>
        </w:rPr>
        <w:t>42.</w:t>
      </w:r>
      <w:r w:rsidRPr="003D31FD">
        <w:rPr>
          <w:lang w:val="fr-FR"/>
        </w:rPr>
        <w:tab/>
        <w:t>L’expert de la Fédération de Russie a présenté le document GRSG-114-17, qui vise à aligner la version russe du Règlement ONU n</w:t>
      </w:r>
      <w:r w:rsidRPr="003D31FD">
        <w:rPr>
          <w:vertAlign w:val="superscript"/>
          <w:lang w:val="fr-FR"/>
        </w:rPr>
        <w:t>o</w:t>
      </w:r>
      <w:r w:rsidRPr="003D31FD">
        <w:rPr>
          <w:lang w:val="fr-FR"/>
        </w:rPr>
        <w:t> 121 sur la version anglaise. Le GRSG a adopté le texte proposé tel que reproduit ci-dessous et a chargé le secrétariat de le soumettre au WP.29 et à l’AC.1, pour examen à leurs sessions de novembre 2018, en tant que</w:t>
      </w:r>
      <w:r w:rsidR="00B82A37">
        <w:rPr>
          <w:lang w:val="fr-FR"/>
        </w:rPr>
        <w:t xml:space="preserve"> rectificatif 1 à la révision 2 </w:t>
      </w:r>
      <w:r w:rsidRPr="003D31FD">
        <w:rPr>
          <w:lang w:val="fr-FR"/>
        </w:rPr>
        <w:t>du Règlement ONU n</w:t>
      </w:r>
      <w:r w:rsidRPr="003D31FD">
        <w:rPr>
          <w:vertAlign w:val="superscript"/>
          <w:lang w:val="fr-FR"/>
        </w:rPr>
        <w:t>o</w:t>
      </w:r>
      <w:r w:rsidRPr="003D31FD">
        <w:rPr>
          <w:lang w:val="fr-FR"/>
        </w:rPr>
        <w:t> 121.</w:t>
      </w:r>
    </w:p>
    <w:p w:rsidR="003D31FD" w:rsidRPr="003D31FD" w:rsidRDefault="003D31FD" w:rsidP="003D31FD">
      <w:pPr>
        <w:pStyle w:val="SingleTxtG"/>
        <w:rPr>
          <w:lang w:val="fr-FR"/>
        </w:rPr>
      </w:pPr>
      <w:r w:rsidRPr="003D31FD">
        <w:rPr>
          <w:i/>
          <w:lang w:val="fr-FR"/>
        </w:rPr>
        <w:t>Version russe, paragraphe 2.4</w:t>
      </w:r>
      <w:r w:rsidRPr="003D31FD">
        <w:rPr>
          <w:lang w:val="fr-FR"/>
        </w:rPr>
        <w:t>, modifier comme suit :</w:t>
      </w:r>
    </w:p>
    <w:p w:rsidR="003D31FD" w:rsidRPr="003D31FD" w:rsidRDefault="003D31FD" w:rsidP="00B82A37">
      <w:pPr>
        <w:pStyle w:val="SingleTxtG"/>
        <w:ind w:left="2268" w:hanging="1134"/>
        <w:rPr>
          <w:lang w:val="ru-RU"/>
        </w:rPr>
      </w:pPr>
      <w:r w:rsidRPr="003D31FD">
        <w:rPr>
          <w:lang w:val="ru-RU"/>
        </w:rPr>
        <w:t>«</w:t>
      </w:r>
      <w:r w:rsidRPr="003D31FD">
        <w:rPr>
          <w:lang w:val="fr-FR"/>
        </w:rPr>
        <w:t> </w:t>
      </w:r>
      <w:r w:rsidRPr="003D31FD">
        <w:rPr>
          <w:lang w:val="ru-RU"/>
        </w:rPr>
        <w:t>2.4</w:t>
      </w:r>
      <w:r w:rsidRPr="003D31FD">
        <w:rPr>
          <w:lang w:val="ru-RU"/>
        </w:rPr>
        <w:tab/>
        <w:t xml:space="preserve">Общее пространство» означает участок, на котором могут отображаться, но не </w:t>
      </w:r>
      <w:r w:rsidRPr="003D31FD">
        <w:rPr>
          <w:b/>
          <w:lang w:val="ru-RU"/>
        </w:rPr>
        <w:t>одновременно</w:t>
      </w:r>
      <w:r w:rsidRPr="003D31FD">
        <w:rPr>
          <w:lang w:val="ru-RU"/>
        </w:rPr>
        <w:t>, не менее двух информационных функций (например, условных обозначений).</w:t>
      </w:r>
      <w:r w:rsidRPr="003D31FD">
        <w:rPr>
          <w:lang w:val="fr-FR"/>
        </w:rPr>
        <w:t> </w:t>
      </w:r>
      <w:r w:rsidRPr="003D31FD">
        <w:rPr>
          <w:lang w:val="ru-RU"/>
        </w:rPr>
        <w:t>».</w:t>
      </w:r>
    </w:p>
    <w:p w:rsidR="003D31FD" w:rsidRPr="003D31FD" w:rsidRDefault="003D31FD" w:rsidP="003D31FD">
      <w:pPr>
        <w:pStyle w:val="SingleTxtG"/>
        <w:rPr>
          <w:lang w:val="fr-FR"/>
        </w:rPr>
      </w:pPr>
      <w:r w:rsidRPr="003D31FD">
        <w:rPr>
          <w:i/>
          <w:lang w:val="fr-FR"/>
        </w:rPr>
        <w:t>Version russe, paragraphe 5.5.1.4</w:t>
      </w:r>
      <w:r w:rsidRPr="003D31FD">
        <w:rPr>
          <w:lang w:val="fr-FR"/>
        </w:rPr>
        <w:t>, modifier comme suit :</w:t>
      </w:r>
    </w:p>
    <w:p w:rsidR="003D31FD" w:rsidRPr="003D31FD" w:rsidRDefault="003D31FD" w:rsidP="00B82A37">
      <w:pPr>
        <w:pStyle w:val="SingleTxtG"/>
        <w:ind w:left="2268" w:hanging="1134"/>
        <w:rPr>
          <w:lang w:val="ru-RU"/>
        </w:rPr>
      </w:pPr>
      <w:r w:rsidRPr="003D31FD">
        <w:rPr>
          <w:lang w:val="ru-RU"/>
        </w:rPr>
        <w:t>«</w:t>
      </w:r>
      <w:r w:rsidRPr="003D31FD">
        <w:rPr>
          <w:lang w:val="fr-FR"/>
        </w:rPr>
        <w:t> </w:t>
      </w:r>
      <w:r w:rsidRPr="003D31FD">
        <w:rPr>
          <w:lang w:val="ru-RU"/>
        </w:rPr>
        <w:t>5.5.1.4</w:t>
      </w:r>
      <w:r w:rsidRPr="003D31FD">
        <w:rPr>
          <w:lang w:val="ru-RU"/>
        </w:rPr>
        <w:tab/>
        <w:t>если контрольный сигнал, указывающий на неисправность тормозной системы, дальнего света, указателей поворота или ремней безопасности отобража</w:t>
      </w:r>
      <w:r w:rsidRPr="003D31FD">
        <w:rPr>
          <w:b/>
          <w:lang w:val="ru-RU"/>
        </w:rPr>
        <w:t>е</w:t>
      </w:r>
      <w:r w:rsidRPr="003D31FD">
        <w:rPr>
          <w:lang w:val="ru-RU"/>
        </w:rPr>
        <w:t xml:space="preserve">тся в каком-либо общем пространстве, то </w:t>
      </w:r>
      <w:r w:rsidRPr="003D31FD">
        <w:rPr>
          <w:b/>
          <w:lang w:val="ru-RU"/>
        </w:rPr>
        <w:t>он</w:t>
      </w:r>
      <w:r w:rsidRPr="003D31FD">
        <w:rPr>
          <w:lang w:val="ru-RU"/>
        </w:rPr>
        <w:t xml:space="preserve"> </w:t>
      </w:r>
      <w:r w:rsidRPr="003D31FD">
        <w:rPr>
          <w:b/>
          <w:lang w:val="ru-RU"/>
        </w:rPr>
        <w:t>должен замещать любое другое условное обозначение в данном общем пространстве,</w:t>
      </w:r>
      <w:r w:rsidRPr="003D31FD">
        <w:rPr>
          <w:lang w:val="ru-RU"/>
        </w:rPr>
        <w:t xml:space="preserve"> в случае возникновения базового условия для </w:t>
      </w:r>
      <w:r w:rsidRPr="003D31FD">
        <w:rPr>
          <w:b/>
          <w:lang w:val="ru-RU"/>
        </w:rPr>
        <w:t>его</w:t>
      </w:r>
      <w:r w:rsidRPr="003D31FD">
        <w:rPr>
          <w:lang w:val="ru-RU"/>
        </w:rPr>
        <w:t xml:space="preserve"> включения;</w:t>
      </w:r>
      <w:r w:rsidRPr="003D31FD">
        <w:rPr>
          <w:lang w:val="fr-FR"/>
        </w:rPr>
        <w:t> </w:t>
      </w:r>
      <w:r w:rsidRPr="003D31FD">
        <w:rPr>
          <w:lang w:val="ru-RU"/>
        </w:rPr>
        <w:t>».</w:t>
      </w:r>
    </w:p>
    <w:p w:rsidR="003D31FD" w:rsidRPr="003D31FD" w:rsidRDefault="003D31FD" w:rsidP="003D31FD">
      <w:pPr>
        <w:pStyle w:val="SingleTxtG"/>
        <w:rPr>
          <w:lang w:val="fr-FR"/>
        </w:rPr>
      </w:pPr>
      <w:r w:rsidRPr="003D31FD">
        <w:rPr>
          <w:lang w:val="fr-FR"/>
        </w:rPr>
        <w:lastRenderedPageBreak/>
        <w:t>43.</w:t>
      </w:r>
      <w:r w:rsidRPr="003D31FD">
        <w:rPr>
          <w:lang w:val="fr-FR"/>
        </w:rPr>
        <w:tab/>
        <w:t>Rappelant le débat que le GRSG avait tenu à sa session précédente sur le traitement des changements de couleur des commandes manuelles, des témoins et des indicateurs, l’expert de l’OICA a présenté le document ECE/TRANS/WP.29/GRSG/2018/6 comme offrant une solution à long terme. Il a expliqué que la proposition visait à supprimer les renvois à la note de bas de page 18 dans le tableau 1 pour ne conserver que le renvoi à la norme ISO 2575:2004. Le GRSG a pris note des réserves pour examen formulées par les experts de la France et du Royaume-Uni. Il a décidé de reprendre l’examen de ce point à sa prochaine session.</w:t>
      </w:r>
    </w:p>
    <w:p w:rsidR="003D31FD" w:rsidRPr="003D31FD" w:rsidRDefault="00B82A37" w:rsidP="00B82A37">
      <w:pPr>
        <w:pStyle w:val="HChG"/>
        <w:rPr>
          <w:lang w:val="fr-FR"/>
        </w:rPr>
      </w:pPr>
      <w:r>
        <w:rPr>
          <w:lang w:val="fr-FR"/>
        </w:rPr>
        <w:tab/>
      </w:r>
      <w:r w:rsidR="003D31FD" w:rsidRPr="003D31FD">
        <w:rPr>
          <w:lang w:val="fr-FR"/>
        </w:rPr>
        <w:t>XI.</w:t>
      </w:r>
      <w:r w:rsidR="003D31FD" w:rsidRPr="003D31FD">
        <w:rPr>
          <w:lang w:val="fr-FR"/>
        </w:rPr>
        <w:tab/>
        <w:t>Règlement ONU n</w:t>
      </w:r>
      <w:r w:rsidR="003D31FD" w:rsidRPr="003D31FD">
        <w:rPr>
          <w:vertAlign w:val="superscript"/>
          <w:lang w:val="fr-FR"/>
        </w:rPr>
        <w:t>o</w:t>
      </w:r>
      <w:r w:rsidR="003D31FD" w:rsidRPr="003D31FD">
        <w:rPr>
          <w:lang w:val="fr-FR"/>
        </w:rPr>
        <w:t> 122 (Systèmes de chauffage) (point</w:t>
      </w:r>
      <w:r>
        <w:rPr>
          <w:lang w:val="fr-FR"/>
        </w:rPr>
        <w:t xml:space="preserve"> 10</w:t>
      </w:r>
      <w:r>
        <w:rPr>
          <w:lang w:val="fr-FR"/>
        </w:rPr>
        <w:br/>
      </w:r>
      <w:r w:rsidR="003D31FD" w:rsidRPr="003D31FD">
        <w:rPr>
          <w:lang w:val="fr-FR"/>
        </w:rPr>
        <w:t>de l’ordre du jour)</w:t>
      </w:r>
    </w:p>
    <w:p w:rsidR="003D31FD" w:rsidRPr="003D31FD" w:rsidRDefault="003D31FD" w:rsidP="003D31FD">
      <w:pPr>
        <w:pStyle w:val="SingleTxtG"/>
        <w:rPr>
          <w:lang w:val="fr-FR"/>
        </w:rPr>
      </w:pPr>
      <w:r w:rsidRPr="003D31FD">
        <w:rPr>
          <w:lang w:val="fr-FR"/>
        </w:rPr>
        <w:t>44.</w:t>
      </w:r>
      <w:r w:rsidRPr="003D31FD">
        <w:rPr>
          <w:lang w:val="fr-FR"/>
        </w:rPr>
        <w:tab/>
        <w:t>Le GRSG a noté qu’il n’y avait pas d’informations nouvelles sur ce point et a décidé de le retirer de l’ordre du jour de sa prochaine session.</w:t>
      </w:r>
    </w:p>
    <w:p w:rsidR="003D31FD" w:rsidRPr="003D31FD" w:rsidRDefault="00B82A37" w:rsidP="00B82A37">
      <w:pPr>
        <w:pStyle w:val="HChG"/>
        <w:rPr>
          <w:lang w:val="fr-FR"/>
        </w:rPr>
      </w:pPr>
      <w:r>
        <w:rPr>
          <w:lang w:val="fr-FR"/>
        </w:rPr>
        <w:tab/>
      </w:r>
      <w:r w:rsidR="003D31FD" w:rsidRPr="003D31FD">
        <w:rPr>
          <w:lang w:val="fr-FR"/>
        </w:rPr>
        <w:t>XII.</w:t>
      </w:r>
      <w:r w:rsidR="003D31FD" w:rsidRPr="003D31FD">
        <w:rPr>
          <w:lang w:val="fr-FR"/>
        </w:rPr>
        <w:tab/>
        <w:t>Systèmes automatiq</w:t>
      </w:r>
      <w:r>
        <w:rPr>
          <w:lang w:val="fr-FR"/>
        </w:rPr>
        <w:t>ues d’appel d’urgence (point 11</w:t>
      </w:r>
      <w:r>
        <w:rPr>
          <w:lang w:val="fr-FR"/>
        </w:rPr>
        <w:br/>
      </w:r>
      <w:r w:rsidR="003D31FD" w:rsidRPr="003D31FD">
        <w:rPr>
          <w:lang w:val="fr-FR"/>
        </w:rPr>
        <w:t>de l’ordre du jour)</w:t>
      </w:r>
    </w:p>
    <w:p w:rsidR="003D31FD" w:rsidRPr="003D31FD" w:rsidRDefault="003D31FD" w:rsidP="00B8329D">
      <w:pPr>
        <w:pStyle w:val="SingleTxtG"/>
        <w:ind w:left="2552" w:hanging="1418"/>
        <w:jc w:val="left"/>
        <w:rPr>
          <w:lang w:val="fr-FR"/>
        </w:rPr>
      </w:pPr>
      <w:r w:rsidRPr="003D31FD">
        <w:rPr>
          <w:i/>
          <w:lang w:val="fr-FR"/>
        </w:rPr>
        <w:t>Document(s) </w:t>
      </w:r>
      <w:r w:rsidRPr="003D31FD">
        <w:rPr>
          <w:lang w:val="fr-FR"/>
        </w:rPr>
        <w:t>:</w:t>
      </w:r>
      <w:r w:rsidRPr="003D31FD">
        <w:rPr>
          <w:lang w:val="fr-FR"/>
        </w:rPr>
        <w:tab/>
        <w:t>Documents informels GRSG-114-34 et GRSG-114-35.</w:t>
      </w:r>
    </w:p>
    <w:p w:rsidR="003D31FD" w:rsidRPr="003D31FD" w:rsidRDefault="003D31FD" w:rsidP="003D31FD">
      <w:pPr>
        <w:pStyle w:val="SingleTxtG"/>
        <w:rPr>
          <w:lang w:val="fr-FR"/>
        </w:rPr>
      </w:pPr>
      <w:r w:rsidRPr="003D31FD">
        <w:rPr>
          <w:lang w:val="fr-FR"/>
        </w:rPr>
        <w:t>45.</w:t>
      </w:r>
      <w:r w:rsidRPr="003D31FD">
        <w:rPr>
          <w:lang w:val="fr-FR"/>
        </w:rPr>
        <w:tab/>
        <w:t>Le GRSG a noté que le WP.29 et l’AC.1 avaient adopté, en novembre 2017, le nouveau Règlement ONU n</w:t>
      </w:r>
      <w:r w:rsidRPr="003D31FD">
        <w:rPr>
          <w:vertAlign w:val="superscript"/>
          <w:lang w:val="fr-FR"/>
        </w:rPr>
        <w:t>o</w:t>
      </w:r>
      <w:r w:rsidRPr="003D31FD">
        <w:rPr>
          <w:lang w:val="fr-FR"/>
        </w:rPr>
        <w:t xml:space="preserve"> 144 sur les systèmes automatiques d’appel d’urgence (AECS) et que ce </w:t>
      </w:r>
      <w:r w:rsidR="00B057B0">
        <w:rPr>
          <w:lang w:val="fr-FR"/>
        </w:rPr>
        <w:t>R</w:t>
      </w:r>
      <w:r w:rsidRPr="003D31FD">
        <w:rPr>
          <w:lang w:val="fr-FR"/>
        </w:rPr>
        <w:t>èglement devait entrer en vigueur le 19 juillet 2018.</w:t>
      </w:r>
    </w:p>
    <w:p w:rsidR="003D31FD" w:rsidRPr="003D31FD" w:rsidRDefault="003D31FD" w:rsidP="003D31FD">
      <w:pPr>
        <w:pStyle w:val="SingleTxtG"/>
        <w:rPr>
          <w:lang w:val="fr-FR"/>
        </w:rPr>
      </w:pPr>
      <w:r w:rsidRPr="003D31FD">
        <w:rPr>
          <w:lang w:val="fr-FR"/>
        </w:rPr>
        <w:t>46.</w:t>
      </w:r>
      <w:r w:rsidRPr="003D31FD">
        <w:rPr>
          <w:lang w:val="fr-FR"/>
        </w:rPr>
        <w:tab/>
        <w:t>L’expert de l’OICA a présenté le document GRSG-114-35, qui vise à préciser le champ d’application du Règlement pour le rendre tel que le veut le groupe de travail informel des AECS. Il a suggéré d’ajouter des alinéas f) et g) au paragraphe 1.2 afin d’aligner le champ d’application du Règlement sur les dispositions des Règlements ONU n</w:t>
      </w:r>
      <w:r w:rsidRPr="003D31FD">
        <w:rPr>
          <w:vertAlign w:val="superscript"/>
          <w:lang w:val="fr-FR"/>
        </w:rPr>
        <w:t>os</w:t>
      </w:r>
      <w:r w:rsidRPr="003D31FD">
        <w:rPr>
          <w:lang w:val="fr-FR"/>
        </w:rPr>
        <w:t> 94 (Choc avant) et 95 (Choc latéral). Il a fait valoir que cet ajout était nécessaire pour les véhicules visés par ces règlements sur la sécurité passive, mais qui n’étaient pas munis de coussins gonflables. Le GRSG a pris note des réserves pour examen et des observations selon lesquelles le champ d’application du Règlement était déjà défini en ce sens. L’expert de l’OICA a offert de soumettre en temps opportun une proposition révisée, tenant compte des observations formulées et des délibérations du groupe de travail informel, pour examen à la prochaine session du GRSG.</w:t>
      </w:r>
    </w:p>
    <w:p w:rsidR="003D31FD" w:rsidRPr="003D31FD" w:rsidRDefault="003D31FD" w:rsidP="003D31FD">
      <w:pPr>
        <w:pStyle w:val="SingleTxtG"/>
        <w:rPr>
          <w:lang w:val="fr-FR"/>
        </w:rPr>
      </w:pPr>
      <w:r w:rsidRPr="003D31FD">
        <w:rPr>
          <w:lang w:val="fr-FR"/>
        </w:rPr>
        <w:t>47.</w:t>
      </w:r>
      <w:r w:rsidRPr="003D31FD">
        <w:rPr>
          <w:lang w:val="fr-FR"/>
        </w:rPr>
        <w:tab/>
        <w:t>L’expert de l’IRU a présenté un exposé (GRSG-114-34) sur les modifications qui pourraient être apportées au nouveau Règlement ONU n</w:t>
      </w:r>
      <w:r w:rsidRPr="003D31FD">
        <w:rPr>
          <w:vertAlign w:val="superscript"/>
          <w:lang w:val="fr-FR"/>
        </w:rPr>
        <w:t>o</w:t>
      </w:r>
      <w:r w:rsidRPr="003D31FD">
        <w:rPr>
          <w:lang w:val="fr-FR"/>
        </w:rPr>
        <w:t> 144. Il a suggéré d’en étendre le champ d’application aux poids lourds, autobus et autocars. Il a également proposé que des renseignements complémentaires tels que la composition du chargement ou le nombre de voyageurs soient communiqués en cas d’accident aux services d’urgence, ce qui aiderait leurs opérateurs à déterminer quelles mesures prendre. Le GRSG a accueilli avec satisfaction l’exposé et a pris note des réserves formulées au motif d’un manque d’informations sur les avantages de la proposition. L’expert de la Fédération de Russie a informé le GRSG que la question des systèmes d’appel d’urgence des poids lourds, autobus et autocars était déjà couverte par la réglementation de l’Union douanière. L’expert de la Finlande a rappelé au GRSG le rapport d’évaluation sur les « systèmes eCall » visés par le Règlement n</w:t>
      </w:r>
      <w:r w:rsidRPr="003D31FD">
        <w:rPr>
          <w:vertAlign w:val="superscript"/>
          <w:lang w:val="fr-FR"/>
        </w:rPr>
        <w:t>o</w:t>
      </w:r>
      <w:r w:rsidR="00B82A37">
        <w:rPr>
          <w:lang w:val="fr-FR"/>
        </w:rPr>
        <w:t> </w:t>
      </w:r>
      <w:r w:rsidRPr="003D31FD">
        <w:rPr>
          <w:lang w:val="fr-FR"/>
        </w:rPr>
        <w:t>2015/758 de l’Union européenne, qui devait être rendu public par la Commission européenne le 31 mars 2021 au plus tard.</w:t>
      </w:r>
    </w:p>
    <w:p w:rsidR="003D31FD" w:rsidRPr="003D31FD" w:rsidRDefault="003D31FD" w:rsidP="003D31FD">
      <w:pPr>
        <w:pStyle w:val="SingleTxtG"/>
        <w:rPr>
          <w:lang w:val="fr-FR"/>
        </w:rPr>
      </w:pPr>
      <w:r w:rsidRPr="003D31FD">
        <w:rPr>
          <w:lang w:val="fr-FR"/>
        </w:rPr>
        <w:t>48.</w:t>
      </w:r>
      <w:r w:rsidRPr="003D31FD">
        <w:rPr>
          <w:lang w:val="fr-FR"/>
        </w:rPr>
        <w:tab/>
        <w:t>Le GRSG a jugé prématuré de poursuivre les travaux de modifications du Règlement avant son entrée en vigueur et en l’absence de propositions concrètes. Il a décidé de reprendre l’examen de ce point à sa prochaine session.</w:t>
      </w:r>
    </w:p>
    <w:p w:rsidR="003D31FD" w:rsidRPr="003D31FD" w:rsidRDefault="00B82A37" w:rsidP="00B82A37">
      <w:pPr>
        <w:pStyle w:val="HChG"/>
        <w:rPr>
          <w:lang w:val="fr-FR"/>
        </w:rPr>
      </w:pPr>
      <w:r>
        <w:rPr>
          <w:lang w:val="fr-FR"/>
        </w:rPr>
        <w:tab/>
      </w:r>
      <w:r w:rsidR="003D31FD" w:rsidRPr="003D31FD">
        <w:rPr>
          <w:lang w:val="fr-FR"/>
        </w:rPr>
        <w:t>XIII.</w:t>
      </w:r>
      <w:r w:rsidR="003D31FD" w:rsidRPr="003D31FD">
        <w:rPr>
          <w:lang w:val="fr-FR"/>
        </w:rPr>
        <w:tab/>
        <w:t xml:space="preserve">Homologation de type internationale de l’ensemble </w:t>
      </w:r>
      <w:r>
        <w:rPr>
          <w:lang w:val="fr-FR"/>
        </w:rPr>
        <w:br/>
      </w:r>
      <w:r w:rsidR="003D31FD" w:rsidRPr="003D31FD">
        <w:rPr>
          <w:lang w:val="fr-FR"/>
        </w:rPr>
        <w:t>du véhicule (IWVTA) (point 12 de l’ordre du jour)</w:t>
      </w:r>
    </w:p>
    <w:p w:rsidR="003D31FD" w:rsidRPr="003D31FD" w:rsidRDefault="003D31FD" w:rsidP="00B8329D">
      <w:pPr>
        <w:pStyle w:val="SingleTxtG"/>
        <w:ind w:left="2552" w:hanging="1418"/>
        <w:jc w:val="left"/>
        <w:rPr>
          <w:lang w:val="fr-FR"/>
        </w:rPr>
      </w:pPr>
      <w:r w:rsidRPr="003D31FD">
        <w:rPr>
          <w:i/>
          <w:lang w:val="fr-FR"/>
        </w:rPr>
        <w:t>Document(s) </w:t>
      </w:r>
      <w:r w:rsidRPr="003D31FD">
        <w:rPr>
          <w:lang w:val="fr-FR"/>
        </w:rPr>
        <w:t>:</w:t>
      </w:r>
      <w:r w:rsidR="00B82A37">
        <w:rPr>
          <w:lang w:val="fr-FR"/>
        </w:rPr>
        <w:tab/>
        <w:t>Document informel GRSG-114-33.</w:t>
      </w:r>
    </w:p>
    <w:p w:rsidR="003D31FD" w:rsidRPr="003D31FD" w:rsidRDefault="003D31FD" w:rsidP="003D31FD">
      <w:pPr>
        <w:pStyle w:val="SingleTxtG"/>
        <w:rPr>
          <w:lang w:val="fr-FR"/>
        </w:rPr>
      </w:pPr>
      <w:r w:rsidRPr="003D31FD">
        <w:rPr>
          <w:lang w:val="fr-FR"/>
        </w:rPr>
        <w:lastRenderedPageBreak/>
        <w:t>49.</w:t>
      </w:r>
      <w:r w:rsidRPr="003D31FD">
        <w:rPr>
          <w:lang w:val="fr-FR"/>
        </w:rPr>
        <w:tab/>
        <w:t>Le GRSG a pris note de l’adoption par le WP.29 et l’AC.1 du Règlement ONU n</w:t>
      </w:r>
      <w:r w:rsidRPr="003D31FD">
        <w:rPr>
          <w:vertAlign w:val="superscript"/>
          <w:lang w:val="fr-FR"/>
        </w:rPr>
        <w:t>o</w:t>
      </w:r>
      <w:r w:rsidRPr="003D31FD">
        <w:rPr>
          <w:lang w:val="fr-FR"/>
        </w:rPr>
        <w:t xml:space="preserve"> 0 sur l’IWVTA (ECE/TRANS/WP.29/2017/108), ainsi que de sa date d’entrée en vigueur présumée (le 19 juillet 2018). Il a également constaté que le WP.29 avait adopté : i) le document contenant des explications relatives à ce </w:t>
      </w:r>
      <w:r w:rsidR="002D00C3">
        <w:rPr>
          <w:lang w:val="fr-FR"/>
        </w:rPr>
        <w:t>R</w:t>
      </w:r>
      <w:r w:rsidRPr="003D31FD">
        <w:rPr>
          <w:lang w:val="fr-FR"/>
        </w:rPr>
        <w:t>èglement (ECE/TRANS/WP.29/2017/</w:t>
      </w:r>
      <w:r w:rsidR="00B82A37">
        <w:rPr>
          <w:lang w:val="fr-FR"/>
        </w:rPr>
        <w:t xml:space="preserve"> </w:t>
      </w:r>
      <w:r w:rsidRPr="003D31FD">
        <w:rPr>
          <w:lang w:val="fr-FR"/>
        </w:rPr>
        <w:t>109) ; ii) les directives générales concernant l’élaboration des Règlements de l’ONU et les dispositions transitoires qu’ils contiennent (ECE/TRANS/WP.29/2017/107, Add.1 et Corr.1 tels que modifiés par le paragraphe 53 du document ECE/TRANS/WP.29/1135) ; et iii) le document contenant des questions et des réponses sur la Révision 3 de l’Accord de 1958 (ECE/TRANS/WP.29/2017/131).</w:t>
      </w:r>
    </w:p>
    <w:p w:rsidR="003D31FD" w:rsidRPr="003D31FD" w:rsidRDefault="003D31FD" w:rsidP="003D31FD">
      <w:pPr>
        <w:pStyle w:val="SingleTxtG"/>
        <w:rPr>
          <w:lang w:val="fr-FR"/>
        </w:rPr>
      </w:pPr>
      <w:r w:rsidRPr="003D31FD">
        <w:rPr>
          <w:lang w:val="fr-FR"/>
        </w:rPr>
        <w:t>50.</w:t>
      </w:r>
      <w:r w:rsidRPr="003D31FD">
        <w:rPr>
          <w:lang w:val="fr-FR"/>
        </w:rPr>
        <w:tab/>
        <w:t xml:space="preserve">L’expert de la Pologne a présenté le document GRSG-114-33, qui met en évidence le caractère incohérent des nouvelles dispositions relatives à la numérotation des homologations de type de l’ONU conformément à l’annexe 4, ainsi que du texte actuel de la fiche de communication annexée aux Règlements de l’ONU, qui comporte toujours une rubrique « No d’extension ». Le GRSG a estimé qu’il s’agissait là d’une question horizontale qui concernait l’ensemble des Règlements de l’ONU annexés à l’Accord de 1958, et a recommandé de la renvoyer au groupe de travail informel de l’IWVTA pour examen à sa réunion de juin 2018. L’expert de la Pologne a offert de participer à cette dernière et d’y présenter la question. </w:t>
      </w:r>
    </w:p>
    <w:p w:rsidR="003D31FD" w:rsidRPr="003D31FD" w:rsidRDefault="00B82A37" w:rsidP="00B82A37">
      <w:pPr>
        <w:pStyle w:val="HChG"/>
        <w:rPr>
          <w:lang w:val="fr-FR"/>
        </w:rPr>
      </w:pPr>
      <w:r>
        <w:rPr>
          <w:lang w:val="fr-FR"/>
        </w:rPr>
        <w:tab/>
      </w:r>
      <w:r w:rsidR="003D31FD" w:rsidRPr="003D31FD">
        <w:rPr>
          <w:lang w:val="fr-FR"/>
        </w:rPr>
        <w:t>XIV.</w:t>
      </w:r>
      <w:r w:rsidR="003D31FD" w:rsidRPr="003D31FD">
        <w:rPr>
          <w:lang w:val="fr-FR"/>
        </w:rPr>
        <w:tab/>
        <w:t>Questions diverses (point 13 de l’ordre du jour)</w:t>
      </w:r>
    </w:p>
    <w:p w:rsidR="003D31FD" w:rsidRPr="003D31FD" w:rsidRDefault="00B82A37" w:rsidP="00B82A37">
      <w:pPr>
        <w:pStyle w:val="H1G"/>
        <w:rPr>
          <w:lang w:val="fr-FR"/>
        </w:rPr>
      </w:pPr>
      <w:r>
        <w:rPr>
          <w:lang w:val="fr-FR"/>
        </w:rPr>
        <w:tab/>
      </w:r>
      <w:r w:rsidR="003D31FD" w:rsidRPr="003D31FD">
        <w:rPr>
          <w:lang w:val="fr-FR"/>
        </w:rPr>
        <w:t>A.</w:t>
      </w:r>
      <w:r w:rsidR="003D31FD" w:rsidRPr="003D31FD">
        <w:rPr>
          <w:lang w:val="fr-FR"/>
        </w:rPr>
        <w:tab/>
        <w:t>Règlement ONU n</w:t>
      </w:r>
      <w:r w:rsidR="003D31FD" w:rsidRPr="003D31FD">
        <w:rPr>
          <w:vertAlign w:val="superscript"/>
          <w:lang w:val="fr-FR"/>
        </w:rPr>
        <w:t>o</w:t>
      </w:r>
      <w:r w:rsidR="003D31FD" w:rsidRPr="003D31FD">
        <w:rPr>
          <w:lang w:val="fr-FR"/>
        </w:rPr>
        <w:t xml:space="preserve"> 62 (Dispositifs antivol des cyclomoteurs </w:t>
      </w:r>
      <w:r>
        <w:rPr>
          <w:lang w:val="fr-FR"/>
        </w:rPr>
        <w:br/>
      </w:r>
      <w:r w:rsidR="003D31FD" w:rsidRPr="003D31FD">
        <w:rPr>
          <w:lang w:val="fr-FR"/>
        </w:rPr>
        <w:t>et motocycles)</w:t>
      </w:r>
    </w:p>
    <w:p w:rsidR="003D31FD" w:rsidRPr="003D31FD" w:rsidRDefault="003D31FD" w:rsidP="00B8329D">
      <w:pPr>
        <w:pStyle w:val="SingleTxtG"/>
        <w:ind w:left="2552" w:hanging="1418"/>
        <w:jc w:val="left"/>
        <w:rPr>
          <w:lang w:val="fr-FR"/>
        </w:rPr>
      </w:pPr>
      <w:r w:rsidRPr="003D31FD">
        <w:rPr>
          <w:i/>
          <w:lang w:val="fr-FR"/>
        </w:rPr>
        <w:t>Document(s) </w:t>
      </w:r>
      <w:r w:rsidRPr="003D31FD">
        <w:rPr>
          <w:lang w:val="fr-FR"/>
        </w:rPr>
        <w:t>:</w:t>
      </w:r>
      <w:r w:rsidRPr="003D31FD">
        <w:rPr>
          <w:lang w:val="fr-FR"/>
        </w:rPr>
        <w:tab/>
        <w:t>Document informel GRSG-114-02.</w:t>
      </w:r>
    </w:p>
    <w:p w:rsidR="003D31FD" w:rsidRPr="003D31FD" w:rsidRDefault="003D31FD" w:rsidP="003D31FD">
      <w:pPr>
        <w:pStyle w:val="SingleTxtG"/>
        <w:rPr>
          <w:lang w:val="fr-FR"/>
        </w:rPr>
      </w:pPr>
      <w:r w:rsidRPr="003D31FD">
        <w:rPr>
          <w:lang w:val="fr-FR"/>
        </w:rPr>
        <w:t>51.</w:t>
      </w:r>
      <w:r w:rsidRPr="003D31FD">
        <w:rPr>
          <w:lang w:val="fr-FR"/>
        </w:rPr>
        <w:tab/>
        <w:t>L’expert de l’Allemagne a présenté le document GRSG-114-02, qui vise à introduire dans le Règlement ONU n</w:t>
      </w:r>
      <w:r w:rsidRPr="003D31FD">
        <w:rPr>
          <w:vertAlign w:val="superscript"/>
          <w:lang w:val="fr-FR"/>
        </w:rPr>
        <w:t>o</w:t>
      </w:r>
      <w:r w:rsidRPr="003D31FD">
        <w:rPr>
          <w:lang w:val="fr-FR"/>
        </w:rPr>
        <w:t> 62 de nouvelles dispositions concernant les dispositifs électromécaniques et électroniques de protection contre une utilisation non autorisée. Il a fait remarquer que le Règlement ONU n</w:t>
      </w:r>
      <w:r w:rsidRPr="003D31FD">
        <w:rPr>
          <w:vertAlign w:val="superscript"/>
          <w:lang w:val="fr-FR"/>
        </w:rPr>
        <w:t>o</w:t>
      </w:r>
      <w:r w:rsidR="00B82A37">
        <w:rPr>
          <w:lang w:val="fr-FR"/>
        </w:rPr>
        <w:t> </w:t>
      </w:r>
      <w:r w:rsidRPr="003D31FD">
        <w:rPr>
          <w:lang w:val="fr-FR"/>
        </w:rPr>
        <w:t>116 pourrait aussi prévoir l’homologation de type de ces systèmes de verrouillage intelligents. Le GRSG a noté un soutien général pour la proposition et a décidé de reprendre l’examen de ce point à sa prochaine session (octobre 2018), sur la base d’un document officiel.</w:t>
      </w:r>
    </w:p>
    <w:p w:rsidR="003D31FD" w:rsidRPr="003D31FD" w:rsidRDefault="00B82A37" w:rsidP="00B82A37">
      <w:pPr>
        <w:pStyle w:val="H1G"/>
        <w:rPr>
          <w:lang w:val="fr-FR"/>
        </w:rPr>
      </w:pPr>
      <w:r>
        <w:rPr>
          <w:lang w:val="fr-FR"/>
        </w:rPr>
        <w:tab/>
      </w:r>
      <w:r w:rsidR="003D31FD" w:rsidRPr="003D31FD">
        <w:rPr>
          <w:lang w:val="fr-FR"/>
        </w:rPr>
        <w:t>B.</w:t>
      </w:r>
      <w:r w:rsidR="003D31FD" w:rsidRPr="003D31FD">
        <w:rPr>
          <w:lang w:val="fr-FR"/>
        </w:rPr>
        <w:tab/>
        <w:t>Autres questions</w:t>
      </w:r>
    </w:p>
    <w:p w:rsidR="003D31FD" w:rsidRPr="003D31FD" w:rsidRDefault="003D31FD" w:rsidP="00B8329D">
      <w:pPr>
        <w:pStyle w:val="SingleTxtG"/>
        <w:ind w:left="2552" w:hanging="1418"/>
        <w:jc w:val="left"/>
        <w:rPr>
          <w:lang w:val="fr-FR"/>
        </w:rPr>
      </w:pPr>
      <w:r w:rsidRPr="003D31FD">
        <w:rPr>
          <w:i/>
          <w:lang w:val="fr-FR"/>
        </w:rPr>
        <w:t>Document(s) </w:t>
      </w:r>
      <w:r w:rsidRPr="003D31FD">
        <w:rPr>
          <w:lang w:val="fr-FR"/>
        </w:rPr>
        <w:t>:</w:t>
      </w:r>
      <w:r w:rsidRPr="003D31FD">
        <w:rPr>
          <w:lang w:val="fr-FR"/>
        </w:rPr>
        <w:tab/>
        <w:t>Documents informels GRSG-114-18 et GRSG-114-31.</w:t>
      </w:r>
    </w:p>
    <w:p w:rsidR="003D31FD" w:rsidRPr="003D31FD" w:rsidRDefault="003D31FD" w:rsidP="003D31FD">
      <w:pPr>
        <w:pStyle w:val="SingleTxtG"/>
        <w:rPr>
          <w:lang w:val="fr-FR"/>
        </w:rPr>
      </w:pPr>
      <w:r w:rsidRPr="003D31FD">
        <w:rPr>
          <w:lang w:val="fr-FR"/>
        </w:rPr>
        <w:t>52.</w:t>
      </w:r>
      <w:r w:rsidRPr="003D31FD">
        <w:rPr>
          <w:lang w:val="fr-FR"/>
        </w:rPr>
        <w:tab/>
        <w:t>L’expert de la Fédération de Russie a présenté le document GRSG-114-18, dans lequel il est proposé d’aligner la version russe du Règlement ONU n</w:t>
      </w:r>
      <w:r w:rsidRPr="003D31FD">
        <w:rPr>
          <w:vertAlign w:val="superscript"/>
          <w:lang w:val="fr-FR"/>
        </w:rPr>
        <w:t>o</w:t>
      </w:r>
      <w:r w:rsidR="00B82A37">
        <w:rPr>
          <w:lang w:val="fr-FR"/>
        </w:rPr>
        <w:t> </w:t>
      </w:r>
      <w:r w:rsidRPr="003D31FD">
        <w:rPr>
          <w:lang w:val="fr-FR"/>
        </w:rPr>
        <w:t>60 (Commandes actionnées par le conducteur (cyclomoteurs et motocycles)) sur la version anglaise.</w:t>
      </w:r>
    </w:p>
    <w:p w:rsidR="003D31FD" w:rsidRPr="003D31FD" w:rsidRDefault="003D31FD" w:rsidP="003D31FD">
      <w:pPr>
        <w:pStyle w:val="SingleTxtG"/>
        <w:rPr>
          <w:lang w:val="fr-FR"/>
        </w:rPr>
      </w:pPr>
      <w:r w:rsidRPr="003D31FD">
        <w:rPr>
          <w:lang w:val="fr-FR"/>
        </w:rPr>
        <w:t>53.</w:t>
      </w:r>
      <w:r w:rsidRPr="003D31FD">
        <w:rPr>
          <w:lang w:val="fr-FR"/>
        </w:rPr>
        <w:tab/>
        <w:t>Le GRSG a adopté le texte proposé tel que reproduit ci-dessous et a chargé le secrétariat de le soumettre au WP.29 et à l’AC.1, pour examen à leurs sessions de novembre 2018, en tant que rectificatif 1</w:t>
      </w:r>
      <w:r w:rsidR="00B82A37">
        <w:rPr>
          <w:lang w:val="fr-FR"/>
        </w:rPr>
        <w:t xml:space="preserve"> à la Révision </w:t>
      </w:r>
      <w:r w:rsidRPr="003D31FD">
        <w:rPr>
          <w:lang w:val="fr-FR"/>
        </w:rPr>
        <w:t>1 du Règlement ONU n</w:t>
      </w:r>
      <w:r w:rsidRPr="003D31FD">
        <w:rPr>
          <w:vertAlign w:val="superscript"/>
          <w:lang w:val="fr-FR"/>
        </w:rPr>
        <w:t>o</w:t>
      </w:r>
      <w:r w:rsidRPr="003D31FD">
        <w:rPr>
          <w:lang w:val="fr-FR"/>
        </w:rPr>
        <w:t> 60.</w:t>
      </w:r>
    </w:p>
    <w:p w:rsidR="003D31FD" w:rsidRPr="003D31FD" w:rsidRDefault="003D31FD" w:rsidP="003D31FD">
      <w:pPr>
        <w:pStyle w:val="SingleTxtG"/>
        <w:rPr>
          <w:lang w:val="fr-FR"/>
        </w:rPr>
      </w:pPr>
      <w:r w:rsidRPr="003D31FD">
        <w:rPr>
          <w:i/>
          <w:lang w:val="fr-FR"/>
        </w:rPr>
        <w:t>Version russe, paragraphe 2.29</w:t>
      </w:r>
      <w:r w:rsidRPr="003D31FD">
        <w:rPr>
          <w:lang w:val="fr-FR"/>
        </w:rPr>
        <w:t>, modifier comme suit :</w:t>
      </w:r>
    </w:p>
    <w:p w:rsidR="003D31FD" w:rsidRPr="003D31FD" w:rsidRDefault="003D31FD" w:rsidP="002D00C3">
      <w:pPr>
        <w:pStyle w:val="SingleTxtG"/>
        <w:ind w:left="2268" w:hanging="1134"/>
        <w:rPr>
          <w:lang w:val="ru-RU"/>
        </w:rPr>
      </w:pPr>
      <w:r w:rsidRPr="003D31FD">
        <w:rPr>
          <w:lang w:val="ru-RU"/>
        </w:rPr>
        <w:t>«</w:t>
      </w:r>
      <w:r w:rsidRPr="003D31FD">
        <w:rPr>
          <w:lang w:val="fr-FR"/>
        </w:rPr>
        <w:t> </w:t>
      </w:r>
      <w:r w:rsidRPr="003D31FD">
        <w:rPr>
          <w:lang w:val="ru-RU"/>
        </w:rPr>
        <w:t>2.29</w:t>
      </w:r>
      <w:r w:rsidRPr="003D31FD">
        <w:rPr>
          <w:lang w:val="ru-RU"/>
        </w:rPr>
        <w:tab/>
        <w:t xml:space="preserve">Общее пространство» означает участок, на котором могут отображаться, но не </w:t>
      </w:r>
      <w:r w:rsidRPr="003D31FD">
        <w:rPr>
          <w:b/>
          <w:lang w:val="ru-RU"/>
        </w:rPr>
        <w:t>одновременно</w:t>
      </w:r>
      <w:r w:rsidRPr="003D31FD">
        <w:rPr>
          <w:lang w:val="ru-RU"/>
        </w:rPr>
        <w:t>, не менее двух информационных функций (например, условных обозначений).</w:t>
      </w:r>
      <w:r w:rsidRPr="003D31FD">
        <w:rPr>
          <w:lang w:val="fr-FR"/>
        </w:rPr>
        <w:t> </w:t>
      </w:r>
      <w:r w:rsidRPr="003D31FD">
        <w:rPr>
          <w:lang w:val="ru-RU"/>
        </w:rPr>
        <w:t>».</w:t>
      </w:r>
    </w:p>
    <w:p w:rsidR="003D31FD" w:rsidRPr="003D31FD" w:rsidRDefault="003D31FD" w:rsidP="003D31FD">
      <w:pPr>
        <w:pStyle w:val="SingleTxtG"/>
        <w:rPr>
          <w:lang w:val="fr-FR"/>
        </w:rPr>
      </w:pPr>
      <w:r w:rsidRPr="003D31FD">
        <w:rPr>
          <w:lang w:val="fr-FR"/>
        </w:rPr>
        <w:t>54.</w:t>
      </w:r>
      <w:r w:rsidRPr="003D31FD">
        <w:rPr>
          <w:lang w:val="fr-FR"/>
        </w:rPr>
        <w:tab/>
        <w:t>L’expert de l’OICA a présenté le document GRSG-114-31, qui vise à mettre le texte du Règlement ONU n</w:t>
      </w:r>
      <w:r w:rsidRPr="003D31FD">
        <w:rPr>
          <w:vertAlign w:val="superscript"/>
          <w:lang w:val="fr-FR"/>
        </w:rPr>
        <w:t>o</w:t>
      </w:r>
      <w:r w:rsidR="00B82A37">
        <w:rPr>
          <w:lang w:val="fr-FR"/>
        </w:rPr>
        <w:t> </w:t>
      </w:r>
      <w:r w:rsidRPr="003D31FD">
        <w:rPr>
          <w:lang w:val="fr-FR"/>
        </w:rPr>
        <w:t>105 (Véhicules destinés au transport de marchandises dangereuses) en conformité avec les nouvelles dispositions de l’Accord européen relatif au transport international des marchandises dangereuses par route (ADR) (éd</w:t>
      </w:r>
      <w:r w:rsidR="002D00C3">
        <w:rPr>
          <w:lang w:val="fr-FR"/>
        </w:rPr>
        <w:t>. </w:t>
      </w:r>
      <w:r w:rsidRPr="003D31FD">
        <w:rPr>
          <w:lang w:val="fr-FR"/>
        </w:rPr>
        <w:t>2019), adopté par le Groupe de travail des transports de marchandises dangereuses (WP.15).</w:t>
      </w:r>
    </w:p>
    <w:p w:rsidR="003D31FD" w:rsidRPr="003D31FD" w:rsidRDefault="003D31FD" w:rsidP="003D31FD">
      <w:pPr>
        <w:pStyle w:val="SingleTxtG"/>
        <w:rPr>
          <w:lang w:val="fr-FR"/>
        </w:rPr>
      </w:pPr>
      <w:r w:rsidRPr="003D31FD">
        <w:rPr>
          <w:lang w:val="fr-FR"/>
        </w:rPr>
        <w:t>55.</w:t>
      </w:r>
      <w:r w:rsidRPr="003D31FD">
        <w:rPr>
          <w:lang w:val="fr-FR"/>
        </w:rPr>
        <w:tab/>
        <w:t xml:space="preserve">Le GRSG a adopté le texte proposé tel que reproduit ci-dessous et a chargé le secrétariat de le soumettre au WP.29 et à l’AC.1, pour examen à leurs sessions de </w:t>
      </w:r>
      <w:r w:rsidRPr="003D31FD">
        <w:rPr>
          <w:lang w:val="fr-FR"/>
        </w:rPr>
        <w:lastRenderedPageBreak/>
        <w:t xml:space="preserve">novembre 2018, en tant que projet </w:t>
      </w:r>
      <w:r w:rsidR="00B82A37">
        <w:rPr>
          <w:lang w:val="fr-FR"/>
        </w:rPr>
        <w:t xml:space="preserve">de complément </w:t>
      </w:r>
      <w:r w:rsidRPr="003D31FD">
        <w:rPr>
          <w:lang w:val="fr-FR"/>
        </w:rPr>
        <w:t>1</w:t>
      </w:r>
      <w:r w:rsidR="00B82A37">
        <w:rPr>
          <w:lang w:val="fr-FR"/>
        </w:rPr>
        <w:t xml:space="preserve"> </w:t>
      </w:r>
      <w:r w:rsidRPr="003D31FD">
        <w:rPr>
          <w:lang w:val="fr-FR"/>
        </w:rPr>
        <w:t>à la série</w:t>
      </w:r>
      <w:r w:rsidR="00B82A37">
        <w:rPr>
          <w:lang w:val="fr-FR"/>
        </w:rPr>
        <w:t xml:space="preserve"> </w:t>
      </w:r>
      <w:r w:rsidRPr="003D31FD">
        <w:rPr>
          <w:lang w:val="fr-FR"/>
        </w:rPr>
        <w:t>06 d’amendements au Règlement ONU n</w:t>
      </w:r>
      <w:r w:rsidRPr="003D31FD">
        <w:rPr>
          <w:vertAlign w:val="superscript"/>
          <w:lang w:val="fr-FR"/>
        </w:rPr>
        <w:t>o</w:t>
      </w:r>
      <w:r w:rsidRPr="003D31FD">
        <w:rPr>
          <w:lang w:val="fr-FR"/>
        </w:rPr>
        <w:t xml:space="preserve"> 105, sous réserve d’un examen final par le GRSG à sa session d’octobre 2018. </w:t>
      </w:r>
    </w:p>
    <w:p w:rsidR="003D31FD" w:rsidRPr="003D31FD" w:rsidRDefault="003D31FD" w:rsidP="003D31FD">
      <w:pPr>
        <w:pStyle w:val="SingleTxtG"/>
        <w:rPr>
          <w:lang w:val="fr-FR"/>
        </w:rPr>
      </w:pPr>
      <w:r w:rsidRPr="003D31FD">
        <w:rPr>
          <w:i/>
          <w:lang w:val="fr-FR"/>
        </w:rPr>
        <w:t>Paragraphe 5.1.1.2.1</w:t>
      </w:r>
      <w:r w:rsidRPr="003D31FD">
        <w:rPr>
          <w:lang w:val="fr-FR"/>
        </w:rPr>
        <w:t xml:space="preserve">, modifier comme suit : </w:t>
      </w:r>
    </w:p>
    <w:p w:rsidR="003D31FD" w:rsidRPr="003D31FD" w:rsidRDefault="003D31FD" w:rsidP="00CC6366">
      <w:pPr>
        <w:pStyle w:val="SingleTxtG"/>
        <w:ind w:left="2268" w:hanging="1134"/>
        <w:rPr>
          <w:lang w:val="fr-FR"/>
        </w:rPr>
      </w:pPr>
      <w:r w:rsidRPr="003D31FD">
        <w:rPr>
          <w:lang w:val="fr-FR"/>
        </w:rPr>
        <w:t>« 5.1.1.2.1</w:t>
      </w:r>
      <w:r w:rsidRPr="003D31FD">
        <w:rPr>
          <w:lang w:val="fr-FR"/>
        </w:rPr>
        <w:tab/>
        <w:t>Câbles</w:t>
      </w:r>
    </w:p>
    <w:p w:rsidR="003D31FD" w:rsidRPr="003D31FD" w:rsidRDefault="003D31FD" w:rsidP="00CC6366">
      <w:pPr>
        <w:pStyle w:val="SingleTxtG"/>
        <w:ind w:left="2268"/>
        <w:rPr>
          <w:lang w:val="fr-FR"/>
        </w:rPr>
      </w:pPr>
      <w:r w:rsidRPr="003D31FD">
        <w:rPr>
          <w:lang w:val="fr-FR"/>
        </w:rPr>
        <w:tab/>
        <w:t>Aucun câble utilisé dans un circuit […] doivent être convenablement isolés.</w:t>
      </w:r>
    </w:p>
    <w:p w:rsidR="003D31FD" w:rsidRPr="003D31FD" w:rsidRDefault="003D31FD" w:rsidP="00CC6366">
      <w:pPr>
        <w:pStyle w:val="SingleTxtG"/>
        <w:ind w:left="2268"/>
        <w:rPr>
          <w:lang w:val="fr-FR"/>
        </w:rPr>
      </w:pPr>
      <w:r w:rsidRPr="003D31FD">
        <w:rPr>
          <w:lang w:val="fr-FR"/>
        </w:rPr>
        <w:tab/>
        <w:t xml:space="preserve">Les câbles doivent être adaptés aux conditions dans lesquelles </w:t>
      </w:r>
      <w:r w:rsidRPr="003D31FD">
        <w:rPr>
          <w:b/>
          <w:lang w:val="fr-FR"/>
        </w:rPr>
        <w:t>il est prévu</w:t>
      </w:r>
      <w:r w:rsidRPr="003D31FD">
        <w:rPr>
          <w:lang w:val="fr-FR"/>
        </w:rPr>
        <w:t xml:space="preserve"> de les utiliser, notamment les conditions de températures et de compatibilité avec les fluides.</w:t>
      </w:r>
    </w:p>
    <w:p w:rsidR="003D31FD" w:rsidRPr="003D31FD" w:rsidRDefault="003D31FD" w:rsidP="00CC6366">
      <w:pPr>
        <w:pStyle w:val="SingleTxtG"/>
        <w:ind w:left="2268"/>
        <w:rPr>
          <w:lang w:val="fr-FR"/>
        </w:rPr>
      </w:pPr>
      <w:r w:rsidRPr="003D31FD">
        <w:rPr>
          <w:lang w:val="fr-FR"/>
        </w:rPr>
        <w:tab/>
        <w:t>[…]</w:t>
      </w:r>
    </w:p>
    <w:p w:rsidR="003D31FD" w:rsidRPr="003D31FD" w:rsidRDefault="003D31FD" w:rsidP="00CC6366">
      <w:pPr>
        <w:pStyle w:val="SingleTxtG"/>
        <w:ind w:left="2268"/>
        <w:rPr>
          <w:lang w:val="fr-FR"/>
        </w:rPr>
      </w:pPr>
      <w:r w:rsidRPr="003D31FD">
        <w:rPr>
          <w:lang w:val="fr-FR"/>
        </w:rPr>
        <w:tab/>
        <w:t>Ils doivent être solidement […] les agressions mécaniques et thermiques. ».</w:t>
      </w:r>
    </w:p>
    <w:p w:rsidR="003D31FD" w:rsidRPr="003D31FD" w:rsidRDefault="003D31FD" w:rsidP="002D00C3">
      <w:pPr>
        <w:pStyle w:val="SingleTxtG"/>
        <w:rPr>
          <w:lang w:val="fr-FR"/>
        </w:rPr>
      </w:pPr>
      <w:r w:rsidRPr="003D31FD">
        <w:rPr>
          <w:i/>
          <w:lang w:val="fr-FR"/>
        </w:rPr>
        <w:t>Paragraphe 5.1.1.9.1</w:t>
      </w:r>
      <w:r w:rsidRPr="003D31FD">
        <w:rPr>
          <w:lang w:val="fr-FR"/>
        </w:rPr>
        <w:t>, modifier comme suit :</w:t>
      </w:r>
    </w:p>
    <w:p w:rsidR="003D31FD" w:rsidRPr="003D31FD" w:rsidRDefault="00CC6366" w:rsidP="00CC6366">
      <w:pPr>
        <w:pStyle w:val="SingleTxtG"/>
        <w:ind w:left="2268" w:hanging="1134"/>
        <w:rPr>
          <w:lang w:val="fr-FR"/>
        </w:rPr>
      </w:pPr>
      <w:r>
        <w:rPr>
          <w:lang w:val="fr-FR"/>
        </w:rPr>
        <w:t>« 5.1.1.9.1</w:t>
      </w:r>
      <w:r>
        <w:rPr>
          <w:lang w:val="fr-FR"/>
        </w:rPr>
        <w:tab/>
      </w:r>
      <w:r w:rsidR="003D31FD" w:rsidRPr="003D31FD">
        <w:rPr>
          <w:lang w:val="fr-FR"/>
        </w:rPr>
        <w:t>a)</w:t>
      </w:r>
      <w:r w:rsidR="003D31FD" w:rsidRPr="003D31FD">
        <w:rPr>
          <w:lang w:val="fr-FR"/>
        </w:rPr>
        <w:tab/>
        <w:t>Les parties de l’installation […] une utilisation en zone dangereuse.</w:t>
      </w:r>
    </w:p>
    <w:p w:rsidR="003D31FD" w:rsidRPr="003D31FD" w:rsidRDefault="003D31FD" w:rsidP="00CC6366">
      <w:pPr>
        <w:pStyle w:val="SingleTxtG"/>
        <w:ind w:left="2835"/>
      </w:pPr>
      <w:r w:rsidRPr="003D31FD">
        <w:t>Cet équipement doit satisfaire aux dispositions générales de la norme CEI 60079</w:t>
      </w:r>
      <w:r w:rsidRPr="003D31FD">
        <w:rPr>
          <w:vertAlign w:val="superscript"/>
        </w:rPr>
        <w:t>4</w:t>
      </w:r>
      <w:r w:rsidRPr="003D31FD">
        <w:t xml:space="preserve">, parties 0 et 14, et aux dispositions supplémentaires applicables de cette même norme, parties 1, 2, 5, 6, 7, 11, 15, </w:t>
      </w:r>
      <w:r w:rsidRPr="003D31FD">
        <w:rPr>
          <w:b/>
        </w:rPr>
        <w:t>18, 26 ou 28</w:t>
      </w:r>
      <w:r w:rsidRPr="003D31FD">
        <w:t>. ».</w:t>
      </w:r>
    </w:p>
    <w:p w:rsidR="003D31FD" w:rsidRPr="003D31FD" w:rsidRDefault="00CC6366" w:rsidP="00CC6366">
      <w:pPr>
        <w:pStyle w:val="H1G"/>
      </w:pPr>
      <w:r>
        <w:tab/>
      </w:r>
      <w:r w:rsidR="003D31FD" w:rsidRPr="003D31FD">
        <w:t>C.</w:t>
      </w:r>
      <w:r w:rsidR="003D31FD" w:rsidRPr="003D31FD">
        <w:tab/>
        <w:t xml:space="preserve">Hommages à MM. </w:t>
      </w:r>
      <w:r w:rsidR="003D31FD" w:rsidRPr="003D31FD">
        <w:rPr>
          <w:lang w:val="fr-FR"/>
        </w:rPr>
        <w:t>J.</w:t>
      </w:r>
      <w:r>
        <w:rPr>
          <w:lang w:val="fr-FR"/>
        </w:rPr>
        <w:t> Kownacki et F. </w:t>
      </w:r>
      <w:r w:rsidR="003D31FD" w:rsidRPr="003D31FD">
        <w:rPr>
          <w:lang w:val="fr-FR"/>
        </w:rPr>
        <w:t>Boulay</w:t>
      </w:r>
      <w:r w:rsidR="003D31FD" w:rsidRPr="003D31FD">
        <w:t xml:space="preserve"> </w:t>
      </w:r>
    </w:p>
    <w:p w:rsidR="003D31FD" w:rsidRPr="003D31FD" w:rsidRDefault="003D31FD" w:rsidP="003D31FD">
      <w:pPr>
        <w:pStyle w:val="SingleTxtG"/>
      </w:pPr>
      <w:r w:rsidRPr="003D31FD">
        <w:t>56.</w:t>
      </w:r>
      <w:r w:rsidRPr="003D31FD">
        <w:tab/>
        <w:t>Apprenant que M.</w:t>
      </w:r>
      <w:r w:rsidR="00CC6366">
        <w:t> </w:t>
      </w:r>
      <w:r w:rsidRPr="003D31FD">
        <w:rPr>
          <w:lang w:val="fr-FR"/>
        </w:rPr>
        <w:t>Jerzy Kownacki (Pologne) allait prendre sa retraite, le GRSG l’a remercié pour son importante contribution à ses travaux au cours des dernières décennies. Il lui a exprimé sa reconnaissance par de longs applaudissements et lui a souhaité une longue et heureuse retraite.</w:t>
      </w:r>
    </w:p>
    <w:p w:rsidR="00264EA4" w:rsidRDefault="003D31FD" w:rsidP="003D31FD">
      <w:pPr>
        <w:pStyle w:val="SingleTxtG"/>
      </w:pPr>
      <w:r w:rsidRPr="003D31FD">
        <w:t>57.</w:t>
      </w:r>
      <w:r w:rsidRPr="003D31FD">
        <w:tab/>
        <w:t>Le GRSG a pris note du fait que M.</w:t>
      </w:r>
      <w:r w:rsidR="00CC6366">
        <w:t> </w:t>
      </w:r>
      <w:r w:rsidRPr="003D31FD">
        <w:rPr>
          <w:lang w:val="fr-FR"/>
        </w:rPr>
        <w:t>François Boulay (OICA) allait assumer de nouvelles fonctions au sein de son organisation et ne participerait donc plus aux sessions.</w:t>
      </w:r>
      <w:r w:rsidRPr="003D31FD">
        <w:t xml:space="preserve"> Il l’a remercié pour son appui constant et sa contribution à ses travaux pendant ces longues années de participation et lui a adressé ses meilleurs vœux de réussite pour ses activités futures.</w:t>
      </w:r>
    </w:p>
    <w:p w:rsidR="003D31FD" w:rsidRPr="003D31FD" w:rsidRDefault="00CC6366" w:rsidP="00CC6366">
      <w:pPr>
        <w:pStyle w:val="HChG"/>
        <w:rPr>
          <w:lang w:val="fr-FR"/>
        </w:rPr>
      </w:pPr>
      <w:r>
        <w:rPr>
          <w:lang w:val="fr-FR"/>
        </w:rPr>
        <w:tab/>
      </w:r>
      <w:r w:rsidR="003D31FD" w:rsidRPr="003D31FD">
        <w:rPr>
          <w:lang w:val="fr-FR"/>
        </w:rPr>
        <w:t>XV.</w:t>
      </w:r>
      <w:r w:rsidR="003D31FD" w:rsidRPr="003D31FD">
        <w:rPr>
          <w:lang w:val="fr-FR"/>
        </w:rPr>
        <w:tab/>
        <w:t>Ordre du jour provisoire de la 115</w:t>
      </w:r>
      <w:r w:rsidR="003D31FD" w:rsidRPr="003D31FD">
        <w:rPr>
          <w:vertAlign w:val="superscript"/>
          <w:lang w:val="fr-FR"/>
        </w:rPr>
        <w:t>e</w:t>
      </w:r>
      <w:r w:rsidR="003D31FD" w:rsidRPr="003D31FD">
        <w:rPr>
          <w:lang w:val="fr-FR"/>
        </w:rPr>
        <w:t> session</w:t>
      </w:r>
    </w:p>
    <w:p w:rsidR="003D31FD" w:rsidRPr="003D31FD" w:rsidRDefault="003D31FD" w:rsidP="003D31FD">
      <w:pPr>
        <w:pStyle w:val="SingleTxtG"/>
        <w:rPr>
          <w:lang w:val="fr-FR"/>
        </w:rPr>
      </w:pPr>
      <w:r w:rsidRPr="003D31FD">
        <w:rPr>
          <w:lang w:val="fr-FR"/>
        </w:rPr>
        <w:t>58.</w:t>
      </w:r>
      <w:r w:rsidRPr="003D31FD">
        <w:rPr>
          <w:lang w:val="fr-FR"/>
        </w:rPr>
        <w:tab/>
        <w:t>L’ordre du jour provisoire ci-dessous a été adopté pour la 115</w:t>
      </w:r>
      <w:r w:rsidRPr="003D31FD">
        <w:rPr>
          <w:vertAlign w:val="superscript"/>
          <w:lang w:val="fr-FR"/>
        </w:rPr>
        <w:t>e</w:t>
      </w:r>
      <w:r w:rsidR="00CC6366">
        <w:rPr>
          <w:lang w:val="fr-FR"/>
        </w:rPr>
        <w:t> </w:t>
      </w:r>
      <w:r w:rsidRPr="003D31FD">
        <w:rPr>
          <w:lang w:val="fr-FR"/>
        </w:rPr>
        <w:t>session du GRSG, qui se tiendra à Genève du 9</w:t>
      </w:r>
      <w:r w:rsidR="00CC6366">
        <w:rPr>
          <w:lang w:val="fr-FR"/>
        </w:rPr>
        <w:t> </w:t>
      </w:r>
      <w:r w:rsidRPr="003D31FD">
        <w:rPr>
          <w:lang w:val="fr-FR"/>
        </w:rPr>
        <w:t>octobre 2018 à 9 h 30 au 12 octobre 2018 à 12 h 30</w:t>
      </w:r>
      <w:r w:rsidRPr="00CC6366">
        <w:rPr>
          <w:rStyle w:val="Appelnotedebasdep"/>
        </w:rPr>
        <w:footnoteReference w:id="2"/>
      </w:r>
      <w:r w:rsidRPr="003D31FD">
        <w:rPr>
          <w:lang w:val="fr-FR"/>
        </w:rPr>
        <w:t> :</w:t>
      </w:r>
    </w:p>
    <w:p w:rsidR="003D31FD" w:rsidRPr="003D31FD" w:rsidRDefault="003D31FD" w:rsidP="003D31FD">
      <w:pPr>
        <w:pStyle w:val="SingleTxtG"/>
        <w:rPr>
          <w:lang w:val="fr-FR"/>
        </w:rPr>
      </w:pPr>
      <w:r w:rsidRPr="003D31FD">
        <w:rPr>
          <w:lang w:val="fr-FR"/>
        </w:rPr>
        <w:t>1.</w:t>
      </w:r>
      <w:r w:rsidRPr="003D31FD">
        <w:rPr>
          <w:lang w:val="fr-FR"/>
        </w:rPr>
        <w:tab/>
        <w:t>Adoption de l’ordre du jour.</w:t>
      </w:r>
    </w:p>
    <w:p w:rsidR="003D31FD" w:rsidRPr="003D31FD" w:rsidRDefault="003D31FD" w:rsidP="003D31FD">
      <w:pPr>
        <w:pStyle w:val="SingleTxtG"/>
        <w:rPr>
          <w:lang w:val="fr-FR"/>
        </w:rPr>
      </w:pPr>
      <w:r w:rsidRPr="003D31FD">
        <w:rPr>
          <w:lang w:val="fr-FR"/>
        </w:rPr>
        <w:t>2.</w:t>
      </w:r>
      <w:r w:rsidRPr="003D31FD">
        <w:rPr>
          <w:lang w:val="fr-FR"/>
        </w:rPr>
        <w:tab/>
        <w:t>Amendements aux Règlements sur les autobus et les autocars :</w:t>
      </w:r>
    </w:p>
    <w:p w:rsidR="003D31FD" w:rsidRPr="003D31FD" w:rsidRDefault="003D31FD" w:rsidP="00CC6366">
      <w:pPr>
        <w:pStyle w:val="SingleTxtG"/>
        <w:ind w:left="1701"/>
        <w:rPr>
          <w:lang w:val="fr-FR"/>
        </w:rPr>
      </w:pPr>
      <w:r w:rsidRPr="003D31FD">
        <w:rPr>
          <w:lang w:val="fr-FR"/>
        </w:rPr>
        <w:t>a)</w:t>
      </w:r>
      <w:r w:rsidRPr="003D31FD">
        <w:rPr>
          <w:lang w:val="fr-FR"/>
        </w:rPr>
        <w:tab/>
        <w:t>Règlement ONU n</w:t>
      </w:r>
      <w:r w:rsidRPr="003D31FD">
        <w:rPr>
          <w:vertAlign w:val="superscript"/>
          <w:lang w:val="fr-FR"/>
        </w:rPr>
        <w:t>o</w:t>
      </w:r>
      <w:r w:rsidRPr="003D31FD">
        <w:rPr>
          <w:lang w:val="fr-FR"/>
        </w:rPr>
        <w:t> 107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w:t>
      </w:r>
    </w:p>
    <w:p w:rsidR="003D31FD" w:rsidRPr="003D31FD" w:rsidRDefault="003D31FD" w:rsidP="00CC6366">
      <w:pPr>
        <w:pStyle w:val="SingleTxtG"/>
        <w:ind w:left="1701"/>
        <w:rPr>
          <w:lang w:val="fr-FR"/>
        </w:rPr>
      </w:pPr>
      <w:r w:rsidRPr="003D31FD">
        <w:rPr>
          <w:lang w:val="fr-FR"/>
        </w:rPr>
        <w:t>b)</w:t>
      </w:r>
      <w:r w:rsidRPr="003D31FD">
        <w:rPr>
          <w:lang w:val="fr-FR"/>
        </w:rPr>
        <w:tab/>
        <w:t>Règlement ONU n</w:t>
      </w:r>
      <w:r w:rsidRPr="003D31FD">
        <w:rPr>
          <w:vertAlign w:val="superscript"/>
          <w:lang w:val="fr-FR"/>
        </w:rPr>
        <w:t>o</w:t>
      </w:r>
      <w:r w:rsidRPr="003D31FD">
        <w:rPr>
          <w:lang w:val="fr-FR"/>
        </w:rPr>
        <w:t> 118 (Comportement au feu des matériaux).</w:t>
      </w:r>
    </w:p>
    <w:p w:rsidR="003D31FD" w:rsidRPr="003D31FD" w:rsidRDefault="003D31FD" w:rsidP="003D31FD">
      <w:pPr>
        <w:pStyle w:val="SingleTxtG"/>
        <w:rPr>
          <w:lang w:val="fr-FR"/>
        </w:rPr>
      </w:pPr>
      <w:r w:rsidRPr="003D31FD">
        <w:rPr>
          <w:lang w:val="fr-FR"/>
        </w:rPr>
        <w:t>3.</w:t>
      </w:r>
      <w:r w:rsidRPr="003D31FD">
        <w:rPr>
          <w:lang w:val="fr-FR"/>
        </w:rPr>
        <w:tab/>
        <w:t>Règlement ONU n</w:t>
      </w:r>
      <w:r w:rsidRPr="003D31FD">
        <w:rPr>
          <w:vertAlign w:val="superscript"/>
          <w:lang w:val="fr-FR"/>
        </w:rPr>
        <w:t>o</w:t>
      </w:r>
      <w:r w:rsidRPr="003D31FD">
        <w:rPr>
          <w:lang w:val="fr-FR"/>
        </w:rPr>
        <w:t> 35 (Pédales de commande).</w:t>
      </w:r>
    </w:p>
    <w:p w:rsidR="003D31FD" w:rsidRPr="003D31FD" w:rsidRDefault="003D31FD" w:rsidP="003D31FD">
      <w:pPr>
        <w:pStyle w:val="SingleTxtG"/>
        <w:rPr>
          <w:lang w:val="fr-FR"/>
        </w:rPr>
      </w:pPr>
      <w:r w:rsidRPr="003D31FD">
        <w:rPr>
          <w:lang w:val="fr-FR"/>
        </w:rPr>
        <w:t>4.</w:t>
      </w:r>
      <w:r w:rsidRPr="003D31FD">
        <w:rPr>
          <w:lang w:val="fr-FR"/>
        </w:rPr>
        <w:tab/>
        <w:t>Amendements aux Règlements relatifs aux vitrages de sécurité :</w:t>
      </w:r>
    </w:p>
    <w:p w:rsidR="003D31FD" w:rsidRPr="003D31FD" w:rsidRDefault="003D31FD" w:rsidP="00CC6366">
      <w:pPr>
        <w:pStyle w:val="SingleTxtG"/>
        <w:ind w:left="1701"/>
        <w:rPr>
          <w:lang w:val="fr-FR"/>
        </w:rPr>
      </w:pPr>
      <w:r w:rsidRPr="003D31FD">
        <w:rPr>
          <w:lang w:val="fr-FR"/>
        </w:rPr>
        <w:t>a)</w:t>
      </w:r>
      <w:r w:rsidRPr="003D31FD">
        <w:rPr>
          <w:lang w:val="fr-FR"/>
        </w:rPr>
        <w:tab/>
        <w:t>Règlement technique mondial ONU n</w:t>
      </w:r>
      <w:r w:rsidRPr="003D31FD">
        <w:rPr>
          <w:vertAlign w:val="superscript"/>
          <w:lang w:val="fr-FR"/>
        </w:rPr>
        <w:t>o</w:t>
      </w:r>
      <w:r w:rsidRPr="003D31FD">
        <w:rPr>
          <w:lang w:val="fr-FR"/>
        </w:rPr>
        <w:t> 6 (Vitrages de sécurité) ;</w:t>
      </w:r>
    </w:p>
    <w:p w:rsidR="003D31FD" w:rsidRPr="003D31FD" w:rsidRDefault="003D31FD" w:rsidP="00CC6366">
      <w:pPr>
        <w:pStyle w:val="SingleTxtG"/>
        <w:ind w:left="1701"/>
        <w:rPr>
          <w:lang w:val="fr-FR"/>
        </w:rPr>
      </w:pPr>
      <w:r w:rsidRPr="003D31FD">
        <w:rPr>
          <w:lang w:val="fr-FR"/>
        </w:rPr>
        <w:t>b)</w:t>
      </w:r>
      <w:r w:rsidRPr="003D31FD">
        <w:rPr>
          <w:lang w:val="fr-FR"/>
        </w:rPr>
        <w:tab/>
        <w:t>Règlement ONU n</w:t>
      </w:r>
      <w:r w:rsidRPr="003D31FD">
        <w:rPr>
          <w:vertAlign w:val="superscript"/>
          <w:lang w:val="fr-FR"/>
        </w:rPr>
        <w:t>o</w:t>
      </w:r>
      <w:r w:rsidRPr="003D31FD">
        <w:rPr>
          <w:lang w:val="fr-FR"/>
        </w:rPr>
        <w:t> 43 (Vitrages de sécurité).</w:t>
      </w:r>
    </w:p>
    <w:p w:rsidR="003D31FD" w:rsidRPr="003D31FD" w:rsidRDefault="003D31FD" w:rsidP="003D31FD">
      <w:pPr>
        <w:pStyle w:val="SingleTxtG"/>
        <w:rPr>
          <w:lang w:val="fr-FR"/>
        </w:rPr>
      </w:pPr>
      <w:r w:rsidRPr="003D31FD">
        <w:rPr>
          <w:lang w:val="fr-FR"/>
        </w:rPr>
        <w:t>5.</w:t>
      </w:r>
      <w:r w:rsidRPr="003D31FD">
        <w:rPr>
          <w:lang w:val="fr-FR"/>
        </w:rPr>
        <w:tab/>
        <w:t>Sensibilisation à la proximité d’usagers de la route vulnérables :</w:t>
      </w:r>
    </w:p>
    <w:p w:rsidR="003D31FD" w:rsidRPr="003D31FD" w:rsidRDefault="003D31FD" w:rsidP="00CC6366">
      <w:pPr>
        <w:pStyle w:val="SingleTxtG"/>
        <w:ind w:left="1701"/>
        <w:rPr>
          <w:lang w:val="fr-FR"/>
        </w:rPr>
      </w:pPr>
      <w:r w:rsidRPr="003D31FD">
        <w:rPr>
          <w:lang w:val="fr-FR"/>
        </w:rPr>
        <w:t>a)</w:t>
      </w:r>
      <w:r w:rsidRPr="003D31FD">
        <w:rPr>
          <w:lang w:val="fr-FR"/>
        </w:rPr>
        <w:tab/>
        <w:t>Règlement ONU n</w:t>
      </w:r>
      <w:r w:rsidRPr="003D31FD">
        <w:rPr>
          <w:vertAlign w:val="superscript"/>
          <w:lang w:val="fr-FR"/>
        </w:rPr>
        <w:t>o</w:t>
      </w:r>
      <w:r w:rsidRPr="003D31FD">
        <w:rPr>
          <w:lang w:val="fr-FR"/>
        </w:rPr>
        <w:t> 46 (Dispositifs de vision indirecte) ;</w:t>
      </w:r>
    </w:p>
    <w:p w:rsidR="003D31FD" w:rsidRPr="003D31FD" w:rsidRDefault="003D31FD" w:rsidP="00CC6366">
      <w:pPr>
        <w:pStyle w:val="SingleTxtG"/>
        <w:ind w:left="1701"/>
        <w:rPr>
          <w:lang w:val="fr-FR"/>
        </w:rPr>
      </w:pPr>
      <w:r w:rsidRPr="003D31FD">
        <w:rPr>
          <w:lang w:val="fr-FR"/>
        </w:rPr>
        <w:lastRenderedPageBreak/>
        <w:t>b)</w:t>
      </w:r>
      <w:r w:rsidRPr="003D31FD">
        <w:rPr>
          <w:lang w:val="fr-FR"/>
        </w:rPr>
        <w:tab/>
        <w:t>Nouveau Règlement ONU sur les systèmes de surveillance de l’angle mort.</w:t>
      </w:r>
    </w:p>
    <w:p w:rsidR="003D31FD" w:rsidRPr="003D31FD" w:rsidRDefault="003D31FD" w:rsidP="003D31FD">
      <w:pPr>
        <w:pStyle w:val="SingleTxtG"/>
        <w:rPr>
          <w:lang w:val="fr-FR"/>
        </w:rPr>
      </w:pPr>
      <w:r w:rsidRPr="003D31FD">
        <w:rPr>
          <w:lang w:val="fr-FR"/>
        </w:rPr>
        <w:t>6.</w:t>
      </w:r>
      <w:r w:rsidRPr="003D31FD">
        <w:rPr>
          <w:lang w:val="fr-FR"/>
        </w:rPr>
        <w:tab/>
        <w:t>Règlement ONU n</w:t>
      </w:r>
      <w:r w:rsidRPr="003D31FD">
        <w:rPr>
          <w:vertAlign w:val="superscript"/>
          <w:lang w:val="fr-FR"/>
        </w:rPr>
        <w:t>o</w:t>
      </w:r>
      <w:r w:rsidR="00CC6366">
        <w:rPr>
          <w:lang w:val="fr-FR"/>
        </w:rPr>
        <w:t> </w:t>
      </w:r>
      <w:r w:rsidRPr="003D31FD">
        <w:rPr>
          <w:lang w:val="fr-FR"/>
        </w:rPr>
        <w:t>62 (Dispositifs antivol d</w:t>
      </w:r>
      <w:r w:rsidR="00CC6366">
        <w:rPr>
          <w:lang w:val="fr-FR"/>
        </w:rPr>
        <w:t>es cyclomoteurs et motocycles).</w:t>
      </w:r>
    </w:p>
    <w:p w:rsidR="003D31FD" w:rsidRPr="003D31FD" w:rsidRDefault="003D31FD" w:rsidP="003D31FD">
      <w:pPr>
        <w:pStyle w:val="SingleTxtG"/>
        <w:rPr>
          <w:lang w:val="fr-FR"/>
        </w:rPr>
      </w:pPr>
      <w:r w:rsidRPr="003D31FD">
        <w:rPr>
          <w:lang w:val="fr-FR"/>
        </w:rPr>
        <w:t>7.</w:t>
      </w:r>
      <w:r w:rsidRPr="003D31FD">
        <w:rPr>
          <w:lang w:val="fr-FR"/>
        </w:rPr>
        <w:tab/>
        <w:t>Amendements aux Règlements concernant les véhicules fonctionnant au gaz :</w:t>
      </w:r>
    </w:p>
    <w:p w:rsidR="003D31FD" w:rsidRPr="003D31FD" w:rsidRDefault="003D31FD" w:rsidP="00CC6366">
      <w:pPr>
        <w:pStyle w:val="SingleTxtG"/>
        <w:ind w:left="1701"/>
        <w:rPr>
          <w:lang w:val="fr-FR"/>
        </w:rPr>
      </w:pPr>
      <w:r w:rsidRPr="003D31FD">
        <w:rPr>
          <w:lang w:val="fr-FR"/>
        </w:rPr>
        <w:t>a)</w:t>
      </w:r>
      <w:r w:rsidRPr="003D31FD">
        <w:rPr>
          <w:lang w:val="fr-FR"/>
        </w:rPr>
        <w:tab/>
        <w:t>Règlement ONU n</w:t>
      </w:r>
      <w:r w:rsidRPr="003D31FD">
        <w:rPr>
          <w:vertAlign w:val="superscript"/>
          <w:lang w:val="fr-FR"/>
        </w:rPr>
        <w:t>o</w:t>
      </w:r>
      <w:r w:rsidRPr="003D31FD">
        <w:rPr>
          <w:lang w:val="fr-FR"/>
        </w:rPr>
        <w:t> 67 (Véhicules alimentés au GPL) ;</w:t>
      </w:r>
    </w:p>
    <w:p w:rsidR="003D31FD" w:rsidRPr="003D31FD" w:rsidRDefault="003D31FD" w:rsidP="00CC6366">
      <w:pPr>
        <w:pStyle w:val="SingleTxtG"/>
        <w:ind w:left="1701"/>
        <w:rPr>
          <w:lang w:val="fr-FR"/>
        </w:rPr>
      </w:pPr>
      <w:r w:rsidRPr="003D31FD">
        <w:rPr>
          <w:lang w:val="fr-FR"/>
        </w:rPr>
        <w:t>b)</w:t>
      </w:r>
      <w:r w:rsidRPr="003D31FD">
        <w:rPr>
          <w:lang w:val="fr-FR"/>
        </w:rPr>
        <w:tab/>
        <w:t>Règlement ONU n</w:t>
      </w:r>
      <w:r w:rsidRPr="003D31FD">
        <w:rPr>
          <w:vertAlign w:val="superscript"/>
          <w:lang w:val="fr-FR"/>
        </w:rPr>
        <w:t>o</w:t>
      </w:r>
      <w:r w:rsidR="00CC6366">
        <w:rPr>
          <w:lang w:val="fr-FR"/>
        </w:rPr>
        <w:t> </w:t>
      </w:r>
      <w:r w:rsidRPr="003D31FD">
        <w:rPr>
          <w:lang w:val="fr-FR"/>
        </w:rPr>
        <w:t>110 (Véhicules alimentés au GNC/GNL).</w:t>
      </w:r>
    </w:p>
    <w:p w:rsidR="003D31FD" w:rsidRPr="003D31FD" w:rsidRDefault="003D31FD" w:rsidP="003D31FD">
      <w:pPr>
        <w:pStyle w:val="SingleTxtG"/>
        <w:rPr>
          <w:lang w:val="fr-FR"/>
        </w:rPr>
      </w:pPr>
      <w:r w:rsidRPr="003D31FD">
        <w:rPr>
          <w:lang w:val="fr-FR"/>
        </w:rPr>
        <w:t>8.</w:t>
      </w:r>
      <w:r w:rsidRPr="003D31FD">
        <w:rPr>
          <w:lang w:val="fr-FR"/>
        </w:rPr>
        <w:tab/>
        <w:t>Règlement ONU n</w:t>
      </w:r>
      <w:r w:rsidRPr="003D31FD">
        <w:rPr>
          <w:vertAlign w:val="superscript"/>
          <w:lang w:val="fr-FR"/>
        </w:rPr>
        <w:t>o</w:t>
      </w:r>
      <w:r w:rsidRPr="003D31FD">
        <w:rPr>
          <w:lang w:val="fr-FR"/>
        </w:rPr>
        <w:t> 73 (Dispositifs de protection latérale).</w:t>
      </w:r>
    </w:p>
    <w:p w:rsidR="003D31FD" w:rsidRPr="003D31FD" w:rsidRDefault="003D31FD" w:rsidP="00CC6366">
      <w:pPr>
        <w:pStyle w:val="SingleTxtG"/>
        <w:ind w:left="1701" w:hanging="567"/>
        <w:rPr>
          <w:lang w:val="fr-FR"/>
        </w:rPr>
      </w:pPr>
      <w:r w:rsidRPr="003D31FD">
        <w:rPr>
          <w:lang w:val="fr-FR"/>
        </w:rPr>
        <w:t>9.</w:t>
      </w:r>
      <w:r w:rsidRPr="003D31FD">
        <w:rPr>
          <w:lang w:val="fr-FR"/>
        </w:rPr>
        <w:tab/>
        <w:t>Règlement ONU n</w:t>
      </w:r>
      <w:r w:rsidRPr="003D31FD">
        <w:rPr>
          <w:vertAlign w:val="superscript"/>
          <w:lang w:val="fr-FR"/>
        </w:rPr>
        <w:t>o</w:t>
      </w:r>
      <w:r w:rsidRPr="003D31FD">
        <w:rPr>
          <w:lang w:val="fr-FR"/>
        </w:rPr>
        <w:t> 105 (Véhicules destinés au transport de marchandises dangereuses).</w:t>
      </w:r>
    </w:p>
    <w:p w:rsidR="003D31FD" w:rsidRPr="003D31FD" w:rsidRDefault="003D31FD" w:rsidP="003D31FD">
      <w:pPr>
        <w:pStyle w:val="SingleTxtG"/>
        <w:rPr>
          <w:lang w:val="fr-FR"/>
        </w:rPr>
      </w:pPr>
      <w:r w:rsidRPr="003D31FD">
        <w:rPr>
          <w:lang w:val="fr-FR"/>
        </w:rPr>
        <w:t>10.</w:t>
      </w:r>
      <w:r w:rsidRPr="003D31FD">
        <w:rPr>
          <w:lang w:val="fr-FR"/>
        </w:rPr>
        <w:tab/>
        <w:t>Règlement ONU n</w:t>
      </w:r>
      <w:r w:rsidRPr="003D31FD">
        <w:rPr>
          <w:vertAlign w:val="superscript"/>
          <w:lang w:val="fr-FR"/>
        </w:rPr>
        <w:t>o</w:t>
      </w:r>
      <w:r w:rsidR="00CC6366">
        <w:rPr>
          <w:lang w:val="fr-FR"/>
        </w:rPr>
        <w:t> </w:t>
      </w:r>
      <w:r w:rsidRPr="003D31FD">
        <w:rPr>
          <w:lang w:val="fr-FR"/>
        </w:rPr>
        <w:t>116 (Dispositifs antivol et systèmes d’alarme).</w:t>
      </w:r>
    </w:p>
    <w:p w:rsidR="003D31FD" w:rsidRPr="003D31FD" w:rsidRDefault="003D31FD" w:rsidP="003D31FD">
      <w:pPr>
        <w:pStyle w:val="SingleTxtG"/>
        <w:rPr>
          <w:lang w:val="fr-FR"/>
        </w:rPr>
      </w:pPr>
      <w:r w:rsidRPr="003D31FD">
        <w:rPr>
          <w:lang w:val="fr-FR"/>
        </w:rPr>
        <w:t>11.</w:t>
      </w:r>
      <w:r w:rsidRPr="003D31FD">
        <w:rPr>
          <w:lang w:val="fr-FR"/>
        </w:rPr>
        <w:tab/>
        <w:t>Règlement ONU n</w:t>
      </w:r>
      <w:r w:rsidRPr="003D31FD">
        <w:rPr>
          <w:vertAlign w:val="superscript"/>
          <w:lang w:val="fr-FR"/>
        </w:rPr>
        <w:t>o </w:t>
      </w:r>
      <w:r w:rsidRPr="003D31FD">
        <w:rPr>
          <w:lang w:val="fr-FR"/>
        </w:rPr>
        <w:t xml:space="preserve">121 (Identification des commandes manuelles, des </w:t>
      </w:r>
      <w:r w:rsidRPr="003D31FD">
        <w:rPr>
          <w:lang w:val="fr-FR"/>
        </w:rPr>
        <w:tab/>
        <w:t>témoins et des indicateurs).</w:t>
      </w:r>
    </w:p>
    <w:p w:rsidR="003D31FD" w:rsidRPr="003D31FD" w:rsidRDefault="003D31FD" w:rsidP="003D31FD">
      <w:pPr>
        <w:pStyle w:val="SingleTxtG"/>
        <w:rPr>
          <w:lang w:val="fr-FR"/>
        </w:rPr>
      </w:pPr>
      <w:r w:rsidRPr="003D31FD">
        <w:rPr>
          <w:lang w:val="fr-FR"/>
        </w:rPr>
        <w:t>12.</w:t>
      </w:r>
      <w:r w:rsidRPr="003D31FD">
        <w:rPr>
          <w:lang w:val="fr-FR"/>
        </w:rPr>
        <w:tab/>
        <w:t>Règlement ONU n</w:t>
      </w:r>
      <w:r w:rsidRPr="003D31FD">
        <w:rPr>
          <w:vertAlign w:val="superscript"/>
          <w:lang w:val="fr-FR"/>
        </w:rPr>
        <w:t>o</w:t>
      </w:r>
      <w:r w:rsidRPr="003D31FD">
        <w:rPr>
          <w:lang w:val="fr-FR"/>
        </w:rPr>
        <w:t> 144 (Systèmes automatiques d’appel d’urgence).</w:t>
      </w:r>
    </w:p>
    <w:p w:rsidR="003D31FD" w:rsidRPr="003D31FD" w:rsidRDefault="003D31FD" w:rsidP="00CC6366">
      <w:pPr>
        <w:pStyle w:val="SingleTxtG"/>
        <w:ind w:left="1701" w:hanging="567"/>
        <w:rPr>
          <w:lang w:val="fr-FR"/>
        </w:rPr>
      </w:pPr>
      <w:r w:rsidRPr="003D31FD">
        <w:rPr>
          <w:lang w:val="fr-FR"/>
        </w:rPr>
        <w:t>13.</w:t>
      </w:r>
      <w:r w:rsidRPr="003D31FD">
        <w:rPr>
          <w:lang w:val="fr-FR"/>
        </w:rPr>
        <w:tab/>
        <w:t>Règlement ONU n</w:t>
      </w:r>
      <w:r w:rsidRPr="003D31FD">
        <w:rPr>
          <w:vertAlign w:val="superscript"/>
          <w:lang w:val="fr-FR"/>
        </w:rPr>
        <w:t>o</w:t>
      </w:r>
      <w:r w:rsidR="00CC6366">
        <w:rPr>
          <w:lang w:val="fr-FR"/>
        </w:rPr>
        <w:t> </w:t>
      </w:r>
      <w:r w:rsidRPr="003D31FD">
        <w:rPr>
          <w:lang w:val="fr-FR"/>
        </w:rPr>
        <w:t>0 (Homologation de type internationale de l’ensemble du véhicule).</w:t>
      </w:r>
    </w:p>
    <w:p w:rsidR="003D31FD" w:rsidRPr="003D31FD" w:rsidRDefault="003D31FD" w:rsidP="003D31FD">
      <w:pPr>
        <w:pStyle w:val="SingleTxtG"/>
        <w:rPr>
          <w:lang w:val="fr-FR"/>
        </w:rPr>
      </w:pPr>
      <w:r w:rsidRPr="003D31FD">
        <w:rPr>
          <w:lang w:val="fr-FR"/>
        </w:rPr>
        <w:t>14.</w:t>
      </w:r>
      <w:r w:rsidRPr="003D31FD">
        <w:rPr>
          <w:lang w:val="fr-FR"/>
        </w:rPr>
        <w:tab/>
        <w:t>Élection du Bureau.</w:t>
      </w:r>
    </w:p>
    <w:p w:rsidR="003D31FD" w:rsidRDefault="003D31FD" w:rsidP="003D31FD">
      <w:pPr>
        <w:pStyle w:val="SingleTxtG"/>
        <w:rPr>
          <w:lang w:val="fr-FR"/>
        </w:rPr>
      </w:pPr>
      <w:r w:rsidRPr="003D31FD">
        <w:rPr>
          <w:lang w:val="fr-FR"/>
        </w:rPr>
        <w:t>15.</w:t>
      </w:r>
      <w:r w:rsidRPr="003D31FD">
        <w:rPr>
          <w:lang w:val="fr-FR"/>
        </w:rPr>
        <w:tab/>
        <w:t>Questions diverses</w:t>
      </w:r>
      <w:r w:rsidR="002D00C3">
        <w:rPr>
          <w:lang w:val="fr-FR"/>
        </w:rPr>
        <w:t>.</w:t>
      </w:r>
    </w:p>
    <w:p w:rsidR="003D31FD" w:rsidRPr="00A9428D" w:rsidRDefault="003D31FD" w:rsidP="00F73467">
      <w:pPr>
        <w:pStyle w:val="HChG"/>
        <w:spacing w:before="0"/>
        <w:rPr>
          <w:lang w:val="fr-FR"/>
        </w:rPr>
      </w:pPr>
      <w:r>
        <w:rPr>
          <w:lang w:val="fr-FR"/>
        </w:rPr>
        <w:br w:type="page"/>
      </w:r>
      <w:r w:rsidRPr="00A9428D">
        <w:rPr>
          <w:lang w:val="fr-FR"/>
        </w:rPr>
        <w:lastRenderedPageBreak/>
        <w:t>Annexe I</w:t>
      </w:r>
    </w:p>
    <w:p w:rsidR="003D31FD" w:rsidRPr="00A9428D" w:rsidRDefault="00CC6366" w:rsidP="00F73467">
      <w:pPr>
        <w:pStyle w:val="HChG"/>
        <w:spacing w:before="320" w:after="200"/>
        <w:rPr>
          <w:lang w:val="fr-FR"/>
        </w:rPr>
      </w:pPr>
      <w:r>
        <w:rPr>
          <w:lang w:val="fr-FR"/>
        </w:rPr>
        <w:tab/>
      </w:r>
      <w:r>
        <w:rPr>
          <w:lang w:val="fr-FR"/>
        </w:rPr>
        <w:tab/>
      </w:r>
      <w:r w:rsidR="003D31FD" w:rsidRPr="00A9428D">
        <w:rPr>
          <w:lang w:val="fr-FR"/>
        </w:rPr>
        <w:t>Liste des documents informels examinés pendant la session</w:t>
      </w:r>
    </w:p>
    <w:p w:rsidR="003D31FD" w:rsidRPr="00A9428D" w:rsidRDefault="00CC6366" w:rsidP="00F73467">
      <w:pPr>
        <w:pStyle w:val="H1G"/>
        <w:spacing w:before="320" w:after="200"/>
        <w:rPr>
          <w:b w:val="0"/>
          <w:szCs w:val="24"/>
          <w:lang w:val="fr-FR"/>
        </w:rPr>
      </w:pPr>
      <w:r>
        <w:rPr>
          <w:lang w:val="fr-FR"/>
        </w:rPr>
        <w:tab/>
      </w:r>
      <w:r>
        <w:rPr>
          <w:lang w:val="fr-FR"/>
        </w:rPr>
        <w:tab/>
      </w:r>
      <w:r w:rsidR="003D31FD" w:rsidRPr="00A9428D">
        <w:rPr>
          <w:lang w:val="fr-FR"/>
        </w:rPr>
        <w:t>Liste des documents sans cote off</w:t>
      </w:r>
      <w:r w:rsidR="003D31FD">
        <w:rPr>
          <w:lang w:val="fr-FR"/>
        </w:rPr>
        <w:t>icielle (GRSG-114-…) distribués</w:t>
      </w:r>
      <w:r>
        <w:rPr>
          <w:lang w:val="fr-FR"/>
        </w:rPr>
        <w:t xml:space="preserve"> </w:t>
      </w:r>
      <w:r w:rsidR="003D31FD" w:rsidRPr="00A9428D">
        <w:rPr>
          <w:szCs w:val="24"/>
          <w:lang w:val="fr-FR"/>
        </w:rPr>
        <w:t>pendant la session (anglais seulement)</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3D31FD" w:rsidRPr="00F8248D" w:rsidTr="003D31FD">
        <w:trPr>
          <w:tblHeader/>
        </w:trPr>
        <w:tc>
          <w:tcPr>
            <w:tcW w:w="666" w:type="dxa"/>
            <w:tcBorders>
              <w:top w:val="single" w:sz="4" w:space="0" w:color="auto"/>
              <w:bottom w:val="single" w:sz="12" w:space="0" w:color="auto"/>
            </w:tcBorders>
            <w:shd w:val="clear" w:color="auto" w:fill="auto"/>
          </w:tcPr>
          <w:p w:rsidR="003D31FD" w:rsidRPr="00F8248D" w:rsidRDefault="003D31FD" w:rsidP="00F73467">
            <w:pPr>
              <w:pStyle w:val="Notedebasdepage"/>
              <w:spacing w:before="80" w:after="80" w:line="240" w:lineRule="auto"/>
              <w:ind w:left="0" w:right="0" w:firstLine="0"/>
              <w:jc w:val="both"/>
              <w:rPr>
                <w:i/>
                <w:szCs w:val="18"/>
                <w:lang w:val="fr-FR"/>
              </w:rPr>
            </w:pPr>
            <w:r w:rsidRPr="00F8248D">
              <w:rPr>
                <w:i/>
                <w:szCs w:val="18"/>
                <w:lang w:val="fr-FR"/>
              </w:rPr>
              <w:t>No</w:t>
            </w:r>
          </w:p>
        </w:tc>
        <w:tc>
          <w:tcPr>
            <w:tcW w:w="6705" w:type="dxa"/>
            <w:tcBorders>
              <w:top w:val="single" w:sz="4" w:space="0" w:color="auto"/>
              <w:bottom w:val="single" w:sz="12" w:space="0" w:color="auto"/>
            </w:tcBorders>
            <w:shd w:val="clear" w:color="auto" w:fill="auto"/>
          </w:tcPr>
          <w:p w:rsidR="003D31FD" w:rsidRPr="00F8248D" w:rsidRDefault="003D31FD" w:rsidP="00F73467">
            <w:pPr>
              <w:pStyle w:val="Notedebasdepage"/>
              <w:spacing w:before="80" w:after="80" w:line="240" w:lineRule="auto"/>
              <w:ind w:left="113" w:right="-145" w:firstLine="0"/>
              <w:jc w:val="both"/>
              <w:rPr>
                <w:i/>
                <w:szCs w:val="18"/>
                <w:lang w:val="fr-FR"/>
              </w:rPr>
            </w:pPr>
            <w:r w:rsidRPr="00F8248D">
              <w:rPr>
                <w:i/>
                <w:szCs w:val="18"/>
                <w:lang w:val="fr-FR"/>
              </w:rPr>
              <w:t>(</w:t>
            </w:r>
            <w:r>
              <w:rPr>
                <w:i/>
                <w:szCs w:val="18"/>
                <w:lang w:val="fr-FR"/>
              </w:rPr>
              <w:t>Auteur) Titre</w:t>
            </w:r>
          </w:p>
        </w:tc>
        <w:tc>
          <w:tcPr>
            <w:tcW w:w="1134" w:type="dxa"/>
            <w:tcBorders>
              <w:top w:val="single" w:sz="4" w:space="0" w:color="auto"/>
              <w:bottom w:val="single" w:sz="12" w:space="0" w:color="auto"/>
            </w:tcBorders>
            <w:shd w:val="clear" w:color="auto" w:fill="auto"/>
          </w:tcPr>
          <w:p w:rsidR="003D31FD" w:rsidRPr="00F8248D" w:rsidRDefault="003D31FD" w:rsidP="00F73467">
            <w:pPr>
              <w:pStyle w:val="Notedebasdepage"/>
              <w:spacing w:before="80" w:after="80" w:line="240" w:lineRule="auto"/>
              <w:ind w:left="0" w:right="0" w:firstLine="0"/>
              <w:jc w:val="center"/>
              <w:rPr>
                <w:i/>
                <w:szCs w:val="18"/>
                <w:lang w:val="fr-FR"/>
              </w:rPr>
            </w:pPr>
            <w:r>
              <w:rPr>
                <w:i/>
                <w:szCs w:val="18"/>
                <w:lang w:val="fr-FR"/>
              </w:rPr>
              <w:t>Suivi</w:t>
            </w:r>
          </w:p>
        </w:tc>
      </w:tr>
      <w:tr w:rsidR="003D31FD" w:rsidRPr="004C3167" w:rsidTr="003D31FD">
        <w:tc>
          <w:tcPr>
            <w:tcW w:w="666" w:type="dxa"/>
            <w:tcBorders>
              <w:top w:val="single" w:sz="12" w:space="0" w:color="auto"/>
            </w:tcBorders>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w:t>
            </w:r>
          </w:p>
        </w:tc>
        <w:tc>
          <w:tcPr>
            <w:tcW w:w="6705" w:type="dxa"/>
            <w:tcBorders>
              <w:top w:val="single" w:sz="12" w:space="0" w:color="auto"/>
            </w:tcBorders>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(Président du GRSG) Running order of the 114th session of GRSG (9-13 avril 2018)</w:t>
            </w:r>
          </w:p>
        </w:tc>
        <w:tc>
          <w:tcPr>
            <w:tcW w:w="1134" w:type="dxa"/>
            <w:tcBorders>
              <w:top w:val="single" w:sz="12" w:space="0" w:color="auto"/>
            </w:tcBorders>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(Allemagne) Proposal for Supplement 3 to UN Regulation No. 62 (Protection against unauthorized use (mopeds/motorcycles))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(Pays-Bas) Proposal for amendments to UN Regulation No. 110 (CNG/LNG vehicles) (CNG compressor/accumulator)</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4</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(Pologne) Proposal for amendments to UN Regulation No. 43 (document ECE/TRANS/WP.29/GRSG/2018/7 on safety glazing)</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b)</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5</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(Pologne) UN Regulation No. 107 (Uniform provisions concerning the approval of category M</w:t>
            </w:r>
            <w:r w:rsidRPr="004C3167">
              <w:rPr>
                <w:sz w:val="18"/>
                <w:szCs w:val="18"/>
                <w:vertAlign w:val="subscript"/>
                <w:lang w:val="en-US"/>
              </w:rPr>
              <w:t>2</w:t>
            </w:r>
            <w:r w:rsidRPr="004C3167">
              <w:rPr>
                <w:sz w:val="18"/>
                <w:szCs w:val="18"/>
                <w:lang w:val="en-US"/>
              </w:rPr>
              <w:t xml:space="preserve"> or M</w:t>
            </w:r>
            <w:r w:rsidRPr="004C3167">
              <w:rPr>
                <w:sz w:val="18"/>
                <w:szCs w:val="18"/>
                <w:vertAlign w:val="subscript"/>
                <w:lang w:val="en-US"/>
              </w:rPr>
              <w:t>3</w:t>
            </w:r>
            <w:r w:rsidRPr="004C3167">
              <w:rPr>
                <w:sz w:val="18"/>
                <w:szCs w:val="18"/>
                <w:lang w:val="en-US"/>
              </w:rPr>
              <w:t xml:space="preserve"> vehicles with regard to their general construction)</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d)</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6-Rev.1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(Pays-Bas) Revised proposal for amendments to UN Regulation No. 110 (CNG/LNG vehicles) (new technology to prevent venting)</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c)</w:t>
            </w:r>
          </w:p>
        </w:tc>
      </w:tr>
      <w:tr w:rsidR="003D31FD" w:rsidRPr="002D00C3"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7</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(Italie) Additional elements to support the Italian prop</w:t>
            </w:r>
            <w:r w:rsidR="002D00C3">
              <w:rPr>
                <w:sz w:val="18"/>
                <w:szCs w:val="18"/>
                <w:lang w:val="en-US"/>
              </w:rPr>
              <w:t>osal to amend UN Regulation No. </w:t>
            </w:r>
            <w:r w:rsidRPr="004C3167">
              <w:rPr>
                <w:sz w:val="18"/>
                <w:szCs w:val="18"/>
                <w:lang w:val="en-US"/>
              </w:rPr>
              <w:t>110 (document ECE/TRANS/WP.29/GRSG/2017/29) on the basis of the results of the Italian research on type CNG4 cylinders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8</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(Allemagne) Report on the 1st meeting of the GRSG task force on "Gas-fueled vehicle  regulations"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9-Rev.1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(Allemagne) Adopted Proposal for the 02 series of amendments to UN Regulation No. 67 (LPG vehicles)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10-Rev.1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(Allemagne) Revised proposal for the 03 series of amendments to UN Regulation No. 110 (CNG and LNG vehicles)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(France) Behaviour of M</w:t>
            </w:r>
            <w:r w:rsidRPr="004C3167">
              <w:rPr>
                <w:sz w:val="18"/>
                <w:szCs w:val="18"/>
                <w:vertAlign w:val="subscript"/>
                <w:lang w:val="en-US"/>
              </w:rPr>
              <w:t>2</w:t>
            </w:r>
            <w:r w:rsidRPr="004C3167">
              <w:rPr>
                <w:sz w:val="18"/>
                <w:szCs w:val="18"/>
                <w:lang w:val="en-US"/>
              </w:rPr>
              <w:t xml:space="preserve"> and M</w:t>
            </w:r>
            <w:r w:rsidRPr="004C3167">
              <w:rPr>
                <w:sz w:val="18"/>
                <w:szCs w:val="18"/>
                <w:vertAlign w:val="subscript"/>
                <w:lang w:val="en-US"/>
              </w:rPr>
              <w:t>3</w:t>
            </w:r>
            <w:r w:rsidRPr="004C3167">
              <w:rPr>
                <w:sz w:val="18"/>
                <w:szCs w:val="18"/>
                <w:lang w:val="en-US"/>
              </w:rPr>
              <w:t xml:space="preserve"> general construction in case of Fire Event (BMFE)</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12</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(France) Terms of Reference and Rules of Procedure of the GRSG informal working group on the behaviour of M</w:t>
            </w:r>
            <w:r w:rsidRPr="004C3167">
              <w:rPr>
                <w:sz w:val="18"/>
                <w:szCs w:val="18"/>
                <w:vertAlign w:val="subscript"/>
                <w:lang w:val="en-US"/>
              </w:rPr>
              <w:t>2</w:t>
            </w:r>
            <w:r w:rsidRPr="004C3167">
              <w:rPr>
                <w:sz w:val="18"/>
                <w:szCs w:val="18"/>
                <w:lang w:val="en-US"/>
              </w:rPr>
              <w:t xml:space="preserve"> and M</w:t>
            </w:r>
            <w:r w:rsidRPr="004C3167">
              <w:rPr>
                <w:sz w:val="18"/>
                <w:szCs w:val="18"/>
                <w:vertAlign w:val="subscript"/>
                <w:lang w:val="en-US"/>
              </w:rPr>
              <w:t>3</w:t>
            </w:r>
            <w:r w:rsidRPr="004C3167">
              <w:rPr>
                <w:sz w:val="18"/>
                <w:szCs w:val="18"/>
                <w:lang w:val="en-US"/>
              </w:rPr>
              <w:t xml:space="preserve"> general construction in case of fire event (BMFE)</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b)</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13</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(Secrétariat) General information and highlights of WP.29 at its sessions of November 2017 and March 2018</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14</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(Italie) Specific tests on CNG4 cylinders - Provider 1</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15</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(Italie) Specific tests on CNG4 cylinders - Provider 2</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2D00C3"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16</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 xml:space="preserve">(Italie) Proposal for Supplement 3 to the 07 series of </w:t>
            </w:r>
            <w:r w:rsidR="002D00C3">
              <w:rPr>
                <w:sz w:val="18"/>
                <w:szCs w:val="18"/>
                <w:lang w:val="en-US"/>
              </w:rPr>
              <w:t>amendments to UN Regulation No. </w:t>
            </w:r>
            <w:r w:rsidRPr="004C3167">
              <w:rPr>
                <w:sz w:val="18"/>
                <w:szCs w:val="18"/>
                <w:lang w:val="en-US"/>
              </w:rPr>
              <w:t>107 (M</w:t>
            </w:r>
            <w:r w:rsidRPr="004C3167">
              <w:rPr>
                <w:sz w:val="18"/>
                <w:szCs w:val="18"/>
                <w:vertAlign w:val="subscript"/>
                <w:lang w:val="en-US"/>
              </w:rPr>
              <w:t>2</w:t>
            </w:r>
            <w:r w:rsidRPr="004C3167">
              <w:rPr>
                <w:sz w:val="18"/>
                <w:szCs w:val="18"/>
                <w:lang w:val="en-US"/>
              </w:rPr>
              <w:t xml:space="preserve"> and M</w:t>
            </w:r>
            <w:r w:rsidRPr="004C3167">
              <w:rPr>
                <w:sz w:val="18"/>
                <w:szCs w:val="18"/>
                <w:vertAlign w:val="subscript"/>
                <w:lang w:val="en-US"/>
              </w:rPr>
              <w:t>3</w:t>
            </w:r>
            <w:r w:rsidRPr="004C3167">
              <w:rPr>
                <w:sz w:val="18"/>
                <w:szCs w:val="18"/>
                <w:lang w:val="en-US"/>
              </w:rPr>
              <w:t xml:space="preserve"> vehicles)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d)</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17</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(Fédération de Russie) Proposal for a Corrigendum to UN Regulation No. 121 (Identification of controls, tell-tales and indicators)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18</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(Fédération de Russie) Proposal for Corrigendum to UN Regulation No. 60 (Driver operated controls (mopeds/motorcycles))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19</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(Italie) Proposal for the 03 series of amendments to UN Regulation No. 110 (CNG and LNG vehicles)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20</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(Inde) Comment on ECE/TRANS/WP.29/GRSG/2018/7, Proposal for Supplement 8 to the 01 series of amendments to UN Regulation No. 43 (Safety Glazing)</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(VRU-Proxi) Proposal for a new UN Regulation on uniform provisions concerning the approval of motor vehicles with regard to the Blind Spot Information System</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rPr>
          <w:cantSplit/>
        </w:trPr>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lastRenderedPageBreak/>
              <w:t>22</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(PSG) Progress Report by PSG IWG</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23-Rev.1</w:t>
            </w:r>
          </w:p>
        </w:tc>
        <w:tc>
          <w:tcPr>
            <w:tcW w:w="6705" w:type="dxa"/>
            <w:shd w:val="clear" w:color="auto" w:fill="auto"/>
          </w:tcPr>
          <w:p w:rsidR="003D31FD" w:rsidRPr="004C3167" w:rsidRDefault="003D31FD" w:rsidP="003D31FD">
            <w:pPr>
              <w:keepNext/>
              <w:keepLines/>
              <w:suppressAutoHyphens w:val="0"/>
              <w:spacing w:before="57" w:after="120" w:line="240" w:lineRule="auto"/>
              <w:ind w:left="113"/>
              <w:jc w:val="both"/>
              <w:rPr>
                <w:sz w:val="18"/>
                <w:szCs w:val="18"/>
                <w:lang w:val="en-US"/>
              </w:rPr>
            </w:pPr>
            <w:r w:rsidRPr="004C3167">
              <w:rPr>
                <w:sz w:val="18"/>
                <w:szCs w:val="18"/>
                <w:lang w:val="en-US"/>
              </w:rPr>
              <w:t>(Secrétariat) Proposal for Supplement 8 to the 01 series of amendments to UN Regulation No. 43 (Safety glazing) - ECE/TRANS/WP.29/GRSG/2018/7 as revised by GRSG at its 114th session</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highlight w:val="yellow"/>
                <w:lang w:val="en-US"/>
              </w:rPr>
            </w:pPr>
            <w:r w:rsidRPr="004C3167">
              <w:rPr>
                <w:sz w:val="18"/>
                <w:szCs w:val="18"/>
                <w:lang w:val="en-US"/>
              </w:rPr>
              <w:t>a)</w:t>
            </w:r>
          </w:p>
        </w:tc>
      </w:tr>
      <w:tr w:rsidR="003D31FD" w:rsidRPr="004C3167" w:rsidTr="003D31FD">
        <w:trPr>
          <w:trHeight w:val="176"/>
        </w:trPr>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24-Rev.1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(OICA) Terms of Reference and Rules of Procedure of the GRSG informal working group on the behaviour of M</w:t>
            </w:r>
            <w:r w:rsidRPr="004C3167">
              <w:rPr>
                <w:sz w:val="18"/>
                <w:szCs w:val="18"/>
                <w:vertAlign w:val="subscript"/>
                <w:lang w:val="en-US"/>
              </w:rPr>
              <w:t>2</w:t>
            </w:r>
            <w:r w:rsidRPr="004C3167">
              <w:rPr>
                <w:sz w:val="18"/>
                <w:szCs w:val="18"/>
                <w:lang w:val="en-US"/>
              </w:rPr>
              <w:t xml:space="preserve"> &amp; M</w:t>
            </w:r>
            <w:r w:rsidRPr="004C3167">
              <w:rPr>
                <w:sz w:val="18"/>
                <w:szCs w:val="18"/>
                <w:vertAlign w:val="subscript"/>
                <w:lang w:val="en-US"/>
              </w:rPr>
              <w:t>3</w:t>
            </w:r>
            <w:r w:rsidRPr="004C3167">
              <w:rPr>
                <w:sz w:val="18"/>
                <w:szCs w:val="18"/>
                <w:lang w:val="en-US"/>
              </w:rPr>
              <w:t xml:space="preserve"> general construction in case of fire event (BMFE)</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25-Rev.1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(OICA) UN Regulation No. 46 (Devices for indirect vision) - Revised OICA proposal to correct document ECE/TRANS/WP.29/GRSG/2018/9</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keepNext/>
              <w:keepLines/>
              <w:suppressAutoHyphens w:val="0"/>
              <w:spacing w:before="57" w:after="120" w:line="240" w:lineRule="auto"/>
              <w:jc w:val="both"/>
              <w:rPr>
                <w:sz w:val="18"/>
                <w:szCs w:val="18"/>
                <w:lang w:val="en-US"/>
              </w:rPr>
            </w:pPr>
            <w:r w:rsidRPr="004C3167">
              <w:rPr>
                <w:sz w:val="18"/>
                <w:szCs w:val="18"/>
                <w:lang w:val="en-US"/>
              </w:rPr>
              <w:t>26</w:t>
            </w:r>
          </w:p>
        </w:tc>
        <w:tc>
          <w:tcPr>
            <w:tcW w:w="6705" w:type="dxa"/>
            <w:shd w:val="clear" w:color="auto" w:fill="auto"/>
          </w:tcPr>
          <w:p w:rsidR="003D31FD" w:rsidRPr="004C3167" w:rsidRDefault="003D31FD" w:rsidP="003D31FD">
            <w:pPr>
              <w:keepNext/>
              <w:keepLines/>
              <w:suppressAutoHyphens w:val="0"/>
              <w:spacing w:before="57" w:after="120" w:line="240" w:lineRule="auto"/>
              <w:ind w:left="113"/>
              <w:jc w:val="both"/>
              <w:rPr>
                <w:sz w:val="18"/>
                <w:szCs w:val="18"/>
                <w:lang w:val="en-US"/>
              </w:rPr>
            </w:pPr>
            <w:r w:rsidRPr="004C3167">
              <w:rPr>
                <w:sz w:val="18"/>
                <w:szCs w:val="18"/>
                <w:lang w:val="en-US"/>
              </w:rPr>
              <w:t>(OICA) Proposal for amendments to UN Regulation No. 110 (CNG/LNG vehicles) - visual inspection</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f)</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27</w:t>
            </w:r>
          </w:p>
        </w:tc>
        <w:tc>
          <w:tcPr>
            <w:tcW w:w="6705" w:type="dxa"/>
            <w:shd w:val="clear" w:color="auto" w:fill="auto"/>
          </w:tcPr>
          <w:p w:rsidR="003D31FD" w:rsidRPr="004C3167" w:rsidRDefault="003D31FD" w:rsidP="003D31FD">
            <w:pPr>
              <w:keepNext/>
              <w:keepLines/>
              <w:suppressAutoHyphens w:val="0"/>
              <w:spacing w:before="57" w:after="120" w:line="240" w:lineRule="auto"/>
              <w:ind w:left="113"/>
              <w:jc w:val="both"/>
              <w:rPr>
                <w:sz w:val="18"/>
                <w:szCs w:val="18"/>
                <w:lang w:val="en-US"/>
              </w:rPr>
            </w:pPr>
            <w:r w:rsidRPr="004C3167">
              <w:rPr>
                <w:sz w:val="18"/>
                <w:szCs w:val="18"/>
                <w:lang w:val="en-US"/>
              </w:rPr>
              <w:t>(OICA) Proposal for amendments to UN Regulation No. 110 (CNG and LNG vehicles) - gas flow adjuster</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28</w:t>
            </w:r>
          </w:p>
        </w:tc>
        <w:tc>
          <w:tcPr>
            <w:tcW w:w="6705" w:type="dxa"/>
            <w:shd w:val="clear" w:color="auto" w:fill="auto"/>
          </w:tcPr>
          <w:p w:rsidR="003D31FD" w:rsidRPr="003B241D" w:rsidRDefault="003D31FD" w:rsidP="003D31FD">
            <w:pPr>
              <w:widowControl w:val="0"/>
              <w:suppressAutoHyphens w:val="0"/>
              <w:spacing w:before="57" w:after="120" w:line="240" w:lineRule="auto"/>
              <w:ind w:left="113"/>
              <w:jc w:val="both"/>
              <w:rPr>
                <w:sz w:val="18"/>
                <w:szCs w:val="18"/>
              </w:rPr>
            </w:pPr>
            <w:r w:rsidRPr="003B241D">
              <w:rPr>
                <w:sz w:val="18"/>
                <w:szCs w:val="18"/>
              </w:rPr>
              <w:t>(Représentant pour l’IWVTA) New UN Regulation No. xxx on immobilizers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29</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(OICA) Proposal for amendments to UN Regulation No. 116</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30</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 xml:space="preserve">(OICA) Proposal for Supplement 6 to the original series of amendments to </w:t>
            </w:r>
            <w:r>
              <w:rPr>
                <w:sz w:val="18"/>
                <w:szCs w:val="18"/>
                <w:lang w:val="en-US"/>
              </w:rPr>
              <w:t xml:space="preserve"> UN </w:t>
            </w:r>
            <w:r w:rsidRPr="004C3167">
              <w:rPr>
                <w:sz w:val="18"/>
                <w:szCs w:val="18"/>
                <w:lang w:val="en-US"/>
              </w:rPr>
              <w:t>Regulation No. 116 (Protection of vehicles against unauthorized use)</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c)</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31</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(OICA) Proposal for Supplement 1 to 06 series of amendment of UN Regulation No. 105</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a)</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32</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(Italie) Proposal for amendments to Regulation No. 110 (CNG and LNG vehicles) - CNG4 cylinders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e)</w:t>
            </w:r>
          </w:p>
        </w:tc>
      </w:tr>
      <w:tr w:rsidR="003D31FD" w:rsidRPr="004C3167" w:rsidTr="003D31FD">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33</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(Pologne) Proposal for an amendment to the Communication forms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h)</w:t>
            </w:r>
          </w:p>
        </w:tc>
      </w:tr>
      <w:tr w:rsidR="003D31FD" w:rsidRPr="004C3167" w:rsidTr="00F73467">
        <w:tc>
          <w:tcPr>
            <w:tcW w:w="666" w:type="dxa"/>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34</w:t>
            </w:r>
          </w:p>
        </w:tc>
        <w:tc>
          <w:tcPr>
            <w:tcW w:w="6705" w:type="dxa"/>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(IRU) eCall for Heavy Goods Vehicles</w:t>
            </w:r>
          </w:p>
        </w:tc>
        <w:tc>
          <w:tcPr>
            <w:tcW w:w="1134" w:type="dxa"/>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f)</w:t>
            </w:r>
          </w:p>
        </w:tc>
      </w:tr>
      <w:tr w:rsidR="003D31FD" w:rsidRPr="004C3167" w:rsidTr="00F73467">
        <w:tc>
          <w:tcPr>
            <w:tcW w:w="666" w:type="dxa"/>
            <w:tcBorders>
              <w:bottom w:val="single" w:sz="4" w:space="0" w:color="auto"/>
            </w:tcBorders>
            <w:shd w:val="clear" w:color="auto" w:fill="auto"/>
          </w:tcPr>
          <w:p w:rsidR="003D31FD" w:rsidRPr="004C3167" w:rsidRDefault="003D31FD" w:rsidP="003D31FD">
            <w:pPr>
              <w:widowControl w:val="0"/>
              <w:suppressAutoHyphens w:val="0"/>
              <w:spacing w:before="57" w:after="120" w:line="240" w:lineRule="auto"/>
              <w:jc w:val="both"/>
              <w:rPr>
                <w:sz w:val="18"/>
                <w:szCs w:val="18"/>
                <w:lang w:val="en-US"/>
              </w:rPr>
            </w:pPr>
            <w:r w:rsidRPr="004C3167">
              <w:rPr>
                <w:sz w:val="18"/>
                <w:szCs w:val="18"/>
                <w:lang w:val="en-US"/>
              </w:rPr>
              <w:t>35</w:t>
            </w:r>
          </w:p>
        </w:tc>
        <w:tc>
          <w:tcPr>
            <w:tcW w:w="6705" w:type="dxa"/>
            <w:tcBorders>
              <w:bottom w:val="single" w:sz="4" w:space="0" w:color="auto"/>
            </w:tcBorders>
            <w:shd w:val="clear" w:color="auto" w:fill="auto"/>
          </w:tcPr>
          <w:p w:rsidR="003D31FD" w:rsidRPr="004C3167" w:rsidRDefault="003D31FD" w:rsidP="003D31FD">
            <w:pPr>
              <w:widowControl w:val="0"/>
              <w:suppressAutoHyphens w:val="0"/>
              <w:spacing w:before="57" w:after="120" w:line="240" w:lineRule="auto"/>
              <w:ind w:left="113"/>
              <w:jc w:val="both"/>
              <w:rPr>
                <w:sz w:val="18"/>
                <w:szCs w:val="18"/>
                <w:lang w:val="en-US"/>
              </w:rPr>
            </w:pPr>
            <w:r w:rsidRPr="004C3167">
              <w:rPr>
                <w:sz w:val="18"/>
                <w:szCs w:val="18"/>
                <w:lang w:val="en-US"/>
              </w:rPr>
              <w:t>(OICA) Proposal for amendments to UN Regulation No. [144] (document ECE-TRANS-WP29-2017-132 on Accident Emergency Call Systems)</w:t>
            </w:r>
          </w:p>
        </w:tc>
        <w:tc>
          <w:tcPr>
            <w:tcW w:w="1134" w:type="dxa"/>
            <w:tcBorders>
              <w:bottom w:val="single" w:sz="4" w:space="0" w:color="auto"/>
            </w:tcBorders>
            <w:shd w:val="clear" w:color="auto" w:fill="auto"/>
          </w:tcPr>
          <w:p w:rsidR="003D31FD" w:rsidRPr="004C3167" w:rsidRDefault="003D31FD" w:rsidP="00F73467">
            <w:pPr>
              <w:widowControl w:val="0"/>
              <w:suppressAutoHyphens w:val="0"/>
              <w:spacing w:before="57" w:after="120" w:line="240" w:lineRule="auto"/>
              <w:jc w:val="center"/>
              <w:rPr>
                <w:sz w:val="18"/>
                <w:szCs w:val="18"/>
                <w:lang w:val="en-US"/>
              </w:rPr>
            </w:pPr>
            <w:r w:rsidRPr="004C3167">
              <w:rPr>
                <w:sz w:val="18"/>
                <w:szCs w:val="18"/>
                <w:lang w:val="en-US"/>
              </w:rPr>
              <w:t>e)</w:t>
            </w:r>
          </w:p>
        </w:tc>
      </w:tr>
    </w:tbl>
    <w:p w:rsidR="003D31FD" w:rsidRPr="004C3167" w:rsidRDefault="003D31FD" w:rsidP="00F73467">
      <w:pPr>
        <w:pStyle w:val="H1G"/>
        <w:rPr>
          <w:lang w:val="fr-FR"/>
        </w:rPr>
      </w:pPr>
      <w:r w:rsidRPr="003B241D">
        <w:tab/>
      </w:r>
      <w:r w:rsidRPr="003B241D">
        <w:tab/>
      </w:r>
      <w:r w:rsidRPr="004C3167">
        <w:rPr>
          <w:lang w:val="fr-FR"/>
        </w:rPr>
        <w:t>Liste des documents informels distribués lors de sessions précédentes du GRSG</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3D31FD" w:rsidRPr="004C3167" w:rsidTr="003D31FD">
        <w:trPr>
          <w:tblHeader/>
        </w:trPr>
        <w:tc>
          <w:tcPr>
            <w:tcW w:w="1843" w:type="dxa"/>
            <w:tcBorders>
              <w:top w:val="single" w:sz="4" w:space="0" w:color="auto"/>
              <w:bottom w:val="single" w:sz="12" w:space="0" w:color="auto"/>
            </w:tcBorders>
            <w:shd w:val="clear" w:color="auto" w:fill="auto"/>
          </w:tcPr>
          <w:p w:rsidR="003D31FD" w:rsidRPr="004C3167" w:rsidRDefault="003D31FD" w:rsidP="00F73467">
            <w:pPr>
              <w:spacing w:before="80" w:after="80" w:line="240" w:lineRule="auto"/>
              <w:jc w:val="both"/>
              <w:rPr>
                <w:i/>
                <w:sz w:val="18"/>
                <w:lang w:val="fr-FR"/>
              </w:rPr>
            </w:pPr>
            <w:r w:rsidRPr="004C3167">
              <w:rPr>
                <w:i/>
                <w:sz w:val="18"/>
                <w:lang w:val="fr-FR"/>
              </w:rPr>
              <w:t>No</w:t>
            </w:r>
          </w:p>
        </w:tc>
        <w:tc>
          <w:tcPr>
            <w:tcW w:w="5528" w:type="dxa"/>
            <w:tcBorders>
              <w:top w:val="single" w:sz="4" w:space="0" w:color="auto"/>
              <w:bottom w:val="single" w:sz="12" w:space="0" w:color="auto"/>
            </w:tcBorders>
            <w:shd w:val="clear" w:color="auto" w:fill="auto"/>
          </w:tcPr>
          <w:p w:rsidR="003D31FD" w:rsidRPr="004C3167" w:rsidRDefault="003D31FD" w:rsidP="00F73467">
            <w:pPr>
              <w:tabs>
                <w:tab w:val="right" w:pos="1021"/>
              </w:tabs>
              <w:spacing w:before="80" w:after="80" w:line="240" w:lineRule="auto"/>
              <w:ind w:left="113" w:right="34"/>
              <w:jc w:val="both"/>
              <w:rPr>
                <w:i/>
                <w:sz w:val="18"/>
                <w:lang w:val="fr-FR"/>
              </w:rPr>
            </w:pPr>
            <w:r w:rsidRPr="004C3167">
              <w:rPr>
                <w:i/>
                <w:sz w:val="18"/>
                <w:lang w:val="fr-FR"/>
              </w:rPr>
              <w:t>(Auteur) Titre</w:t>
            </w:r>
          </w:p>
        </w:tc>
        <w:tc>
          <w:tcPr>
            <w:tcW w:w="1134" w:type="dxa"/>
            <w:tcBorders>
              <w:top w:val="single" w:sz="4" w:space="0" w:color="auto"/>
              <w:bottom w:val="single" w:sz="12" w:space="0" w:color="auto"/>
            </w:tcBorders>
            <w:shd w:val="clear" w:color="auto" w:fill="auto"/>
          </w:tcPr>
          <w:p w:rsidR="003D31FD" w:rsidRPr="004C3167" w:rsidRDefault="003D31FD" w:rsidP="00F73467">
            <w:pPr>
              <w:spacing w:before="80" w:after="80" w:line="240" w:lineRule="auto"/>
              <w:jc w:val="center"/>
              <w:rPr>
                <w:i/>
                <w:sz w:val="18"/>
                <w:lang w:val="fr-FR"/>
              </w:rPr>
            </w:pPr>
            <w:r w:rsidRPr="004C3167">
              <w:rPr>
                <w:i/>
                <w:sz w:val="18"/>
                <w:lang w:val="fr-FR"/>
              </w:rPr>
              <w:t>Suivi</w:t>
            </w:r>
          </w:p>
        </w:tc>
      </w:tr>
      <w:tr w:rsidR="003D31FD" w:rsidRPr="004C3167" w:rsidTr="003D31FD">
        <w:tc>
          <w:tcPr>
            <w:tcW w:w="1843" w:type="dxa"/>
            <w:shd w:val="clear" w:color="auto" w:fill="auto"/>
          </w:tcPr>
          <w:p w:rsidR="003D31FD" w:rsidRPr="004C3167" w:rsidRDefault="003D31FD" w:rsidP="003D31FD">
            <w:pPr>
              <w:suppressAutoHyphens w:val="0"/>
              <w:spacing w:before="57" w:after="120" w:line="240" w:lineRule="auto"/>
              <w:jc w:val="both"/>
              <w:rPr>
                <w:sz w:val="18"/>
                <w:lang w:val="fr-FR"/>
              </w:rPr>
            </w:pPr>
            <w:r w:rsidRPr="004C3167">
              <w:rPr>
                <w:sz w:val="18"/>
                <w:lang w:val="fr-FR"/>
              </w:rPr>
              <w:t>GRSG-113-11-Rev.1</w:t>
            </w:r>
          </w:p>
        </w:tc>
        <w:tc>
          <w:tcPr>
            <w:tcW w:w="5528" w:type="dxa"/>
            <w:shd w:val="clear" w:color="auto" w:fill="auto"/>
          </w:tcPr>
          <w:p w:rsidR="003D31FD" w:rsidRPr="004C3167" w:rsidRDefault="003D31FD" w:rsidP="003D31FD">
            <w:pPr>
              <w:suppressAutoHyphens w:val="0"/>
              <w:spacing w:before="57" w:after="120" w:line="240" w:lineRule="auto"/>
              <w:ind w:left="113"/>
              <w:jc w:val="both"/>
              <w:rPr>
                <w:sz w:val="18"/>
                <w:highlight w:val="yellow"/>
                <w:lang w:val="fr-FR"/>
              </w:rPr>
            </w:pPr>
            <w:r w:rsidRPr="004C3167">
              <w:rPr>
                <w:sz w:val="18"/>
                <w:lang w:val="fr-FR"/>
              </w:rPr>
              <w:t>(France) Lateral Protection Devices (UN Regulation No. 73)</w:t>
            </w:r>
          </w:p>
        </w:tc>
        <w:tc>
          <w:tcPr>
            <w:tcW w:w="1134" w:type="dxa"/>
            <w:shd w:val="clear" w:color="auto" w:fill="auto"/>
          </w:tcPr>
          <w:p w:rsidR="003D31FD" w:rsidRPr="004C3167" w:rsidRDefault="003D31FD" w:rsidP="00F73467">
            <w:pPr>
              <w:suppressAutoHyphens w:val="0"/>
              <w:spacing w:before="57" w:after="120" w:line="240" w:lineRule="auto"/>
              <w:jc w:val="center"/>
              <w:rPr>
                <w:sz w:val="18"/>
                <w:lang w:val="fr-FR"/>
              </w:rPr>
            </w:pPr>
            <w:r w:rsidRPr="004C3167">
              <w:rPr>
                <w:sz w:val="18"/>
                <w:lang w:val="fr-FR"/>
              </w:rPr>
              <w:t>d)</w:t>
            </w:r>
          </w:p>
        </w:tc>
      </w:tr>
      <w:tr w:rsidR="003D31FD" w:rsidRPr="004C3167" w:rsidTr="003D31FD">
        <w:tc>
          <w:tcPr>
            <w:tcW w:w="1843" w:type="dxa"/>
            <w:shd w:val="clear" w:color="auto" w:fill="auto"/>
          </w:tcPr>
          <w:p w:rsidR="003D31FD" w:rsidRPr="004C3167" w:rsidRDefault="003D31FD" w:rsidP="003D31FD">
            <w:pPr>
              <w:suppressAutoHyphens w:val="0"/>
              <w:spacing w:before="57" w:after="120" w:line="240" w:lineRule="auto"/>
              <w:jc w:val="both"/>
              <w:rPr>
                <w:sz w:val="18"/>
                <w:lang w:val="fr-FR"/>
              </w:rPr>
            </w:pPr>
            <w:r w:rsidRPr="004C3167">
              <w:rPr>
                <w:sz w:val="18"/>
                <w:lang w:val="fr-FR"/>
              </w:rPr>
              <w:t>GRSG-113-24</w:t>
            </w:r>
          </w:p>
        </w:tc>
        <w:tc>
          <w:tcPr>
            <w:tcW w:w="5528" w:type="dxa"/>
            <w:shd w:val="clear" w:color="auto" w:fill="auto"/>
          </w:tcPr>
          <w:p w:rsidR="003D31FD" w:rsidRPr="003B241D" w:rsidRDefault="003D31FD" w:rsidP="003D31FD">
            <w:pPr>
              <w:suppressAutoHyphens w:val="0"/>
              <w:spacing w:before="57" w:after="120" w:line="240" w:lineRule="auto"/>
              <w:ind w:left="113"/>
              <w:jc w:val="both"/>
              <w:rPr>
                <w:sz w:val="18"/>
                <w:lang w:val="en-US"/>
              </w:rPr>
            </w:pPr>
            <w:r w:rsidRPr="003B241D">
              <w:rPr>
                <w:sz w:val="18"/>
                <w:lang w:val="en-US"/>
              </w:rPr>
              <w:t>(Pays-Bas) Proposal for amendments to Regulation No. 110 (CNG/LNG vehicles) - CNG accumulator</w:t>
            </w:r>
          </w:p>
        </w:tc>
        <w:tc>
          <w:tcPr>
            <w:tcW w:w="1134" w:type="dxa"/>
            <w:shd w:val="clear" w:color="auto" w:fill="auto"/>
          </w:tcPr>
          <w:p w:rsidR="003D31FD" w:rsidRPr="004C3167" w:rsidRDefault="003D31FD" w:rsidP="00F73467">
            <w:pPr>
              <w:suppressAutoHyphens w:val="0"/>
              <w:spacing w:before="57" w:after="120" w:line="240" w:lineRule="auto"/>
              <w:jc w:val="center"/>
              <w:rPr>
                <w:sz w:val="18"/>
                <w:lang w:val="fr-FR"/>
              </w:rPr>
            </w:pPr>
            <w:r w:rsidRPr="004C3167">
              <w:rPr>
                <w:sz w:val="18"/>
                <w:lang w:val="fr-FR"/>
              </w:rPr>
              <w:t>f)</w:t>
            </w:r>
          </w:p>
        </w:tc>
      </w:tr>
      <w:tr w:rsidR="003D31FD" w:rsidRPr="004C3167" w:rsidTr="003D31FD">
        <w:tc>
          <w:tcPr>
            <w:tcW w:w="1843" w:type="dxa"/>
            <w:shd w:val="clear" w:color="auto" w:fill="auto"/>
          </w:tcPr>
          <w:p w:rsidR="003D31FD" w:rsidRPr="004C3167" w:rsidRDefault="003D31FD" w:rsidP="003D31FD">
            <w:pPr>
              <w:suppressAutoHyphens w:val="0"/>
              <w:spacing w:before="57" w:after="120" w:line="240" w:lineRule="auto"/>
              <w:jc w:val="both"/>
              <w:rPr>
                <w:sz w:val="18"/>
                <w:lang w:val="fr-FR"/>
              </w:rPr>
            </w:pPr>
            <w:r w:rsidRPr="004C3167">
              <w:rPr>
                <w:sz w:val="18"/>
                <w:lang w:val="fr-FR"/>
              </w:rPr>
              <w:t>GRSG-113-25</w:t>
            </w:r>
          </w:p>
        </w:tc>
        <w:tc>
          <w:tcPr>
            <w:tcW w:w="5528" w:type="dxa"/>
            <w:shd w:val="clear" w:color="auto" w:fill="auto"/>
          </w:tcPr>
          <w:p w:rsidR="003D31FD" w:rsidRPr="003B241D" w:rsidRDefault="003D31FD" w:rsidP="003D31FD">
            <w:pPr>
              <w:suppressAutoHyphens w:val="0"/>
              <w:spacing w:before="57" w:after="120" w:line="240" w:lineRule="auto"/>
              <w:ind w:left="113"/>
              <w:jc w:val="both"/>
              <w:rPr>
                <w:sz w:val="18"/>
                <w:lang w:val="en-US"/>
              </w:rPr>
            </w:pPr>
            <w:r w:rsidRPr="003B241D">
              <w:rPr>
                <w:sz w:val="18"/>
                <w:szCs w:val="18"/>
                <w:lang w:val="en-US"/>
              </w:rPr>
              <w:t>(Pays-Bas) Proposal for amendments to Regulation No. 110 (CNG/LNG vehicles) - CNG compressor</w:t>
            </w:r>
          </w:p>
        </w:tc>
        <w:tc>
          <w:tcPr>
            <w:tcW w:w="1134" w:type="dxa"/>
            <w:shd w:val="clear" w:color="auto" w:fill="auto"/>
          </w:tcPr>
          <w:p w:rsidR="003D31FD" w:rsidRPr="004C3167" w:rsidRDefault="003D31FD" w:rsidP="00F73467">
            <w:pPr>
              <w:suppressAutoHyphens w:val="0"/>
              <w:spacing w:before="57" w:after="120" w:line="240" w:lineRule="auto"/>
              <w:jc w:val="center"/>
              <w:rPr>
                <w:sz w:val="18"/>
                <w:lang w:val="fr-FR"/>
              </w:rPr>
            </w:pPr>
            <w:r w:rsidRPr="004C3167">
              <w:rPr>
                <w:sz w:val="18"/>
                <w:lang w:val="fr-FR"/>
              </w:rPr>
              <w:t>f)</w:t>
            </w:r>
          </w:p>
        </w:tc>
      </w:tr>
      <w:tr w:rsidR="003D31FD" w:rsidRPr="004C3167" w:rsidTr="003D31FD">
        <w:tc>
          <w:tcPr>
            <w:tcW w:w="1843" w:type="dxa"/>
            <w:shd w:val="clear" w:color="auto" w:fill="auto"/>
          </w:tcPr>
          <w:p w:rsidR="003D31FD" w:rsidRPr="004C3167" w:rsidRDefault="003D31FD" w:rsidP="003D31FD">
            <w:pPr>
              <w:suppressAutoHyphens w:val="0"/>
              <w:spacing w:before="57" w:after="120" w:line="240" w:lineRule="auto"/>
              <w:jc w:val="both"/>
              <w:rPr>
                <w:sz w:val="18"/>
                <w:lang w:val="fr-FR"/>
              </w:rPr>
            </w:pPr>
            <w:r w:rsidRPr="004C3167">
              <w:rPr>
                <w:sz w:val="18"/>
                <w:lang w:val="fr-FR"/>
              </w:rPr>
              <w:t>GRSG-113-26</w:t>
            </w:r>
          </w:p>
        </w:tc>
        <w:tc>
          <w:tcPr>
            <w:tcW w:w="5528" w:type="dxa"/>
            <w:shd w:val="clear" w:color="auto" w:fill="auto"/>
          </w:tcPr>
          <w:p w:rsidR="003D31FD" w:rsidRPr="003B241D" w:rsidRDefault="003D31FD" w:rsidP="003D31FD">
            <w:pPr>
              <w:suppressAutoHyphens w:val="0"/>
              <w:spacing w:before="57" w:after="120" w:line="240" w:lineRule="auto"/>
              <w:ind w:left="113"/>
              <w:jc w:val="both"/>
              <w:rPr>
                <w:sz w:val="18"/>
                <w:szCs w:val="18"/>
                <w:lang w:val="en-US"/>
              </w:rPr>
            </w:pPr>
            <w:r w:rsidRPr="003B241D">
              <w:rPr>
                <w:sz w:val="18"/>
                <w:szCs w:val="18"/>
                <w:lang w:val="en-US"/>
              </w:rPr>
              <w:t>(Pays-Bas) Proposal for amendments to Regulation No. 110 (CNG/LNG vehicles) - Annex 5 references</w:t>
            </w:r>
          </w:p>
        </w:tc>
        <w:tc>
          <w:tcPr>
            <w:tcW w:w="1134" w:type="dxa"/>
            <w:shd w:val="clear" w:color="auto" w:fill="auto"/>
          </w:tcPr>
          <w:p w:rsidR="003D31FD" w:rsidRPr="004C3167" w:rsidRDefault="003D31FD" w:rsidP="00F73467">
            <w:pPr>
              <w:suppressAutoHyphens w:val="0"/>
              <w:spacing w:before="57" w:after="120" w:line="240" w:lineRule="auto"/>
              <w:jc w:val="center"/>
              <w:rPr>
                <w:sz w:val="18"/>
                <w:lang w:val="fr-FR"/>
              </w:rPr>
            </w:pPr>
            <w:r w:rsidRPr="004C3167">
              <w:rPr>
                <w:sz w:val="18"/>
                <w:lang w:val="fr-FR"/>
              </w:rPr>
              <w:t>f)</w:t>
            </w:r>
          </w:p>
        </w:tc>
      </w:tr>
      <w:tr w:rsidR="003D31FD" w:rsidRPr="004C3167" w:rsidTr="003D31FD">
        <w:tc>
          <w:tcPr>
            <w:tcW w:w="1843" w:type="dxa"/>
            <w:tcBorders>
              <w:bottom w:val="single" w:sz="4" w:space="0" w:color="auto"/>
            </w:tcBorders>
            <w:shd w:val="clear" w:color="auto" w:fill="auto"/>
          </w:tcPr>
          <w:p w:rsidR="003D31FD" w:rsidRPr="004C3167" w:rsidRDefault="003D31FD" w:rsidP="003D31FD">
            <w:pPr>
              <w:suppressAutoHyphens w:val="0"/>
              <w:spacing w:before="57" w:after="120" w:line="240" w:lineRule="auto"/>
              <w:jc w:val="both"/>
              <w:rPr>
                <w:sz w:val="18"/>
                <w:lang w:val="fr-FR"/>
              </w:rPr>
            </w:pPr>
            <w:r w:rsidRPr="004C3167">
              <w:rPr>
                <w:sz w:val="18"/>
                <w:lang w:val="fr-FR"/>
              </w:rPr>
              <w:t>GRSG-113-27</w:t>
            </w:r>
          </w:p>
        </w:tc>
        <w:tc>
          <w:tcPr>
            <w:tcW w:w="5528" w:type="dxa"/>
            <w:tcBorders>
              <w:bottom w:val="single" w:sz="4" w:space="0" w:color="auto"/>
            </w:tcBorders>
            <w:shd w:val="clear" w:color="auto" w:fill="auto"/>
          </w:tcPr>
          <w:p w:rsidR="003D31FD" w:rsidRPr="004C3167" w:rsidRDefault="003D31FD" w:rsidP="003D31FD">
            <w:pPr>
              <w:suppressAutoHyphens w:val="0"/>
              <w:spacing w:before="57" w:after="120" w:line="240" w:lineRule="auto"/>
              <w:ind w:left="113"/>
              <w:jc w:val="both"/>
              <w:rPr>
                <w:sz w:val="18"/>
                <w:szCs w:val="18"/>
                <w:lang w:val="fr-FR"/>
              </w:rPr>
            </w:pPr>
            <w:r w:rsidRPr="004C3167">
              <w:rPr>
                <w:sz w:val="18"/>
                <w:szCs w:val="18"/>
                <w:lang w:val="fr-FR"/>
              </w:rPr>
              <w:t>(OICA) VRU-Proxi matrix of accident data collection</w:t>
            </w:r>
          </w:p>
        </w:tc>
        <w:tc>
          <w:tcPr>
            <w:tcW w:w="1134" w:type="dxa"/>
            <w:tcBorders>
              <w:bottom w:val="single" w:sz="4" w:space="0" w:color="auto"/>
            </w:tcBorders>
            <w:shd w:val="clear" w:color="auto" w:fill="auto"/>
          </w:tcPr>
          <w:p w:rsidR="003D31FD" w:rsidRPr="004C3167" w:rsidRDefault="003D31FD" w:rsidP="00F73467">
            <w:pPr>
              <w:suppressAutoHyphens w:val="0"/>
              <w:spacing w:before="57" w:after="120" w:line="240" w:lineRule="auto"/>
              <w:jc w:val="center"/>
              <w:rPr>
                <w:sz w:val="18"/>
                <w:lang w:val="fr-FR"/>
              </w:rPr>
            </w:pPr>
            <w:r w:rsidRPr="004C3167">
              <w:rPr>
                <w:sz w:val="18"/>
                <w:lang w:val="fr-FR"/>
              </w:rPr>
              <w:t>g)</w:t>
            </w:r>
          </w:p>
        </w:tc>
      </w:tr>
    </w:tbl>
    <w:p w:rsidR="003D31FD" w:rsidRPr="00F73467" w:rsidRDefault="00F73467" w:rsidP="00F73467">
      <w:pPr>
        <w:pStyle w:val="H1G"/>
        <w:spacing w:before="120" w:after="0" w:line="240" w:lineRule="auto"/>
        <w:ind w:firstLine="170"/>
        <w:jc w:val="both"/>
        <w:rPr>
          <w:b w:val="0"/>
          <w:i/>
          <w:sz w:val="18"/>
          <w:szCs w:val="18"/>
          <w:lang w:val="fr-FR"/>
        </w:rPr>
      </w:pPr>
      <w:r>
        <w:rPr>
          <w:b w:val="0"/>
          <w:i/>
          <w:sz w:val="18"/>
          <w:szCs w:val="18"/>
          <w:lang w:val="fr-FR"/>
        </w:rPr>
        <w:t>Notes </w:t>
      </w:r>
      <w:r w:rsidR="003D31FD" w:rsidRPr="00F73467">
        <w:rPr>
          <w:b w:val="0"/>
          <w:sz w:val="18"/>
          <w:szCs w:val="18"/>
          <w:lang w:val="fr-FR"/>
        </w:rPr>
        <w:t>:</w:t>
      </w:r>
    </w:p>
    <w:p w:rsidR="003D31FD" w:rsidRPr="00F73467" w:rsidRDefault="003D31FD" w:rsidP="00F73467">
      <w:pPr>
        <w:pStyle w:val="SingleTxtG"/>
        <w:spacing w:after="0" w:line="240" w:lineRule="auto"/>
        <w:ind w:firstLine="170"/>
        <w:rPr>
          <w:sz w:val="18"/>
          <w:szCs w:val="18"/>
          <w:lang w:val="fr-FR"/>
        </w:rPr>
      </w:pPr>
      <w:r w:rsidRPr="00F73467">
        <w:rPr>
          <w:sz w:val="18"/>
          <w:szCs w:val="18"/>
          <w:lang w:val="fr-FR"/>
        </w:rPr>
        <w:t>a)</w:t>
      </w:r>
      <w:r w:rsidRPr="00F73467">
        <w:rPr>
          <w:sz w:val="18"/>
          <w:szCs w:val="18"/>
          <w:lang w:val="fr-FR"/>
        </w:rPr>
        <w:tab/>
        <w:t>Document adopté sans modification et transmis au WP.29 pour examen.</w:t>
      </w:r>
    </w:p>
    <w:p w:rsidR="003D31FD" w:rsidRPr="00F73467" w:rsidRDefault="003D31FD" w:rsidP="00F73467">
      <w:pPr>
        <w:pStyle w:val="SingleTxtG"/>
        <w:spacing w:after="0" w:line="240" w:lineRule="auto"/>
        <w:ind w:firstLine="170"/>
        <w:rPr>
          <w:sz w:val="18"/>
          <w:szCs w:val="18"/>
          <w:lang w:val="fr-FR"/>
        </w:rPr>
      </w:pPr>
      <w:r w:rsidRPr="00F73467">
        <w:rPr>
          <w:sz w:val="18"/>
          <w:szCs w:val="18"/>
          <w:lang w:val="fr-FR"/>
        </w:rPr>
        <w:t>b)</w:t>
      </w:r>
      <w:r w:rsidRPr="00F73467">
        <w:rPr>
          <w:sz w:val="18"/>
          <w:szCs w:val="18"/>
          <w:lang w:val="fr-FR"/>
        </w:rPr>
        <w:tab/>
        <w:t>Document adopté avec des modifications et transmis au WP.29 pour examen.</w:t>
      </w:r>
    </w:p>
    <w:p w:rsidR="003D31FD" w:rsidRPr="00F73467" w:rsidRDefault="003D31FD" w:rsidP="00F73467">
      <w:pPr>
        <w:pStyle w:val="SingleTxtG"/>
        <w:spacing w:after="0" w:line="240" w:lineRule="auto"/>
        <w:ind w:firstLine="170"/>
        <w:rPr>
          <w:sz w:val="18"/>
          <w:szCs w:val="18"/>
          <w:lang w:val="fr-FR"/>
        </w:rPr>
      </w:pPr>
      <w:r w:rsidRPr="00F73467">
        <w:rPr>
          <w:sz w:val="18"/>
          <w:szCs w:val="18"/>
          <w:lang w:val="fr-FR"/>
        </w:rPr>
        <w:t>c)</w:t>
      </w:r>
      <w:r w:rsidRPr="00F73467">
        <w:rPr>
          <w:sz w:val="18"/>
          <w:szCs w:val="18"/>
          <w:lang w:val="fr-FR"/>
        </w:rPr>
        <w:tab/>
        <w:t>Document dont l’examen doit être repris sous une cote officielle.</w:t>
      </w:r>
    </w:p>
    <w:p w:rsidR="003D31FD" w:rsidRPr="00F73467" w:rsidRDefault="003D31FD" w:rsidP="00F73467">
      <w:pPr>
        <w:pStyle w:val="SingleTxtG"/>
        <w:widowControl w:val="0"/>
        <w:spacing w:after="0" w:line="240" w:lineRule="auto"/>
        <w:ind w:firstLine="170"/>
        <w:rPr>
          <w:sz w:val="18"/>
          <w:szCs w:val="18"/>
          <w:lang w:val="fr-FR"/>
        </w:rPr>
      </w:pPr>
      <w:r w:rsidRPr="00F73467">
        <w:rPr>
          <w:sz w:val="18"/>
          <w:szCs w:val="18"/>
          <w:lang w:val="fr-FR"/>
        </w:rPr>
        <w:t>d)</w:t>
      </w:r>
      <w:r w:rsidRPr="00F73467">
        <w:rPr>
          <w:sz w:val="18"/>
          <w:szCs w:val="18"/>
          <w:lang w:val="fr-FR"/>
        </w:rPr>
        <w:tab/>
        <w:t>Document conservé à titre de référence ou dont l’examen doit se poursuivre.</w:t>
      </w:r>
    </w:p>
    <w:p w:rsidR="003D31FD" w:rsidRPr="00F73467" w:rsidRDefault="003D31FD" w:rsidP="00F73467">
      <w:pPr>
        <w:pStyle w:val="SingleTxtG"/>
        <w:widowControl w:val="0"/>
        <w:spacing w:after="0" w:line="240" w:lineRule="auto"/>
        <w:ind w:firstLine="170"/>
        <w:rPr>
          <w:sz w:val="18"/>
          <w:szCs w:val="18"/>
          <w:lang w:val="fr-FR"/>
        </w:rPr>
      </w:pPr>
      <w:r w:rsidRPr="00F73467">
        <w:rPr>
          <w:sz w:val="18"/>
          <w:szCs w:val="18"/>
          <w:lang w:val="fr-FR"/>
        </w:rPr>
        <w:t>e)</w:t>
      </w:r>
      <w:r w:rsidRPr="00F73467">
        <w:rPr>
          <w:sz w:val="18"/>
          <w:szCs w:val="18"/>
          <w:lang w:val="fr-FR"/>
        </w:rPr>
        <w:tab/>
        <w:t>Proposition révisée pour examen à la session suivante.</w:t>
      </w:r>
    </w:p>
    <w:p w:rsidR="003D31FD" w:rsidRPr="00F73467" w:rsidRDefault="003D31FD" w:rsidP="00F73467">
      <w:pPr>
        <w:pStyle w:val="SingleTxtG"/>
        <w:widowControl w:val="0"/>
        <w:spacing w:after="0" w:line="240" w:lineRule="auto"/>
        <w:ind w:firstLine="170"/>
        <w:rPr>
          <w:sz w:val="18"/>
          <w:szCs w:val="18"/>
          <w:lang w:val="fr-FR"/>
        </w:rPr>
      </w:pPr>
      <w:r w:rsidRPr="00F73467">
        <w:rPr>
          <w:sz w:val="18"/>
          <w:szCs w:val="18"/>
          <w:lang w:val="fr-FR"/>
        </w:rPr>
        <w:t>f)</w:t>
      </w:r>
      <w:r w:rsidRPr="00F73467">
        <w:rPr>
          <w:sz w:val="18"/>
          <w:szCs w:val="18"/>
          <w:lang w:val="fr-FR"/>
        </w:rPr>
        <w:tab/>
        <w:t>Document dont l’examen est achevé ou qui doit être remplacé.</w:t>
      </w:r>
    </w:p>
    <w:p w:rsidR="003D31FD" w:rsidRPr="00F73467" w:rsidRDefault="003D31FD" w:rsidP="00F73467">
      <w:pPr>
        <w:pStyle w:val="SingleTxtG"/>
        <w:widowControl w:val="0"/>
        <w:spacing w:after="0" w:line="240" w:lineRule="auto"/>
        <w:ind w:firstLine="170"/>
        <w:rPr>
          <w:sz w:val="18"/>
          <w:szCs w:val="18"/>
          <w:lang w:val="fr-FR"/>
        </w:rPr>
      </w:pPr>
      <w:r w:rsidRPr="00F73467">
        <w:rPr>
          <w:sz w:val="18"/>
          <w:szCs w:val="18"/>
          <w:lang w:val="fr-FR"/>
        </w:rPr>
        <w:t>g)</w:t>
      </w:r>
      <w:r w:rsidRPr="00F73467">
        <w:rPr>
          <w:sz w:val="18"/>
          <w:szCs w:val="18"/>
          <w:lang w:val="fr-FR"/>
        </w:rPr>
        <w:tab/>
        <w:t>Document distribué à tous les experts gouvernementaux pour être rempli.</w:t>
      </w:r>
    </w:p>
    <w:p w:rsidR="003D31FD" w:rsidRDefault="003D31FD" w:rsidP="00F73467">
      <w:pPr>
        <w:pStyle w:val="SingleTxtG"/>
        <w:spacing w:line="240" w:lineRule="auto"/>
        <w:ind w:firstLine="170"/>
        <w:rPr>
          <w:sz w:val="18"/>
          <w:szCs w:val="18"/>
          <w:lang w:val="fr-FR"/>
        </w:rPr>
      </w:pPr>
      <w:r w:rsidRPr="00F73467">
        <w:rPr>
          <w:sz w:val="18"/>
          <w:szCs w:val="18"/>
          <w:lang w:val="fr-FR"/>
        </w:rPr>
        <w:t>h)</w:t>
      </w:r>
      <w:r w:rsidRPr="00F73467">
        <w:rPr>
          <w:sz w:val="18"/>
          <w:szCs w:val="18"/>
          <w:lang w:val="fr-FR"/>
        </w:rPr>
        <w:tab/>
        <w:t>Document transmis au groupe de travail informel de l’IWVTA.</w:t>
      </w:r>
    </w:p>
    <w:p w:rsidR="003D31FD" w:rsidRPr="003D31FD" w:rsidRDefault="003D31FD" w:rsidP="00992B59">
      <w:pPr>
        <w:pStyle w:val="HChG"/>
        <w:spacing w:before="0"/>
        <w:rPr>
          <w:lang w:val="fr-FR"/>
        </w:rPr>
      </w:pPr>
      <w:r>
        <w:rPr>
          <w:lang w:val="fr-FR"/>
        </w:rPr>
        <w:br w:type="page"/>
      </w:r>
      <w:r w:rsidRPr="003D31FD">
        <w:rPr>
          <w:lang w:val="fr-FR"/>
        </w:rPr>
        <w:lastRenderedPageBreak/>
        <w:t>Annexe II</w:t>
      </w:r>
    </w:p>
    <w:p w:rsidR="003D31FD" w:rsidRPr="003D31FD" w:rsidRDefault="00B53769" w:rsidP="00B53769">
      <w:pPr>
        <w:pStyle w:val="HChG"/>
        <w:rPr>
          <w:lang w:val="fr-FR"/>
        </w:rPr>
      </w:pPr>
      <w:r>
        <w:rPr>
          <w:lang w:val="fr-FR"/>
        </w:rPr>
        <w:tab/>
      </w:r>
      <w:r>
        <w:rPr>
          <w:lang w:val="fr-FR"/>
        </w:rPr>
        <w:tab/>
      </w:r>
      <w:r w:rsidR="003D31FD" w:rsidRPr="003D31FD">
        <w:rPr>
          <w:lang w:val="fr-FR"/>
        </w:rPr>
        <w:t xml:space="preserve">Mandat et Règlement intérieur du groupe de travail informel </w:t>
      </w:r>
      <w:r w:rsidR="003D31FD" w:rsidRPr="00B53769">
        <w:rPr>
          <w:spacing w:val="2"/>
          <w:lang w:val="fr-FR"/>
        </w:rPr>
        <w:t xml:space="preserve">du GRSG chargé d’étudier le comportement général </w:t>
      </w:r>
      <w:r w:rsidRPr="00B53769">
        <w:rPr>
          <w:spacing w:val="2"/>
          <w:lang w:val="fr-FR"/>
        </w:rPr>
        <w:br/>
      </w:r>
      <w:r w:rsidR="003D31FD" w:rsidRPr="00B53769">
        <w:rPr>
          <w:spacing w:val="-2"/>
          <w:lang w:val="fr-FR"/>
        </w:rPr>
        <w:t>des véhicules des catégories M</w:t>
      </w:r>
      <w:r w:rsidR="003D31FD" w:rsidRPr="00B53769">
        <w:rPr>
          <w:spacing w:val="-2"/>
          <w:vertAlign w:val="subscript"/>
          <w:lang w:val="fr-FR"/>
        </w:rPr>
        <w:t>2</w:t>
      </w:r>
      <w:r w:rsidR="003D31FD" w:rsidRPr="00B53769">
        <w:rPr>
          <w:spacing w:val="-2"/>
          <w:lang w:val="fr-FR"/>
        </w:rPr>
        <w:t xml:space="preserve"> et M</w:t>
      </w:r>
      <w:r w:rsidR="003D31FD" w:rsidRPr="00B53769">
        <w:rPr>
          <w:spacing w:val="-2"/>
          <w:vertAlign w:val="subscript"/>
          <w:lang w:val="fr-FR"/>
        </w:rPr>
        <w:t>3</w:t>
      </w:r>
      <w:r w:rsidR="003D31FD" w:rsidRPr="00B53769">
        <w:rPr>
          <w:spacing w:val="-2"/>
          <w:lang w:val="fr-FR"/>
        </w:rPr>
        <w:t xml:space="preserve"> en cas d’incendie</w:t>
      </w:r>
      <w:r w:rsidR="003D31FD" w:rsidRPr="003D31FD">
        <w:rPr>
          <w:lang w:val="fr-FR"/>
        </w:rPr>
        <w:t xml:space="preserve"> (BMFE) (par.</w:t>
      </w:r>
      <w:r>
        <w:rPr>
          <w:lang w:val="fr-FR"/>
        </w:rPr>
        <w:t> 8)</w:t>
      </w:r>
    </w:p>
    <w:p w:rsidR="003D31FD" w:rsidRPr="003D31FD" w:rsidRDefault="00B53769" w:rsidP="00B53769">
      <w:pPr>
        <w:pStyle w:val="H1G"/>
        <w:rPr>
          <w:lang w:val="fr-FR"/>
        </w:rPr>
      </w:pPr>
      <w:r>
        <w:rPr>
          <w:lang w:val="fr-FR"/>
        </w:rPr>
        <w:tab/>
      </w:r>
      <w:r w:rsidR="003D31FD" w:rsidRPr="003D31FD">
        <w:rPr>
          <w:lang w:val="fr-FR"/>
        </w:rPr>
        <w:t>A.</w:t>
      </w:r>
      <w:r w:rsidR="003D31FD" w:rsidRPr="003D31FD">
        <w:rPr>
          <w:lang w:val="fr-FR"/>
        </w:rPr>
        <w:tab/>
        <w:t>Mandat</w:t>
      </w:r>
    </w:p>
    <w:p w:rsidR="003D31FD" w:rsidRPr="003D31FD" w:rsidRDefault="003D31FD" w:rsidP="00992B59">
      <w:pPr>
        <w:pStyle w:val="SingleTxtG"/>
        <w:rPr>
          <w:lang w:val="fr-FR"/>
        </w:rPr>
      </w:pPr>
      <w:r w:rsidRPr="003D31FD">
        <w:rPr>
          <w:lang w:val="fr-FR"/>
        </w:rPr>
        <w:t>1.</w:t>
      </w:r>
      <w:r w:rsidRPr="003D31FD">
        <w:rPr>
          <w:lang w:val="fr-FR"/>
        </w:rPr>
        <w:tab/>
        <w:t>Le groupe de travail informel établira un ou plusieurs projet(s) de proposition de réglementation visant à rendre plus sûrs les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 xml:space="preserve"> en cas d’incendie en améliorant les caractéristiques générales de construction</w:t>
      </w:r>
      <w:r w:rsidR="00B8329D">
        <w:rPr>
          <w:lang w:val="fr-FR"/>
        </w:rPr>
        <w:t xml:space="preserve"> </w:t>
      </w:r>
      <w:r w:rsidRPr="003D31FD">
        <w:rPr>
          <w:lang w:val="fr-FR"/>
        </w:rPr>
        <w:t>sous l’angle du temps nécessaire pour l’évacuation. Il examinera :</w:t>
      </w:r>
    </w:p>
    <w:p w:rsidR="003D31FD" w:rsidRPr="00992B59" w:rsidRDefault="003D31FD" w:rsidP="00992B59">
      <w:pPr>
        <w:pStyle w:val="SingleTxtG"/>
        <w:ind w:firstLine="567"/>
      </w:pPr>
      <w:r w:rsidRPr="00992B59">
        <w:t>a)</w:t>
      </w:r>
      <w:r w:rsidRPr="00992B59">
        <w:tab/>
        <w:t>L’homologation et la nature des matériaux utilisés pour les véhicules de la catégorie M</w:t>
      </w:r>
      <w:r w:rsidRPr="002D00C3">
        <w:rPr>
          <w:vertAlign w:val="subscript"/>
        </w:rPr>
        <w:t>3</w:t>
      </w:r>
      <w:r w:rsidRPr="00992B59">
        <w:t xml:space="preserve">, classes II et III, leur installation et leur comportement au feu (toxicité et opacité des fumées) au regard du Règlement ONU </w:t>
      </w:r>
      <w:r w:rsidR="002D00C3" w:rsidRPr="002D76F4">
        <w:rPr>
          <w:rFonts w:eastAsia="MS Mincho"/>
          <w:szCs w:val="22"/>
        </w:rPr>
        <w:t>n</w:t>
      </w:r>
      <w:r w:rsidR="002D00C3" w:rsidRPr="002D76F4">
        <w:rPr>
          <w:rFonts w:eastAsia="MS Mincho"/>
          <w:szCs w:val="22"/>
          <w:vertAlign w:val="superscript"/>
        </w:rPr>
        <w:t>o</w:t>
      </w:r>
      <w:r w:rsidR="002D00C3">
        <w:t> </w:t>
      </w:r>
      <w:r w:rsidRPr="00992B59">
        <w:t>118 ;</w:t>
      </w:r>
    </w:p>
    <w:p w:rsidR="003D31FD" w:rsidRPr="003D31FD" w:rsidRDefault="003D31FD" w:rsidP="00992B59">
      <w:pPr>
        <w:pStyle w:val="SingleTxtG"/>
        <w:ind w:firstLine="567"/>
        <w:rPr>
          <w:lang w:val="fr-FR"/>
        </w:rPr>
      </w:pPr>
      <w:r w:rsidRPr="00992B59">
        <w:t>b)</w:t>
      </w:r>
      <w:r w:rsidRPr="00992B59">
        <w:tab/>
        <w:t>Le comportement général des véhicules des catégories M</w:t>
      </w:r>
      <w:r w:rsidRPr="002D00C3">
        <w:rPr>
          <w:vertAlign w:val="subscript"/>
        </w:rPr>
        <w:t>2</w:t>
      </w:r>
      <w:r w:rsidRPr="00992B59">
        <w:t xml:space="preserve"> et M</w:t>
      </w:r>
      <w:r w:rsidRPr="002D00C3">
        <w:rPr>
          <w:vertAlign w:val="subscript"/>
        </w:rPr>
        <w:t>3</w:t>
      </w:r>
      <w:r w:rsidRPr="00992B59">
        <w:t xml:space="preserve"> au regard du Règlement</w:t>
      </w:r>
      <w:r w:rsidRPr="003D31FD">
        <w:rPr>
          <w:lang w:val="fr-FR"/>
        </w:rPr>
        <w:t xml:space="preserve"> ONU n</w:t>
      </w:r>
      <w:r w:rsidRPr="003D31FD">
        <w:rPr>
          <w:vertAlign w:val="superscript"/>
          <w:lang w:val="fr-FR"/>
        </w:rPr>
        <w:t>o</w:t>
      </w:r>
      <w:r w:rsidR="00B53769">
        <w:rPr>
          <w:lang w:val="fr-FR"/>
        </w:rPr>
        <w:t> 107.</w:t>
      </w:r>
    </w:p>
    <w:p w:rsidR="003D31FD" w:rsidRPr="003D31FD" w:rsidRDefault="003D31FD" w:rsidP="007B6724">
      <w:pPr>
        <w:pStyle w:val="SingleTxtG"/>
        <w:rPr>
          <w:lang w:val="fr-FR"/>
        </w:rPr>
      </w:pPr>
      <w:r w:rsidRPr="003D31FD">
        <w:rPr>
          <w:lang w:val="fr-FR"/>
        </w:rPr>
        <w:t>2.</w:t>
      </w:r>
      <w:r w:rsidRPr="003D31FD">
        <w:rPr>
          <w:lang w:val="fr-FR"/>
        </w:rPr>
        <w:tab/>
        <w:t>Pour élaborer une proposition de réglementation, le groupe prendra en compte les technologies et les données existantes ainsi que les recherches menées. En outre, il prendra en considération les normes ainsi que les législations nationales et internationales couvrant le même champ d’application.</w:t>
      </w:r>
    </w:p>
    <w:p w:rsidR="003D31FD" w:rsidRPr="003D31FD" w:rsidRDefault="003D31FD" w:rsidP="007B6724">
      <w:pPr>
        <w:pStyle w:val="SingleTxtG"/>
        <w:rPr>
          <w:lang w:val="fr-FR"/>
        </w:rPr>
      </w:pPr>
      <w:r w:rsidRPr="003D31FD">
        <w:rPr>
          <w:lang w:val="fr-FR"/>
        </w:rPr>
        <w:t>3.</w:t>
      </w:r>
      <w:r w:rsidRPr="003D31FD">
        <w:rPr>
          <w:lang w:val="fr-FR"/>
        </w:rPr>
        <w:tab/>
        <w:t>Le groupe s’intéressera principalement aux véhicules des catégories M</w:t>
      </w:r>
      <w:r w:rsidRPr="003D31FD">
        <w:rPr>
          <w:vertAlign w:val="subscript"/>
          <w:lang w:val="fr-FR"/>
        </w:rPr>
        <w:t>2</w:t>
      </w:r>
      <w:r w:rsidRPr="003D31FD">
        <w:rPr>
          <w:lang w:val="fr-FR"/>
        </w:rPr>
        <w:t xml:space="preserve"> et M</w:t>
      </w:r>
      <w:r w:rsidRPr="003D31FD">
        <w:rPr>
          <w:vertAlign w:val="subscript"/>
          <w:lang w:val="fr-FR"/>
        </w:rPr>
        <w:t>3</w:t>
      </w:r>
      <w:r w:rsidRPr="003D31FD">
        <w:rPr>
          <w:lang w:val="fr-FR"/>
        </w:rPr>
        <w:t>.</w:t>
      </w:r>
    </w:p>
    <w:p w:rsidR="003D31FD" w:rsidRPr="003D31FD" w:rsidRDefault="003D31FD" w:rsidP="007B6724">
      <w:pPr>
        <w:pStyle w:val="SingleTxtG"/>
        <w:rPr>
          <w:lang w:val="fr-FR"/>
        </w:rPr>
      </w:pPr>
      <w:r w:rsidRPr="003D31FD">
        <w:rPr>
          <w:lang w:val="fr-FR"/>
        </w:rPr>
        <w:t>4.</w:t>
      </w:r>
      <w:r w:rsidRPr="003D31FD">
        <w:rPr>
          <w:lang w:val="fr-FR"/>
        </w:rPr>
        <w:tab/>
        <w:t>Les travaux du groupe, consistant à établir un projet d’amendement aux Règlements ONU n</w:t>
      </w:r>
      <w:r w:rsidRPr="003D31FD">
        <w:rPr>
          <w:vertAlign w:val="superscript"/>
          <w:lang w:val="fr-FR"/>
        </w:rPr>
        <w:t>os </w:t>
      </w:r>
      <w:r w:rsidR="007B6724">
        <w:rPr>
          <w:lang w:val="fr-FR"/>
        </w:rPr>
        <w:t xml:space="preserve">107 et </w:t>
      </w:r>
      <w:r w:rsidRPr="003D31FD">
        <w:rPr>
          <w:lang w:val="fr-FR"/>
        </w:rPr>
        <w:t>118, devront être achevés d’ici à la 120</w:t>
      </w:r>
      <w:r w:rsidRPr="003D31FD">
        <w:rPr>
          <w:vertAlign w:val="superscript"/>
          <w:lang w:val="fr-FR"/>
        </w:rPr>
        <w:t>e</w:t>
      </w:r>
      <w:r w:rsidRPr="003D31FD">
        <w:rPr>
          <w:lang w:val="fr-FR"/>
        </w:rPr>
        <w:t> session (octobre 2020) du Groupe de travail des dispositions générales de sécurité (GRSG).</w:t>
      </w:r>
    </w:p>
    <w:p w:rsidR="003D31FD" w:rsidRPr="003D31FD" w:rsidRDefault="003D31FD" w:rsidP="007B6724">
      <w:pPr>
        <w:pStyle w:val="SingleTxtG"/>
        <w:rPr>
          <w:lang w:val="fr-FR"/>
        </w:rPr>
      </w:pPr>
      <w:r w:rsidRPr="003D31FD">
        <w:rPr>
          <w:lang w:val="fr-FR"/>
        </w:rPr>
        <w:t>5.</w:t>
      </w:r>
      <w:r w:rsidRPr="003D31FD">
        <w:rPr>
          <w:lang w:val="fr-FR"/>
        </w:rPr>
        <w:tab/>
        <w:t xml:space="preserve">Le groupe établira des projets d’amendements à des règlements. La procédure d’adoption relèvera du GRSG, du Forum mondial de l’harmonisation des Règlements concernant les véhicules (WP.29) et du Comité d’administration de l’Accord de 1958 (AC.1), conformément aux règles fixées par l’Accord de 1958. </w:t>
      </w:r>
    </w:p>
    <w:p w:rsidR="003D31FD" w:rsidRPr="003D31FD" w:rsidRDefault="003D31FD" w:rsidP="007B6724">
      <w:pPr>
        <w:pStyle w:val="SingleTxtG"/>
        <w:rPr>
          <w:lang w:val="fr-FR"/>
        </w:rPr>
      </w:pPr>
      <w:r w:rsidRPr="003D31FD">
        <w:rPr>
          <w:lang w:val="fr-FR"/>
        </w:rPr>
        <w:t>6.</w:t>
      </w:r>
      <w:r w:rsidRPr="003D31FD">
        <w:rPr>
          <w:lang w:val="fr-FR"/>
        </w:rPr>
        <w:tab/>
        <w:t>Le groupe prendra en compte les travaux des autres groupes de travail subsidiaires du WP.29.</w:t>
      </w:r>
    </w:p>
    <w:p w:rsidR="003D31FD" w:rsidRPr="003D31FD" w:rsidRDefault="00B53769" w:rsidP="007B6724">
      <w:pPr>
        <w:pStyle w:val="H1G"/>
        <w:rPr>
          <w:lang w:val="fr-FR"/>
        </w:rPr>
      </w:pPr>
      <w:r>
        <w:rPr>
          <w:lang w:val="fr-FR"/>
        </w:rPr>
        <w:tab/>
      </w:r>
      <w:r w:rsidR="003D31FD" w:rsidRPr="003D31FD">
        <w:rPr>
          <w:lang w:val="fr-FR"/>
        </w:rPr>
        <w:t>B.</w:t>
      </w:r>
      <w:r w:rsidR="003D31FD" w:rsidRPr="003D31FD">
        <w:rPr>
          <w:lang w:val="fr-FR"/>
        </w:rPr>
        <w:tab/>
        <w:t>Règlement intérieur</w:t>
      </w:r>
    </w:p>
    <w:p w:rsidR="003D31FD" w:rsidRPr="003D31FD" w:rsidRDefault="003D31FD" w:rsidP="007B6724">
      <w:pPr>
        <w:pStyle w:val="SingleTxtG"/>
        <w:rPr>
          <w:lang w:val="fr-FR"/>
        </w:rPr>
      </w:pPr>
      <w:r w:rsidRPr="003D31FD">
        <w:rPr>
          <w:lang w:val="fr-FR"/>
        </w:rPr>
        <w:t>7.</w:t>
      </w:r>
      <w:r w:rsidRPr="003D31FD">
        <w:rPr>
          <w:lang w:val="fr-FR"/>
        </w:rPr>
        <w:tab/>
        <w:t>Le groupe de travail informel est un organe subsidiaire du Groupe de travail des dispositions générales de sécurité (GRSG). Il est ouvert à toutes les Parties contractantes aux accords administrés par le WP.29, aux constructeurs automobiles et à leurs fournisseurs, aux services techniques et aux participants de tous les groupes de</w:t>
      </w:r>
      <w:r w:rsidR="00B53769">
        <w:rPr>
          <w:lang w:val="fr-FR"/>
        </w:rPr>
        <w:t xml:space="preserve"> travail subsidiaires du WP.29.</w:t>
      </w:r>
    </w:p>
    <w:p w:rsidR="003D31FD" w:rsidRPr="003D31FD" w:rsidRDefault="003D31FD" w:rsidP="007B6724">
      <w:pPr>
        <w:pStyle w:val="SingleTxtG"/>
        <w:rPr>
          <w:lang w:val="fr-FR"/>
        </w:rPr>
      </w:pPr>
      <w:r w:rsidRPr="003D31FD">
        <w:rPr>
          <w:lang w:val="fr-FR"/>
        </w:rPr>
        <w:t>8.</w:t>
      </w:r>
      <w:r w:rsidRPr="003D31FD">
        <w:rPr>
          <w:lang w:val="fr-FR"/>
        </w:rPr>
        <w:tab/>
        <w:t>Des experts supplémentaires peuvent participer au cas par cas, s’ils y sont invités par décision consensuelle du groupe. Ils ne participent pas au processus de décision.</w:t>
      </w:r>
    </w:p>
    <w:p w:rsidR="003D31FD" w:rsidRPr="003D31FD" w:rsidRDefault="003D31FD" w:rsidP="007B6724">
      <w:pPr>
        <w:pStyle w:val="SingleTxtG"/>
        <w:rPr>
          <w:lang w:val="fr-FR"/>
        </w:rPr>
      </w:pPr>
      <w:r w:rsidRPr="003D31FD">
        <w:rPr>
          <w:lang w:val="fr-FR"/>
        </w:rPr>
        <w:t>9.</w:t>
      </w:r>
      <w:r w:rsidRPr="003D31FD">
        <w:rPr>
          <w:lang w:val="fr-FR"/>
        </w:rPr>
        <w:tab/>
        <w:t>Le groupe est dirigé par un président, un coprésident et un secrétaire :</w:t>
      </w:r>
    </w:p>
    <w:p w:rsidR="003D31FD" w:rsidRPr="007B6724" w:rsidRDefault="003D31FD" w:rsidP="007B6724">
      <w:pPr>
        <w:pStyle w:val="SingleTxtG"/>
        <w:ind w:firstLine="567"/>
      </w:pPr>
      <w:r w:rsidRPr="003D31FD">
        <w:rPr>
          <w:lang w:val="fr-FR"/>
        </w:rPr>
        <w:t>a)</w:t>
      </w:r>
      <w:r w:rsidRPr="007B6724">
        <w:tab/>
        <w:t>La présidence est assurée par la France ;</w:t>
      </w:r>
    </w:p>
    <w:p w:rsidR="003D31FD" w:rsidRPr="007B6724" w:rsidRDefault="003D31FD" w:rsidP="007B6724">
      <w:pPr>
        <w:pStyle w:val="SingleTxtG"/>
        <w:ind w:firstLine="567"/>
      </w:pPr>
      <w:r w:rsidRPr="007B6724">
        <w:t>b)</w:t>
      </w:r>
      <w:r w:rsidRPr="007B6724">
        <w:tab/>
        <w:t>La coprésidence est assurée par la France ;</w:t>
      </w:r>
    </w:p>
    <w:p w:rsidR="003D31FD" w:rsidRPr="003D31FD" w:rsidRDefault="003D31FD" w:rsidP="007B6724">
      <w:pPr>
        <w:pStyle w:val="SingleTxtG"/>
        <w:ind w:firstLine="567"/>
        <w:rPr>
          <w:lang w:val="fr-FR"/>
        </w:rPr>
      </w:pPr>
      <w:r w:rsidRPr="007B6724">
        <w:t>c)</w:t>
      </w:r>
      <w:r w:rsidRPr="003D31FD">
        <w:rPr>
          <w:lang w:val="fr-FR"/>
        </w:rPr>
        <w:tab/>
        <w:t>Le secrétariat est assuré par l’OICA.</w:t>
      </w:r>
    </w:p>
    <w:p w:rsidR="003D31FD" w:rsidRPr="003D31FD" w:rsidRDefault="003D31FD" w:rsidP="007B6724">
      <w:pPr>
        <w:pStyle w:val="SingleTxtG"/>
        <w:rPr>
          <w:lang w:val="fr-FR"/>
        </w:rPr>
      </w:pPr>
      <w:r w:rsidRPr="003D31FD">
        <w:rPr>
          <w:lang w:val="fr-FR"/>
        </w:rPr>
        <w:t>10.</w:t>
      </w:r>
      <w:r w:rsidRPr="003D31FD">
        <w:rPr>
          <w:lang w:val="fr-FR"/>
        </w:rPr>
        <w:tab/>
        <w:t>La langue de travail du groupe sera l’anglais</w:t>
      </w:r>
      <w:r w:rsidR="00B53769">
        <w:rPr>
          <w:lang w:val="fr-FR"/>
        </w:rPr>
        <w:t>.</w:t>
      </w:r>
    </w:p>
    <w:p w:rsidR="003D31FD" w:rsidRPr="007B6724" w:rsidRDefault="003D31FD" w:rsidP="007B6724">
      <w:pPr>
        <w:pStyle w:val="SingleTxtG"/>
        <w:keepNext/>
        <w:keepLines/>
      </w:pPr>
      <w:r w:rsidRPr="007B6724">
        <w:lastRenderedPageBreak/>
        <w:t>11.</w:t>
      </w:r>
      <w:r w:rsidRPr="007B6724">
        <w:tab/>
        <w:t>Les propositions et documents sont soumis avant les réunions au secrétaire du groupe, dans un format électronique approprié. Le groupe peut refuser de débattre d’une question ou d’une proposition qui ne lui aura pas été communiquée au moins dix jours ouvrables à l’avance.</w:t>
      </w:r>
    </w:p>
    <w:p w:rsidR="003D31FD" w:rsidRPr="007B6724" w:rsidRDefault="003D31FD" w:rsidP="007B6724">
      <w:pPr>
        <w:pStyle w:val="SingleTxtG"/>
      </w:pPr>
      <w:r w:rsidRPr="007B6724">
        <w:t>12.</w:t>
      </w:r>
      <w:r w:rsidRPr="007B6724">
        <w:tab/>
        <w:t xml:space="preserve">Un ordre du jour et les documents connexes sont affichés par le secrétaire sur le site Web avant toute réunion programmée. </w:t>
      </w:r>
    </w:p>
    <w:p w:rsidR="003D31FD" w:rsidRPr="007B6724" w:rsidRDefault="003D31FD" w:rsidP="007B6724">
      <w:pPr>
        <w:pStyle w:val="SingleTxtG"/>
      </w:pPr>
      <w:r w:rsidRPr="007B6724">
        <w:t>13.</w:t>
      </w:r>
      <w:r w:rsidRPr="007B6724">
        <w:tab/>
        <w:t xml:space="preserve">Les décisions sont prises par consensus. Lorsqu’un consensus ne peut être atteint, le </w:t>
      </w:r>
      <w:r w:rsidR="002D00C3">
        <w:t>P</w:t>
      </w:r>
      <w:r w:rsidRPr="007B6724">
        <w:t xml:space="preserve">résident du groupe présente les différents points de vue au GRSG. Le </w:t>
      </w:r>
      <w:r w:rsidR="002D00C3">
        <w:t>P</w:t>
      </w:r>
      <w:r w:rsidRPr="007B6724">
        <w:t>résident peut, le cas échéant, solliciter l’avis du GRSG.</w:t>
      </w:r>
    </w:p>
    <w:p w:rsidR="003D31FD" w:rsidRPr="007B6724" w:rsidRDefault="003D31FD" w:rsidP="007B6724">
      <w:pPr>
        <w:pStyle w:val="SingleTxtG"/>
      </w:pPr>
      <w:r w:rsidRPr="007B6724">
        <w:t>14.</w:t>
      </w:r>
      <w:r w:rsidRPr="007B6724">
        <w:tab/>
        <w:t xml:space="preserve">Le GRSG est tenu régulièrement informé des progrès réalisés par le groupe, autant que possible sous la forme d’un document informel que lui présentent le </w:t>
      </w:r>
      <w:r w:rsidR="002D00C3">
        <w:t>P</w:t>
      </w:r>
      <w:r w:rsidRPr="007B6724">
        <w:t xml:space="preserve">résident, le </w:t>
      </w:r>
      <w:r w:rsidR="002D00C3">
        <w:t>C</w:t>
      </w:r>
      <w:r w:rsidRPr="007B6724">
        <w:t>oprésident, le secrétaire ou leur(s) représentant(s).</w:t>
      </w:r>
    </w:p>
    <w:p w:rsidR="003D31FD" w:rsidRDefault="003D31FD" w:rsidP="007B6724">
      <w:pPr>
        <w:pStyle w:val="SingleTxtG"/>
        <w:rPr>
          <w:lang w:val="fr-FR"/>
        </w:rPr>
      </w:pPr>
      <w:r w:rsidRPr="007B6724">
        <w:t>15.</w:t>
      </w:r>
      <w:r w:rsidRPr="007B6724">
        <w:tab/>
        <w:t>Tous les documents de travail sont diffusés sous forme électronique. Les documents relatifs aux réunions</w:t>
      </w:r>
      <w:r w:rsidRPr="003D31FD">
        <w:rPr>
          <w:lang w:val="fr-FR"/>
        </w:rPr>
        <w:t xml:space="preserve"> sont communiqués au secrétaire pour publication sur le site Web du WP.29.</w:t>
      </w:r>
    </w:p>
    <w:p w:rsidR="003D31FD" w:rsidRPr="003D31FD" w:rsidRDefault="003D31FD" w:rsidP="00992B59">
      <w:pPr>
        <w:pStyle w:val="HChG"/>
        <w:spacing w:before="0"/>
        <w:rPr>
          <w:lang w:val="fr-FR"/>
        </w:rPr>
      </w:pPr>
      <w:r>
        <w:rPr>
          <w:lang w:val="fr-FR"/>
        </w:rPr>
        <w:br w:type="page"/>
      </w:r>
      <w:r w:rsidRPr="003D31FD">
        <w:rPr>
          <w:lang w:val="fr-FR"/>
        </w:rPr>
        <w:lastRenderedPageBreak/>
        <w:t>Annexe III</w:t>
      </w:r>
    </w:p>
    <w:p w:rsidR="003D31FD" w:rsidRPr="00B53769" w:rsidRDefault="00B53769" w:rsidP="00B53769">
      <w:pPr>
        <w:pStyle w:val="HChG"/>
        <w:rPr>
          <w:i/>
          <w:spacing w:val="-2"/>
          <w:lang w:val="fr-FR"/>
        </w:rPr>
      </w:pPr>
      <w:r>
        <w:rPr>
          <w:lang w:val="fr-FR"/>
        </w:rPr>
        <w:tab/>
      </w:r>
      <w:r>
        <w:rPr>
          <w:lang w:val="fr-FR"/>
        </w:rPr>
        <w:tab/>
      </w:r>
      <w:r w:rsidRPr="00B53769">
        <w:rPr>
          <w:spacing w:val="-2"/>
          <w:lang w:val="fr-FR"/>
        </w:rPr>
        <w:t xml:space="preserve">Projet de complément 6 à la série 02 </w:t>
      </w:r>
      <w:r w:rsidR="003D31FD" w:rsidRPr="00B53769">
        <w:rPr>
          <w:spacing w:val="-2"/>
          <w:lang w:val="fr-FR"/>
        </w:rPr>
        <w:t>d’amendements et</w:t>
      </w:r>
      <w:r w:rsidR="003D31FD" w:rsidRPr="003D31FD">
        <w:rPr>
          <w:lang w:val="fr-FR"/>
        </w:rPr>
        <w:t xml:space="preserve"> projet de complément 2</w:t>
      </w:r>
      <w:r>
        <w:rPr>
          <w:lang w:val="fr-FR"/>
        </w:rPr>
        <w:t xml:space="preserve"> </w:t>
      </w:r>
      <w:r w:rsidR="003D31FD" w:rsidRPr="003D31FD">
        <w:rPr>
          <w:lang w:val="fr-FR"/>
        </w:rPr>
        <w:t xml:space="preserve">à la série 03 d’amendements au </w:t>
      </w:r>
      <w:r w:rsidR="003D31FD" w:rsidRPr="00B53769">
        <w:rPr>
          <w:spacing w:val="-2"/>
          <w:lang w:val="fr-FR"/>
        </w:rPr>
        <w:t>Règlement ONU n</w:t>
      </w:r>
      <w:r w:rsidR="003D31FD" w:rsidRPr="00B53769">
        <w:rPr>
          <w:spacing w:val="-2"/>
          <w:vertAlign w:val="superscript"/>
          <w:lang w:val="fr-FR"/>
        </w:rPr>
        <w:t>o</w:t>
      </w:r>
      <w:r w:rsidR="003D31FD" w:rsidRPr="00B53769">
        <w:rPr>
          <w:spacing w:val="-2"/>
          <w:lang w:val="fr-FR"/>
        </w:rPr>
        <w:t> 34 (</w:t>
      </w:r>
      <w:r w:rsidRPr="00B53769">
        <w:rPr>
          <w:spacing w:val="-2"/>
          <w:lang w:val="fr-FR"/>
        </w:rPr>
        <w:t>Prévention des incendies) (par. </w:t>
      </w:r>
      <w:r w:rsidR="003D31FD" w:rsidRPr="00B53769">
        <w:rPr>
          <w:spacing w:val="-2"/>
          <w:lang w:val="fr-FR"/>
        </w:rPr>
        <w:t>11)</w:t>
      </w:r>
    </w:p>
    <w:p w:rsidR="003D31FD" w:rsidRPr="003D31FD" w:rsidRDefault="003D31FD" w:rsidP="007B6724">
      <w:pPr>
        <w:pStyle w:val="SingleTxtG"/>
        <w:rPr>
          <w:lang w:val="fr-FR"/>
        </w:rPr>
      </w:pPr>
      <w:r w:rsidRPr="007B6724">
        <w:rPr>
          <w:i/>
          <w:lang w:val="fr-FR"/>
        </w:rPr>
        <w:t>Version anglaise, paragraphe 5.10</w:t>
      </w:r>
      <w:r w:rsidRPr="00B53769">
        <w:rPr>
          <w:lang w:val="fr-FR"/>
        </w:rPr>
        <w:t>,</w:t>
      </w:r>
      <w:r w:rsidRPr="003D31FD">
        <w:rPr>
          <w:lang w:val="fr-FR"/>
        </w:rPr>
        <w:t xml:space="preserve"> </w:t>
      </w:r>
      <w:r w:rsidRPr="003D31FD">
        <w:rPr>
          <w:iCs/>
          <w:lang w:val="fr-FR"/>
        </w:rPr>
        <w:t>modifier comme suit </w:t>
      </w:r>
      <w:r w:rsidRPr="003D31FD">
        <w:rPr>
          <w:lang w:val="fr-FR"/>
        </w:rPr>
        <w:t>:</w:t>
      </w:r>
    </w:p>
    <w:p w:rsidR="003D31FD" w:rsidRPr="003D31FD" w:rsidRDefault="002D00C3" w:rsidP="007B6724">
      <w:pPr>
        <w:pStyle w:val="SingleTxtG"/>
        <w:ind w:left="2268" w:hanging="1134"/>
        <w:rPr>
          <w:lang w:val="en-US"/>
        </w:rPr>
      </w:pPr>
      <w:r>
        <w:rPr>
          <w:lang w:val="en-US"/>
        </w:rPr>
        <w:t>« 5.10</w:t>
      </w:r>
      <w:r w:rsidR="003D31FD" w:rsidRPr="003D31FD">
        <w:rPr>
          <w:lang w:val="en-US"/>
        </w:rPr>
        <w:tab/>
        <w:t xml:space="preserve">Tanks shall be installed in such a way as to be protected from the consequences of a collision to the front or the rear of the vehicle. </w:t>
      </w:r>
    </w:p>
    <w:p w:rsidR="003D31FD" w:rsidRPr="003D31FD" w:rsidRDefault="003D31FD" w:rsidP="007B6724">
      <w:pPr>
        <w:pStyle w:val="SingleTxtG"/>
        <w:ind w:left="2268"/>
        <w:rPr>
          <w:lang w:val="en-US"/>
        </w:rPr>
      </w:pPr>
      <w:r w:rsidRPr="003D31FD">
        <w:rPr>
          <w:lang w:val="en-US"/>
        </w:rPr>
        <w:t xml:space="preserve">There shall be no protruding parts, sharp edges, etc., </w:t>
      </w:r>
      <w:r w:rsidRPr="003D31FD">
        <w:rPr>
          <w:b/>
          <w:lang w:val="en-US"/>
        </w:rPr>
        <w:t>near the tank</w:t>
      </w:r>
      <w:r w:rsidRPr="003D31FD">
        <w:rPr>
          <w:lang w:val="en-US"/>
        </w:rPr>
        <w:t>. ».</w:t>
      </w:r>
    </w:p>
    <w:p w:rsidR="003D31FD" w:rsidRPr="003D31FD" w:rsidRDefault="003D31FD" w:rsidP="002D00C3">
      <w:pPr>
        <w:pStyle w:val="SingleTxtG"/>
        <w:rPr>
          <w:lang w:val="fr-FR"/>
        </w:rPr>
      </w:pPr>
      <w:r w:rsidRPr="002D00C3">
        <w:rPr>
          <w:i/>
          <w:lang w:val="fr-FR"/>
        </w:rPr>
        <w:t>Version française, paragraphe 5.10</w:t>
      </w:r>
      <w:r w:rsidRPr="00B53769">
        <w:rPr>
          <w:lang w:val="fr-FR"/>
        </w:rPr>
        <w:t>,</w:t>
      </w:r>
      <w:r w:rsidRPr="003D31FD">
        <w:rPr>
          <w:lang w:val="fr-FR"/>
        </w:rPr>
        <w:t xml:space="preserve"> </w:t>
      </w:r>
      <w:r w:rsidRPr="003D31FD">
        <w:rPr>
          <w:iCs/>
          <w:lang w:val="fr-FR"/>
        </w:rPr>
        <w:t>modifier comme suit </w:t>
      </w:r>
      <w:r w:rsidRPr="003D31FD">
        <w:rPr>
          <w:lang w:val="fr-FR"/>
        </w:rPr>
        <w:t>:</w:t>
      </w:r>
    </w:p>
    <w:p w:rsidR="003D31FD" w:rsidRPr="003D31FD" w:rsidRDefault="003D31FD" w:rsidP="007B6724">
      <w:pPr>
        <w:pStyle w:val="SingleTxtG"/>
        <w:ind w:left="2268" w:hanging="1134"/>
        <w:rPr>
          <w:lang w:val="fr-FR"/>
        </w:rPr>
      </w:pPr>
      <w:r w:rsidRPr="003D31FD">
        <w:rPr>
          <w:lang w:val="fr-FR"/>
        </w:rPr>
        <w:t>« 5.</w:t>
      </w:r>
      <w:r w:rsidRPr="007B6724">
        <w:t>10</w:t>
      </w:r>
      <w:r w:rsidRPr="003D31FD">
        <w:rPr>
          <w:lang w:val="fr-FR"/>
        </w:rPr>
        <w:tab/>
      </w:r>
      <w:r w:rsidRPr="007B6724">
        <w:t>Les</w:t>
      </w:r>
      <w:r w:rsidRPr="003D31FD">
        <w:rPr>
          <w:lang w:val="fr-FR"/>
        </w:rPr>
        <w:t xml:space="preserve"> réservoirs doivent être installés de manière à être à l’abri des effets d’une collision frontale ou d’une collision survenant à la partie arrière du véhicule. </w:t>
      </w:r>
    </w:p>
    <w:p w:rsidR="003D31FD" w:rsidRPr="003D31FD" w:rsidRDefault="003D31FD" w:rsidP="007B6724">
      <w:pPr>
        <w:pStyle w:val="SingleTxtG"/>
        <w:ind w:left="2268"/>
        <w:rPr>
          <w:lang w:val="fr-FR"/>
        </w:rPr>
      </w:pPr>
      <w:r w:rsidRPr="007B6724">
        <w:t>Il</w:t>
      </w:r>
      <w:r w:rsidRPr="003D31FD">
        <w:rPr>
          <w:lang w:val="fr-FR"/>
        </w:rPr>
        <w:t xml:space="preserve"> ne peut y avoir de parties saillantes, de bords coupants, etc., à proximité du réservoir. ».</w:t>
      </w:r>
    </w:p>
    <w:p w:rsidR="003D31FD" w:rsidRPr="003D31FD" w:rsidRDefault="003D31FD" w:rsidP="007B6724">
      <w:pPr>
        <w:pStyle w:val="SingleTxtG"/>
        <w:rPr>
          <w:lang w:val="fr-FR"/>
        </w:rPr>
      </w:pPr>
      <w:r w:rsidRPr="007B6724">
        <w:rPr>
          <w:i/>
          <w:lang w:val="fr-FR"/>
        </w:rPr>
        <w:t>Version russe, paragraphe 5.10</w:t>
      </w:r>
      <w:r w:rsidRPr="00B53769">
        <w:rPr>
          <w:lang w:val="fr-FR"/>
        </w:rPr>
        <w:t xml:space="preserve">, </w:t>
      </w:r>
      <w:r w:rsidRPr="003D31FD">
        <w:rPr>
          <w:iCs/>
          <w:lang w:val="fr-FR"/>
        </w:rPr>
        <w:t>modifier comme suit </w:t>
      </w:r>
      <w:r w:rsidRPr="003D31FD">
        <w:rPr>
          <w:lang w:val="fr-FR"/>
        </w:rPr>
        <w:t>:</w:t>
      </w:r>
    </w:p>
    <w:p w:rsidR="003D31FD" w:rsidRPr="003D31FD" w:rsidRDefault="003D31FD" w:rsidP="007B6724">
      <w:pPr>
        <w:pStyle w:val="SingleTxtG"/>
        <w:ind w:left="2268" w:hanging="1134"/>
        <w:rPr>
          <w:lang w:val="ru-RU"/>
        </w:rPr>
      </w:pPr>
      <w:r w:rsidRPr="003D31FD">
        <w:rPr>
          <w:lang w:val="ru-RU"/>
        </w:rPr>
        <w:t>«</w:t>
      </w:r>
      <w:r w:rsidRPr="003D31FD">
        <w:rPr>
          <w:lang w:val="fr-FR"/>
        </w:rPr>
        <w:t> </w:t>
      </w:r>
      <w:r w:rsidRPr="003D31FD">
        <w:rPr>
          <w:lang w:val="ru-RU"/>
        </w:rPr>
        <w:t>5.10</w:t>
      </w:r>
      <w:r w:rsidRPr="003D31FD">
        <w:rPr>
          <w:lang w:val="ru-RU"/>
        </w:rPr>
        <w:tab/>
        <w:t xml:space="preserve">Баки должны быть установлены таким образом, чтобы они были защищены на случай лобового </w:t>
      </w:r>
      <w:r w:rsidRPr="003D31FD">
        <w:rPr>
          <w:b/>
          <w:lang w:val="ru-RU"/>
        </w:rPr>
        <w:t>или заднего</w:t>
      </w:r>
      <w:r w:rsidRPr="003D31FD">
        <w:rPr>
          <w:lang w:val="ru-RU"/>
        </w:rPr>
        <w:t xml:space="preserve"> столкновения транспортного средства. </w:t>
      </w:r>
    </w:p>
    <w:p w:rsidR="003D31FD" w:rsidRPr="00960524" w:rsidRDefault="003D31FD" w:rsidP="00B53769">
      <w:pPr>
        <w:pStyle w:val="SingleTxtG"/>
        <w:ind w:left="2268"/>
        <w:rPr>
          <w:lang w:val="ru-RU"/>
        </w:rPr>
      </w:pPr>
      <w:r w:rsidRPr="00960524">
        <w:rPr>
          <w:lang w:val="ru-RU"/>
        </w:rPr>
        <w:tab/>
      </w:r>
      <w:r w:rsidRPr="002D00C3">
        <w:rPr>
          <w:lang w:val="ru-RU"/>
        </w:rPr>
        <w:t>Рядом</w:t>
      </w:r>
      <w:r w:rsidRPr="00960524">
        <w:rPr>
          <w:lang w:val="ru-RU"/>
        </w:rPr>
        <w:t xml:space="preserve"> </w:t>
      </w:r>
      <w:r w:rsidRPr="00960524">
        <w:rPr>
          <w:lang w:val="fr-FR"/>
        </w:rPr>
        <w:t>c</w:t>
      </w:r>
      <w:r w:rsidRPr="00960524">
        <w:rPr>
          <w:lang w:val="ru-RU"/>
        </w:rPr>
        <w:t xml:space="preserve"> баком не должно быть никаких выступающих частей, острых краев и т.п.</w:t>
      </w:r>
      <w:r w:rsidRPr="00960524">
        <w:rPr>
          <w:lang w:val="fr-FR"/>
        </w:rPr>
        <w:t> </w:t>
      </w:r>
      <w:r w:rsidRPr="00960524">
        <w:rPr>
          <w:lang w:val="ru-RU"/>
        </w:rPr>
        <w:t>».</w:t>
      </w:r>
    </w:p>
    <w:p w:rsidR="00B62BC3" w:rsidRPr="00B62BC3" w:rsidRDefault="003D31FD" w:rsidP="00992B59">
      <w:pPr>
        <w:pStyle w:val="HChG"/>
        <w:spacing w:before="0"/>
        <w:rPr>
          <w:lang w:val="fr-FR"/>
        </w:rPr>
      </w:pPr>
      <w:r w:rsidRPr="00320DE2">
        <w:br w:type="page"/>
      </w:r>
      <w:r w:rsidR="00B62BC3" w:rsidRPr="00B62BC3">
        <w:rPr>
          <w:lang w:val="fr-FR"/>
        </w:rPr>
        <w:lastRenderedPageBreak/>
        <w:t>Annexe IV</w:t>
      </w:r>
    </w:p>
    <w:p w:rsidR="00B62BC3" w:rsidRPr="00B62BC3" w:rsidRDefault="00B53769" w:rsidP="00960524">
      <w:pPr>
        <w:pStyle w:val="HChG"/>
        <w:rPr>
          <w:lang w:val="fr-FR"/>
        </w:rPr>
      </w:pPr>
      <w:r>
        <w:rPr>
          <w:lang w:val="fr-FR"/>
        </w:rPr>
        <w:tab/>
      </w:r>
      <w:r>
        <w:rPr>
          <w:lang w:val="fr-FR"/>
        </w:rPr>
        <w:tab/>
      </w:r>
      <w:r w:rsidR="00B62BC3" w:rsidRPr="00B62BC3">
        <w:rPr>
          <w:lang w:val="fr-FR"/>
        </w:rPr>
        <w:t>Projet de complément 8 à la série 01 d’amendements au Règlement ONU n</w:t>
      </w:r>
      <w:r w:rsidR="00B62BC3" w:rsidRPr="00B62BC3">
        <w:rPr>
          <w:vertAlign w:val="superscript"/>
          <w:lang w:val="fr-FR"/>
        </w:rPr>
        <w:t>o</w:t>
      </w:r>
      <w:r w:rsidR="00B62BC3" w:rsidRPr="00B62BC3">
        <w:rPr>
          <w:lang w:val="fr-FR"/>
        </w:rPr>
        <w:t> 43 (Vitrages de sécurité) (par.</w:t>
      </w:r>
      <w:r>
        <w:rPr>
          <w:lang w:val="fr-FR"/>
        </w:rPr>
        <w:t> </w:t>
      </w:r>
      <w:r w:rsidR="00B62BC3" w:rsidRPr="00B62BC3">
        <w:rPr>
          <w:lang w:val="fr-FR"/>
        </w:rPr>
        <w:t>15)</w:t>
      </w:r>
    </w:p>
    <w:p w:rsidR="00B62BC3" w:rsidRPr="00B62BC3" w:rsidRDefault="00B62BC3" w:rsidP="00960524">
      <w:pPr>
        <w:pStyle w:val="SingleTxtG"/>
        <w:rPr>
          <w:lang w:val="fr-FR"/>
        </w:rPr>
      </w:pPr>
      <w:r w:rsidRPr="00B62BC3">
        <w:rPr>
          <w:i/>
          <w:lang w:val="fr-FR"/>
        </w:rPr>
        <w:t>Paragraphe 5.5.8</w:t>
      </w:r>
      <w:r w:rsidRPr="00B62BC3">
        <w:rPr>
          <w:lang w:val="fr-FR"/>
        </w:rPr>
        <w:t>, modifier comme suit :</w:t>
      </w:r>
    </w:p>
    <w:p w:rsidR="00B62BC3" w:rsidRPr="00B62BC3" w:rsidRDefault="00B62BC3" w:rsidP="00960524">
      <w:pPr>
        <w:pStyle w:val="SingleTxtG"/>
        <w:ind w:left="2268" w:hanging="1134"/>
        <w:rPr>
          <w:b/>
          <w:lang w:val="fr-FR"/>
        </w:rPr>
      </w:pPr>
      <w:r w:rsidRPr="00B62BC3">
        <w:rPr>
          <w:lang w:val="fr-FR"/>
        </w:rPr>
        <w:t>« 5.5.8</w:t>
      </w:r>
      <w:r w:rsidRPr="00B62BC3">
        <w:rPr>
          <w:lang w:val="fr-FR"/>
        </w:rPr>
        <w:tab/>
        <w:t>XI</w:t>
      </w:r>
      <w:r w:rsidRPr="00B62BC3">
        <w:rPr>
          <w:lang w:val="fr-FR"/>
        </w:rPr>
        <w:tab/>
        <w:t xml:space="preserve">S’il s’agit d’une vitre en verre feuilleté. </w:t>
      </w:r>
      <w:r w:rsidRPr="00B62BC3">
        <w:rPr>
          <w:b/>
          <w:lang w:val="fr-FR"/>
        </w:rPr>
        <w:t xml:space="preserve">L’application est précisée par le </w:t>
      </w:r>
      <w:r w:rsidRPr="00B62BC3">
        <w:rPr>
          <w:b/>
          <w:lang w:val="fr-FR"/>
        </w:rPr>
        <w:tab/>
        <w:t>symbole suivant :</w:t>
      </w:r>
    </w:p>
    <w:p w:rsidR="00B62BC3" w:rsidRPr="00960524" w:rsidRDefault="00B62BC3" w:rsidP="00B53769">
      <w:pPr>
        <w:pStyle w:val="SingleTxtG"/>
        <w:ind w:left="2268"/>
        <w:rPr>
          <w:lang w:val="fr-FR"/>
        </w:rPr>
      </w:pPr>
      <w:r w:rsidRPr="00960524">
        <w:rPr>
          <w:b/>
          <w:lang w:val="fr-FR"/>
        </w:rPr>
        <w:t>/D</w:t>
      </w:r>
      <w:r w:rsidRPr="00960524">
        <w:rPr>
          <w:b/>
          <w:lang w:val="fr-FR"/>
        </w:rPr>
        <w:tab/>
        <w:t>Pour les vitres en verre feuilleté à propriétés mécaniques améliorées.</w:t>
      </w:r>
      <w:r w:rsidRPr="00960524">
        <w:rPr>
          <w:lang w:val="fr-FR"/>
        </w:rPr>
        <w:t> ».</w:t>
      </w:r>
    </w:p>
    <w:p w:rsidR="00B62BC3" w:rsidRPr="00960524" w:rsidRDefault="00B62BC3" w:rsidP="00960524">
      <w:pPr>
        <w:pStyle w:val="SingleTxtG"/>
        <w:rPr>
          <w:lang w:val="fr-FR"/>
        </w:rPr>
      </w:pPr>
      <w:r w:rsidRPr="00960524">
        <w:rPr>
          <w:i/>
          <w:lang w:val="fr-FR"/>
        </w:rPr>
        <w:t>Paragraphe 8.2.1.1</w:t>
      </w:r>
      <w:r w:rsidRPr="00960524">
        <w:rPr>
          <w:lang w:val="fr-FR"/>
        </w:rPr>
        <w:t>, modifier comme suit :</w:t>
      </w:r>
    </w:p>
    <w:p w:rsidR="00331C43" w:rsidRDefault="00B62BC3" w:rsidP="00B53769">
      <w:pPr>
        <w:pStyle w:val="SingleTxtG"/>
        <w:ind w:left="2268" w:hanging="1134"/>
        <w:rPr>
          <w:sz w:val="18"/>
          <w:szCs w:val="18"/>
          <w:lang w:val="fr-FR"/>
        </w:rPr>
      </w:pPr>
      <w:r w:rsidRPr="00960524">
        <w:rPr>
          <w:lang w:val="fr-FR"/>
        </w:rPr>
        <w:t>« 8.2.1.1</w:t>
      </w:r>
      <w:r w:rsidRPr="00960524">
        <w:rPr>
          <w:lang w:val="fr-FR"/>
        </w:rPr>
        <w:tab/>
        <w:t xml:space="preserve">Les </w:t>
      </w:r>
      <w:r w:rsidRPr="00960524">
        <w:rPr>
          <w:b/>
          <w:lang w:val="fr-FR"/>
        </w:rPr>
        <w:t>vitrages</w:t>
      </w:r>
      <w:r w:rsidRPr="00960524">
        <w:rPr>
          <w:lang w:val="fr-FR"/>
        </w:rPr>
        <w:t xml:space="preserve"> de sécurité doivent être soumis aux essais énumérés dans le tableau ci-après </w:t>
      </w:r>
      <w:r w:rsidRPr="00B62BC3">
        <w:rPr>
          <w:sz w:val="18"/>
          <w:szCs w:val="18"/>
          <w:lang w:val="fr-FR"/>
        </w:rPr>
        <w:t>:</w:t>
      </w:r>
    </w:p>
    <w:p w:rsidR="00960524" w:rsidRDefault="00960524" w:rsidP="00B53769">
      <w:pPr>
        <w:pStyle w:val="SingleTxtG"/>
        <w:ind w:left="2268" w:hanging="1134"/>
        <w:rPr>
          <w:sz w:val="18"/>
          <w:szCs w:val="18"/>
          <w:lang w:val="fr-FR"/>
        </w:rPr>
        <w:sectPr w:rsidR="00960524" w:rsidSect="00264E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13778"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84"/>
        <w:gridCol w:w="1121"/>
        <w:gridCol w:w="1107"/>
        <w:gridCol w:w="996"/>
        <w:gridCol w:w="1218"/>
        <w:gridCol w:w="1218"/>
        <w:gridCol w:w="1218"/>
        <w:gridCol w:w="1218"/>
        <w:gridCol w:w="1218"/>
        <w:gridCol w:w="1218"/>
        <w:gridCol w:w="1062"/>
      </w:tblGrid>
      <w:tr w:rsidR="003358FE" w:rsidRPr="004C3167" w:rsidTr="003358FE">
        <w:trPr>
          <w:tblHeader/>
        </w:trPr>
        <w:tc>
          <w:tcPr>
            <w:tcW w:w="1974" w:type="dxa"/>
            <w:vMerge w:val="restart"/>
            <w:tcBorders>
              <w:bottom w:val="single" w:sz="12" w:space="0" w:color="auto"/>
            </w:tcBorders>
            <w:shd w:val="clear" w:color="auto" w:fill="auto"/>
            <w:vAlign w:val="bottom"/>
          </w:tcPr>
          <w:p w:rsidR="003358FE" w:rsidRPr="004C3167" w:rsidRDefault="003358FE" w:rsidP="003358FE">
            <w:pPr>
              <w:suppressAutoHyphens w:val="0"/>
              <w:spacing w:before="80" w:after="80" w:line="240" w:lineRule="auto"/>
              <w:ind w:left="113" w:right="113"/>
              <w:jc w:val="both"/>
              <w:rPr>
                <w:i/>
                <w:sz w:val="16"/>
                <w:lang w:val="fr-FR"/>
              </w:rPr>
            </w:pPr>
            <w:r w:rsidRPr="004C3167">
              <w:rPr>
                <w:i/>
                <w:sz w:val="16"/>
                <w:lang w:val="fr-FR"/>
              </w:rPr>
              <w:lastRenderedPageBreak/>
              <w:t>Essai</w:t>
            </w:r>
          </w:p>
        </w:tc>
        <w:tc>
          <w:tcPr>
            <w:tcW w:w="7313" w:type="dxa"/>
            <w:gridSpan w:val="7"/>
            <w:tcBorders>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center"/>
              <w:rPr>
                <w:lang w:val="fr-FR"/>
              </w:rPr>
            </w:pPr>
            <w:r w:rsidRPr="004C3167">
              <w:rPr>
                <w:i/>
                <w:sz w:val="16"/>
                <w:lang w:val="fr-FR"/>
              </w:rPr>
              <w:t>Pare-brise</w:t>
            </w:r>
          </w:p>
        </w:tc>
        <w:tc>
          <w:tcPr>
            <w:tcW w:w="3159" w:type="dxa"/>
            <w:gridSpan w:val="3"/>
            <w:tcBorders>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center"/>
              <w:rPr>
                <w:i/>
                <w:sz w:val="16"/>
                <w:lang w:val="fr-FR"/>
              </w:rPr>
            </w:pPr>
            <w:r w:rsidRPr="004C3167">
              <w:rPr>
                <w:b/>
                <w:i/>
                <w:sz w:val="16"/>
                <w:lang w:val="fr-FR"/>
              </w:rPr>
              <w:t>Autres vitrages</w:t>
            </w:r>
          </w:p>
        </w:tc>
      </w:tr>
      <w:tr w:rsidR="003358FE" w:rsidRPr="004C3167" w:rsidTr="00960524">
        <w:trPr>
          <w:tblHeader/>
        </w:trPr>
        <w:tc>
          <w:tcPr>
            <w:tcW w:w="1974" w:type="dxa"/>
            <w:vMerge/>
            <w:tcBorders>
              <w:top w:val="single" w:sz="12" w:space="0" w:color="auto"/>
            </w:tcBorders>
            <w:shd w:val="clear" w:color="auto" w:fill="auto"/>
            <w:vAlign w:val="bottom"/>
          </w:tcPr>
          <w:p w:rsidR="003358FE" w:rsidRPr="004C3167" w:rsidRDefault="003358FE" w:rsidP="003358FE">
            <w:pPr>
              <w:suppressAutoHyphens w:val="0"/>
              <w:spacing w:before="80" w:after="80" w:line="240" w:lineRule="auto"/>
              <w:ind w:left="113" w:right="113"/>
              <w:jc w:val="both"/>
              <w:rPr>
                <w:sz w:val="18"/>
                <w:lang w:val="fr-FR"/>
              </w:rPr>
            </w:pPr>
          </w:p>
        </w:tc>
        <w:tc>
          <w:tcPr>
            <w:tcW w:w="2013" w:type="dxa"/>
            <w:gridSpan w:val="2"/>
            <w:tcBorders>
              <w:top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trempé</w:t>
            </w:r>
          </w:p>
        </w:tc>
        <w:tc>
          <w:tcPr>
            <w:tcW w:w="2000" w:type="dxa"/>
            <w:gridSpan w:val="2"/>
            <w:tcBorders>
              <w:top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feuilleté ordinaire</w:t>
            </w:r>
          </w:p>
        </w:tc>
        <w:tc>
          <w:tcPr>
            <w:tcW w:w="2200" w:type="dxa"/>
            <w:gridSpan w:val="2"/>
            <w:tcBorders>
              <w:top w:val="single" w:sz="2" w:space="0" w:color="auto"/>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feuilleté traité</w:t>
            </w:r>
          </w:p>
        </w:tc>
        <w:tc>
          <w:tcPr>
            <w:tcW w:w="1100" w:type="dxa"/>
            <w:tcBorders>
              <w:top w:val="single" w:sz="2" w:space="0" w:color="auto"/>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plastique</w:t>
            </w:r>
          </w:p>
        </w:tc>
        <w:tc>
          <w:tcPr>
            <w:tcW w:w="1100" w:type="dxa"/>
            <w:tcBorders>
              <w:top w:val="single" w:sz="2" w:space="0" w:color="auto"/>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trempé</w:t>
            </w:r>
          </w:p>
        </w:tc>
        <w:tc>
          <w:tcPr>
            <w:tcW w:w="1100" w:type="dxa"/>
            <w:tcBorders>
              <w:top w:val="single" w:sz="2" w:space="0" w:color="auto"/>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feuilleté</w:t>
            </w:r>
          </w:p>
        </w:tc>
        <w:tc>
          <w:tcPr>
            <w:tcW w:w="959" w:type="dxa"/>
            <w:tcBorders>
              <w:top w:val="single" w:sz="2" w:space="0" w:color="auto"/>
              <w:bottom w:val="single" w:sz="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Verre plastique</w:t>
            </w:r>
          </w:p>
        </w:tc>
      </w:tr>
      <w:tr w:rsidR="003358FE" w:rsidRPr="004C3167" w:rsidTr="00960524">
        <w:trPr>
          <w:tblHeader/>
        </w:trPr>
        <w:tc>
          <w:tcPr>
            <w:tcW w:w="1974" w:type="dxa"/>
            <w:vMerge/>
            <w:tcBorders>
              <w:bottom w:val="single" w:sz="12" w:space="0" w:color="auto"/>
            </w:tcBorders>
            <w:shd w:val="clear" w:color="auto" w:fill="auto"/>
            <w:vAlign w:val="bottom"/>
          </w:tcPr>
          <w:p w:rsidR="003358FE" w:rsidRPr="004C3167" w:rsidRDefault="003358FE" w:rsidP="003358FE">
            <w:pPr>
              <w:suppressAutoHyphens w:val="0"/>
              <w:spacing w:before="80" w:after="80" w:line="240" w:lineRule="auto"/>
              <w:ind w:left="113" w:right="113"/>
              <w:jc w:val="both"/>
              <w:rPr>
                <w:sz w:val="18"/>
                <w:lang w:val="fr-FR"/>
              </w:rPr>
            </w:pPr>
          </w:p>
        </w:tc>
        <w:tc>
          <w:tcPr>
            <w:tcW w:w="1013"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w:t>
            </w:r>
          </w:p>
        </w:tc>
        <w:tc>
          <w:tcPr>
            <w:tcW w:w="10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I-P</w:t>
            </w:r>
          </w:p>
        </w:tc>
        <w:tc>
          <w:tcPr>
            <w:tcW w:w="9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II</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II-P</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III</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III-P</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i/>
                <w:sz w:val="16"/>
                <w:lang w:val="fr-FR"/>
              </w:rPr>
            </w:pPr>
            <w:r w:rsidRPr="004C3167">
              <w:rPr>
                <w:i/>
                <w:sz w:val="16"/>
                <w:lang w:val="fr-FR"/>
              </w:rPr>
              <w:t>IV</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sz w:val="18"/>
                <w:lang w:val="fr-FR"/>
              </w:rPr>
            </w:pP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sz w:val="18"/>
                <w:lang w:val="fr-FR"/>
              </w:rPr>
            </w:pPr>
          </w:p>
        </w:tc>
        <w:tc>
          <w:tcPr>
            <w:tcW w:w="959" w:type="dxa"/>
            <w:tcBorders>
              <w:bottom w:val="single" w:sz="12" w:space="0" w:color="auto"/>
            </w:tcBorders>
            <w:shd w:val="clear" w:color="auto" w:fill="auto"/>
            <w:vAlign w:val="bottom"/>
          </w:tcPr>
          <w:p w:rsidR="003358FE" w:rsidRPr="004C3167" w:rsidRDefault="003358FE" w:rsidP="00960524">
            <w:pPr>
              <w:suppressAutoHyphens w:val="0"/>
              <w:spacing w:before="80" w:after="80" w:line="240" w:lineRule="auto"/>
              <w:ind w:left="113" w:right="113"/>
              <w:jc w:val="right"/>
              <w:rPr>
                <w:sz w:val="18"/>
                <w:lang w:val="fr-FR"/>
              </w:rPr>
            </w:pPr>
          </w:p>
        </w:tc>
      </w:tr>
      <w:tr w:rsidR="003358FE" w:rsidRPr="004C3167" w:rsidTr="00960524">
        <w:tc>
          <w:tcPr>
            <w:tcW w:w="1974" w:type="dxa"/>
            <w:tcBorders>
              <w:top w:val="single" w:sz="12" w:space="0" w:color="auto"/>
            </w:tcBorders>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Fragmentation </w:t>
            </w:r>
          </w:p>
        </w:tc>
        <w:tc>
          <w:tcPr>
            <w:tcW w:w="1013"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A4/2</w:t>
            </w:r>
          </w:p>
        </w:tc>
        <w:tc>
          <w:tcPr>
            <w:tcW w:w="10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A4/2</w:t>
            </w:r>
          </w:p>
        </w:tc>
        <w:tc>
          <w:tcPr>
            <w:tcW w:w="9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A8/4</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A8/4</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A5/2</w:t>
            </w:r>
          </w:p>
        </w:tc>
        <w:tc>
          <w:tcPr>
            <w:tcW w:w="1100"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59" w:type="dxa"/>
            <w:tcBorders>
              <w:top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Résistance mécanique :</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r>
      <w:tr w:rsidR="003358FE" w:rsidRPr="004C3167" w:rsidTr="00960524">
        <w:tc>
          <w:tcPr>
            <w:tcW w:w="1974" w:type="dxa"/>
            <w:tcBorders>
              <w:top w:val="single" w:sz="2" w:space="0" w:color="auto"/>
              <w:left w:val="single" w:sz="2" w:space="0" w:color="auto"/>
              <w:bottom w:val="single" w:sz="2" w:space="0" w:color="auto"/>
              <w:right w:val="single" w:sz="2" w:space="0" w:color="auto"/>
            </w:tcBorders>
            <w:shd w:val="clear" w:color="auto" w:fill="auto"/>
          </w:tcPr>
          <w:p w:rsidR="003358FE" w:rsidRPr="004C3167" w:rsidRDefault="003358FE" w:rsidP="003358FE">
            <w:pPr>
              <w:suppressAutoHyphens w:val="0"/>
              <w:spacing w:before="60" w:after="60" w:line="240" w:lineRule="auto"/>
              <w:ind w:left="113" w:right="113"/>
              <w:rPr>
                <w:sz w:val="18"/>
                <w:lang w:val="fr-FR"/>
              </w:rPr>
            </w:pPr>
            <w:r>
              <w:rPr>
                <w:sz w:val="18"/>
                <w:lang w:val="fr-FR"/>
              </w:rPr>
              <w:t xml:space="preserve">- </w:t>
            </w:r>
            <w:r w:rsidRPr="004C3167">
              <w:rPr>
                <w:sz w:val="18"/>
                <w:lang w:val="fr-FR"/>
              </w:rPr>
              <w:t xml:space="preserve">Bille de 227 g </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A7/4.3</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A11/3</w:t>
            </w:r>
          </w:p>
        </w:tc>
      </w:tr>
      <w:tr w:rsidR="003358FE" w:rsidRPr="004C3167" w:rsidTr="00960524">
        <w:tc>
          <w:tcPr>
            <w:tcW w:w="1974" w:type="dxa"/>
            <w:tcBorders>
              <w:top w:val="single" w:sz="2" w:space="0" w:color="auto"/>
              <w:left w:val="single" w:sz="2" w:space="0" w:color="auto"/>
              <w:bottom w:val="single" w:sz="2" w:space="0" w:color="auto"/>
              <w:right w:val="single" w:sz="2" w:space="0" w:color="auto"/>
            </w:tcBorders>
            <w:shd w:val="clear" w:color="auto" w:fill="auto"/>
          </w:tcPr>
          <w:p w:rsidR="003358FE" w:rsidRPr="004C3167" w:rsidRDefault="003358FE" w:rsidP="003358FE">
            <w:pPr>
              <w:suppressAutoHyphens w:val="0"/>
              <w:spacing w:before="60" w:after="60" w:line="240" w:lineRule="auto"/>
              <w:ind w:left="113" w:right="113"/>
              <w:rPr>
                <w:sz w:val="18"/>
                <w:lang w:val="fr-FR"/>
              </w:rPr>
            </w:pPr>
            <w:r>
              <w:rPr>
                <w:sz w:val="18"/>
                <w:lang w:val="fr-FR"/>
              </w:rPr>
              <w:t xml:space="preserve">- </w:t>
            </w:r>
            <w:r w:rsidRPr="004C3167">
              <w:rPr>
                <w:sz w:val="18"/>
                <w:lang w:val="fr-FR"/>
              </w:rPr>
              <w:t xml:space="preserve">Bille de </w:t>
            </w:r>
            <w:r>
              <w:rPr>
                <w:sz w:val="18"/>
                <w:lang w:val="fr-FR"/>
              </w:rPr>
              <w:t>2 </w:t>
            </w:r>
            <w:r w:rsidRPr="004C3167">
              <w:rPr>
                <w:sz w:val="18"/>
                <w:lang w:val="fr-FR"/>
              </w:rPr>
              <w:t xml:space="preserve">260 g </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b/>
                <w:sz w:val="18"/>
                <w:lang w:val="fr-FR"/>
              </w:rPr>
            </w:pPr>
            <w:r w:rsidRPr="004C3167">
              <w:rPr>
                <w:strike/>
                <w:sz w:val="18"/>
                <w:lang w:val="fr-FR"/>
              </w:rPr>
              <w:t>-</w:t>
            </w:r>
            <w:r w:rsidRPr="004C3167">
              <w:rPr>
                <w:b/>
                <w:sz w:val="18"/>
                <w:lang w:val="fr-FR"/>
              </w:rPr>
              <w:t>A7/4.2</w:t>
            </w:r>
            <w:r w:rsidRPr="004C3167">
              <w:rPr>
                <w:b/>
                <w:sz w:val="18"/>
                <w:vertAlign w:val="superscript"/>
                <w:lang w:val="fr-FR"/>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r>
      <w:tr w:rsidR="003358FE" w:rsidRPr="004C3167" w:rsidTr="00960524">
        <w:tc>
          <w:tcPr>
            <w:tcW w:w="1974" w:type="dxa"/>
            <w:tcBorders>
              <w:top w:val="single" w:sz="2" w:space="0" w:color="auto"/>
              <w:left w:val="single" w:sz="2" w:space="0" w:color="auto"/>
              <w:bottom w:val="single" w:sz="2" w:space="0" w:color="auto"/>
              <w:right w:val="single" w:sz="2" w:space="0" w:color="auto"/>
            </w:tcBorders>
            <w:shd w:val="clear" w:color="auto" w:fill="auto"/>
          </w:tcPr>
          <w:p w:rsidR="003358FE" w:rsidRPr="004C3167" w:rsidRDefault="003358FE" w:rsidP="002D00C3">
            <w:pPr>
              <w:suppressAutoHyphens w:val="0"/>
              <w:spacing w:before="60" w:after="60" w:line="240" w:lineRule="auto"/>
              <w:ind w:left="113" w:right="113"/>
              <w:rPr>
                <w:sz w:val="18"/>
                <w:lang w:val="fr-FR"/>
              </w:rPr>
            </w:pPr>
            <w:r w:rsidRPr="004C3167">
              <w:rPr>
                <w:sz w:val="18"/>
                <w:lang w:val="fr-FR"/>
              </w:rPr>
              <w:t>Comportement au choc de</w:t>
            </w:r>
            <w:r w:rsidR="002D00C3">
              <w:rPr>
                <w:sz w:val="18"/>
                <w:lang w:val="fr-FR"/>
              </w:rPr>
              <w:t> </w:t>
            </w:r>
            <w:r w:rsidRPr="004C3167">
              <w:rPr>
                <w:sz w:val="18"/>
                <w:lang w:val="fr-FR"/>
              </w:rPr>
              <w:t>la tête</w:t>
            </w:r>
            <w:r w:rsidRPr="004C3167">
              <w:rPr>
                <w:sz w:val="18"/>
                <w:vertAlign w:val="superscript"/>
                <w:lang w:val="fr-FR"/>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trike/>
                <w:sz w:val="18"/>
                <w:lang w:val="fr-FR"/>
              </w:rPr>
              <w:t>-</w:t>
            </w:r>
            <w:r w:rsidRPr="004C3167">
              <w:rPr>
                <w:b/>
                <w:sz w:val="18"/>
                <w:lang w:val="fr-FR"/>
              </w:rPr>
              <w:t>A7/3</w:t>
            </w:r>
            <w:r w:rsidRPr="004C3167">
              <w:rPr>
                <w:b/>
                <w:sz w:val="18"/>
                <w:vertAlign w:val="superscript"/>
                <w:lang w:val="fr-FR"/>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 xml:space="preserve">- </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Abrasion :</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Face externe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A6/5.1</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Face interne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r w:rsidRPr="004C3167">
              <w:rPr>
                <w:sz w:val="18"/>
                <w:vertAlign w:val="superscript"/>
                <w:lang w:val="fr-FR"/>
              </w:rPr>
              <w:t>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r w:rsidRPr="004C3167">
              <w:rPr>
                <w:sz w:val="18"/>
                <w:vertAlign w:val="superscript"/>
                <w:lang w:val="fr-FR"/>
              </w:rPr>
              <w:t>2</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A9/2</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Haute température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A3/5</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Rayonnement</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A3/6</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Humidité</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r w:rsidRPr="004C3167">
              <w:rPr>
                <w:sz w:val="18"/>
                <w:vertAlign w:val="superscript"/>
                <w:lang w:val="fr-FR"/>
              </w:rPr>
              <w:t>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A3/7</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 xml:space="preserve">Transmission </w:t>
            </w:r>
            <w:r w:rsidR="002D00C3">
              <w:rPr>
                <w:sz w:val="18"/>
                <w:lang w:val="fr-FR"/>
              </w:rPr>
              <w:br/>
            </w:r>
            <w:r w:rsidRPr="004C3167">
              <w:rPr>
                <w:sz w:val="18"/>
                <w:lang w:val="fr-FR"/>
              </w:rPr>
              <w:t>de la lumière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A3/9.1</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Distorsion optique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A3/9.2</w:t>
            </w:r>
            <w:r w:rsidRPr="004C3167">
              <w:rPr>
                <w:sz w:val="18"/>
                <w:vertAlign w:val="superscript"/>
                <w:lang w:val="fr-FR"/>
              </w:rPr>
              <w:t>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Image secondaire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A3/9.3</w:t>
            </w:r>
            <w:r w:rsidRPr="004C3167">
              <w:rPr>
                <w:sz w:val="18"/>
                <w:vertAlign w:val="superscript"/>
                <w:lang w:val="fr-FR"/>
              </w:rPr>
              <w:t>3</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r>
      <w:tr w:rsidR="003358FE" w:rsidRPr="004C3167" w:rsidTr="00960524">
        <w:tc>
          <w:tcPr>
            <w:tcW w:w="1974" w:type="dxa"/>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 xml:space="preserve">Résistance </w:t>
            </w:r>
            <w:r w:rsidR="002D00C3">
              <w:rPr>
                <w:sz w:val="18"/>
                <w:lang w:val="fr-FR"/>
              </w:rPr>
              <w:br/>
            </w:r>
            <w:r w:rsidRPr="004C3167">
              <w:rPr>
                <w:sz w:val="18"/>
                <w:lang w:val="fr-FR"/>
              </w:rPr>
              <w:t xml:space="preserve">aux changements </w:t>
            </w:r>
            <w:r w:rsidR="002D00C3">
              <w:rPr>
                <w:sz w:val="18"/>
                <w:lang w:val="fr-FR"/>
              </w:rPr>
              <w:br/>
            </w:r>
            <w:r w:rsidRPr="004C3167">
              <w:rPr>
                <w:sz w:val="18"/>
                <w:lang w:val="fr-FR"/>
              </w:rPr>
              <w:t>de température</w:t>
            </w:r>
          </w:p>
        </w:tc>
        <w:tc>
          <w:tcPr>
            <w:tcW w:w="1013"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p>
        </w:tc>
        <w:tc>
          <w:tcPr>
            <w:tcW w:w="9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r w:rsidRPr="004C3167">
              <w:rPr>
                <w:sz w:val="18"/>
                <w:vertAlign w:val="superscript"/>
                <w:lang w:val="fr-FR"/>
              </w:rPr>
              <w:t>2</w:t>
            </w:r>
          </w:p>
        </w:tc>
        <w:tc>
          <w:tcPr>
            <w:tcW w:w="1100"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r w:rsidRPr="004C3167">
              <w:rPr>
                <w:sz w:val="18"/>
                <w:vertAlign w:val="superscript"/>
                <w:lang w:val="fr-FR"/>
              </w:rPr>
              <w:t>2</w:t>
            </w:r>
          </w:p>
        </w:tc>
        <w:tc>
          <w:tcPr>
            <w:tcW w:w="959" w:type="dxa"/>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A3/8</w:t>
            </w:r>
          </w:p>
        </w:tc>
      </w:tr>
      <w:tr w:rsidR="003358FE" w:rsidRPr="004C3167" w:rsidTr="00960524">
        <w:tc>
          <w:tcPr>
            <w:tcW w:w="1974" w:type="dxa"/>
            <w:tcBorders>
              <w:bottom w:val="single" w:sz="2" w:space="0" w:color="auto"/>
            </w:tcBorders>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Résistance au feu</w:t>
            </w:r>
          </w:p>
        </w:tc>
        <w:tc>
          <w:tcPr>
            <w:tcW w:w="1013"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p>
        </w:tc>
        <w:tc>
          <w:tcPr>
            <w:tcW w:w="9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r w:rsidRPr="004C3167">
              <w:rPr>
                <w:sz w:val="18"/>
                <w:vertAlign w:val="superscript"/>
                <w:lang w:val="fr-FR"/>
              </w:rPr>
              <w:t>2</w:t>
            </w:r>
          </w:p>
        </w:tc>
        <w:tc>
          <w:tcPr>
            <w:tcW w:w="1100"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r w:rsidRPr="004C3167">
              <w:rPr>
                <w:sz w:val="18"/>
                <w:vertAlign w:val="superscript"/>
                <w:lang w:val="fr-FR"/>
              </w:rPr>
              <w:t>2</w:t>
            </w:r>
          </w:p>
        </w:tc>
        <w:tc>
          <w:tcPr>
            <w:tcW w:w="959" w:type="dxa"/>
            <w:tcBorders>
              <w:bottom w:val="single" w:sz="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A3/10</w:t>
            </w:r>
          </w:p>
        </w:tc>
      </w:tr>
      <w:tr w:rsidR="003358FE" w:rsidRPr="004C3167" w:rsidTr="00960524">
        <w:tc>
          <w:tcPr>
            <w:tcW w:w="1974" w:type="dxa"/>
            <w:tcBorders>
              <w:bottom w:val="single" w:sz="12" w:space="0" w:color="auto"/>
            </w:tcBorders>
            <w:shd w:val="clear" w:color="auto" w:fill="auto"/>
          </w:tcPr>
          <w:p w:rsidR="003358FE" w:rsidRPr="004C3167" w:rsidRDefault="003358FE" w:rsidP="003358FE">
            <w:pPr>
              <w:suppressAutoHyphens w:val="0"/>
              <w:spacing w:before="60" w:after="60" w:line="240" w:lineRule="auto"/>
              <w:ind w:left="113" w:right="113"/>
              <w:rPr>
                <w:sz w:val="18"/>
                <w:lang w:val="fr-FR"/>
              </w:rPr>
            </w:pPr>
            <w:r w:rsidRPr="004C3167">
              <w:rPr>
                <w:sz w:val="18"/>
                <w:lang w:val="fr-FR"/>
              </w:rPr>
              <w:t xml:space="preserve">Résistance </w:t>
            </w:r>
            <w:r w:rsidR="002D00C3">
              <w:rPr>
                <w:sz w:val="18"/>
                <w:lang w:val="fr-FR"/>
              </w:rPr>
              <w:br/>
            </w:r>
            <w:r w:rsidRPr="004C3167">
              <w:rPr>
                <w:sz w:val="18"/>
                <w:lang w:val="fr-FR"/>
              </w:rPr>
              <w:t>aux agents chimiques</w:t>
            </w:r>
          </w:p>
        </w:tc>
        <w:tc>
          <w:tcPr>
            <w:tcW w:w="1013"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0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p>
        </w:tc>
        <w:tc>
          <w:tcPr>
            <w:tcW w:w="9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r w:rsidRPr="004C3167">
              <w:rPr>
                <w:sz w:val="18"/>
                <w:vertAlign w:val="superscript"/>
                <w:lang w:val="fr-FR"/>
              </w:rPr>
              <w:t>2</w:t>
            </w:r>
          </w:p>
        </w:tc>
        <w:tc>
          <w:tcPr>
            <w:tcW w:w="1100"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r w:rsidRPr="004C3167">
              <w:rPr>
                <w:sz w:val="18"/>
                <w:vertAlign w:val="superscript"/>
                <w:lang w:val="fr-FR"/>
              </w:rPr>
              <w:t>2</w:t>
            </w:r>
          </w:p>
        </w:tc>
        <w:tc>
          <w:tcPr>
            <w:tcW w:w="959" w:type="dxa"/>
            <w:tcBorders>
              <w:bottom w:val="single" w:sz="12" w:space="0" w:color="auto"/>
            </w:tcBorders>
            <w:shd w:val="clear" w:color="auto" w:fill="auto"/>
            <w:vAlign w:val="bottom"/>
          </w:tcPr>
          <w:p w:rsidR="003358FE" w:rsidRPr="004C3167" w:rsidRDefault="003358FE" w:rsidP="00960524">
            <w:pPr>
              <w:suppressAutoHyphens w:val="0"/>
              <w:spacing w:before="60" w:after="60" w:line="240" w:lineRule="auto"/>
              <w:ind w:left="113" w:right="113"/>
              <w:jc w:val="right"/>
              <w:rPr>
                <w:sz w:val="18"/>
                <w:lang w:val="fr-FR"/>
              </w:rPr>
            </w:pPr>
            <w:r w:rsidRPr="004C3167">
              <w:rPr>
                <w:sz w:val="18"/>
                <w:lang w:val="fr-FR"/>
              </w:rPr>
              <w:t>A3/11.2.1</w:t>
            </w:r>
          </w:p>
        </w:tc>
      </w:tr>
    </w:tbl>
    <w:p w:rsidR="003D31FD" w:rsidRPr="003358FE" w:rsidRDefault="003358FE" w:rsidP="003358FE">
      <w:pPr>
        <w:spacing w:before="120"/>
        <w:ind w:left="284" w:firstLine="170"/>
        <w:rPr>
          <w:sz w:val="18"/>
          <w:szCs w:val="18"/>
          <w:lang w:val="fr-FR"/>
        </w:rPr>
      </w:pPr>
      <w:r w:rsidRPr="003358FE">
        <w:rPr>
          <w:sz w:val="18"/>
          <w:szCs w:val="18"/>
          <w:vertAlign w:val="superscript"/>
          <w:lang w:val="fr-FR"/>
        </w:rPr>
        <w:t>1</w:t>
      </w:r>
      <w:r>
        <w:rPr>
          <w:sz w:val="18"/>
          <w:szCs w:val="18"/>
          <w:vertAlign w:val="superscript"/>
          <w:lang w:val="fr-FR"/>
        </w:rPr>
        <w:t>  </w:t>
      </w:r>
      <w:r w:rsidRPr="003358FE">
        <w:rPr>
          <w:sz w:val="18"/>
          <w:szCs w:val="18"/>
          <w:lang w:val="fr-FR"/>
        </w:rPr>
        <w:t>Cet essai doit en outre être effectué sur les vi</w:t>
      </w:r>
      <w:r w:rsidR="00DA1D2B">
        <w:rPr>
          <w:sz w:val="18"/>
          <w:szCs w:val="18"/>
          <w:lang w:val="fr-FR"/>
        </w:rPr>
        <w:t xml:space="preserve">trages multiples selon l’annexe </w:t>
      </w:r>
      <w:r w:rsidRPr="003358FE">
        <w:rPr>
          <w:sz w:val="18"/>
          <w:szCs w:val="18"/>
          <w:lang w:val="fr-FR"/>
        </w:rPr>
        <w:t>12, par. 3 (A12/3).</w:t>
      </w:r>
    </w:p>
    <w:p w:rsidR="003358FE" w:rsidRPr="003358FE" w:rsidRDefault="003358FE" w:rsidP="003358FE">
      <w:pPr>
        <w:ind w:left="284" w:firstLine="170"/>
        <w:rPr>
          <w:sz w:val="18"/>
          <w:szCs w:val="18"/>
          <w:lang w:val="fr-FR"/>
        </w:rPr>
      </w:pPr>
      <w:r w:rsidRPr="003358FE">
        <w:rPr>
          <w:sz w:val="18"/>
          <w:szCs w:val="18"/>
          <w:vertAlign w:val="superscript"/>
          <w:lang w:val="fr-FR"/>
        </w:rPr>
        <w:t>2</w:t>
      </w:r>
      <w:r>
        <w:rPr>
          <w:sz w:val="18"/>
          <w:szCs w:val="18"/>
          <w:vertAlign w:val="superscript"/>
          <w:lang w:val="fr-FR"/>
        </w:rPr>
        <w:t>  </w:t>
      </w:r>
      <w:r w:rsidRPr="003358FE">
        <w:rPr>
          <w:sz w:val="18"/>
          <w:szCs w:val="18"/>
          <w:lang w:val="fr-FR"/>
        </w:rPr>
        <w:t>Si revêtu intérieurement de matière plastique.</w:t>
      </w:r>
    </w:p>
    <w:p w:rsidR="003358FE" w:rsidRPr="003358FE" w:rsidRDefault="003358FE" w:rsidP="003358FE">
      <w:pPr>
        <w:ind w:left="284" w:firstLine="170"/>
        <w:rPr>
          <w:sz w:val="18"/>
          <w:szCs w:val="18"/>
          <w:lang w:val="fr-FR"/>
        </w:rPr>
      </w:pPr>
      <w:r w:rsidRPr="003358FE">
        <w:rPr>
          <w:sz w:val="18"/>
          <w:szCs w:val="18"/>
          <w:vertAlign w:val="superscript"/>
          <w:lang w:val="fr-FR"/>
        </w:rPr>
        <w:t>3</w:t>
      </w:r>
      <w:r>
        <w:rPr>
          <w:sz w:val="18"/>
          <w:szCs w:val="18"/>
          <w:vertAlign w:val="superscript"/>
          <w:lang w:val="fr-FR"/>
        </w:rPr>
        <w:t>  </w:t>
      </w:r>
      <w:r w:rsidRPr="003358FE">
        <w:rPr>
          <w:sz w:val="18"/>
          <w:szCs w:val="18"/>
          <w:lang w:val="fr-FR"/>
        </w:rPr>
        <w:t xml:space="preserve">Cet essai ne doit être effectué que sur des vitrages à trempe uniforme utilisés comme pare-brise sur les véhicules qui, par construction, ne peuvent pas dépasser 40 km/h. </w:t>
      </w:r>
    </w:p>
    <w:p w:rsidR="003358FE" w:rsidRPr="003358FE" w:rsidRDefault="003358FE" w:rsidP="003358FE">
      <w:pPr>
        <w:spacing w:after="120"/>
        <w:ind w:left="284" w:firstLine="170"/>
        <w:rPr>
          <w:b/>
          <w:sz w:val="18"/>
          <w:szCs w:val="18"/>
          <w:lang w:val="fr-FR"/>
        </w:rPr>
      </w:pPr>
      <w:r w:rsidRPr="003358FE">
        <w:rPr>
          <w:b/>
          <w:sz w:val="18"/>
          <w:szCs w:val="18"/>
          <w:vertAlign w:val="superscript"/>
          <w:lang w:val="fr-FR"/>
        </w:rPr>
        <w:t>4  </w:t>
      </w:r>
      <w:r w:rsidRPr="003358FE">
        <w:rPr>
          <w:b/>
          <w:sz w:val="18"/>
          <w:szCs w:val="18"/>
          <w:lang w:val="fr-FR"/>
        </w:rPr>
        <w:t>Cet essai ne doit être effectué que sur des vitrages en verre feuilleté portant le symbole complémentaire</w:t>
      </w:r>
      <w:r>
        <w:rPr>
          <w:b/>
          <w:sz w:val="18"/>
          <w:szCs w:val="18"/>
          <w:lang w:val="fr-FR"/>
        </w:rPr>
        <w:t xml:space="preserve"> /D.</w:t>
      </w:r>
    </w:p>
    <w:p w:rsidR="00CE6634" w:rsidRDefault="003358FE" w:rsidP="003358FE">
      <w:pPr>
        <w:ind w:left="284" w:firstLine="170"/>
        <w:rPr>
          <w:sz w:val="18"/>
          <w:szCs w:val="18"/>
          <w:lang w:val="fr-FR"/>
        </w:rPr>
        <w:sectPr w:rsidR="00CE6634" w:rsidSect="00331C4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r w:rsidRPr="003358FE">
        <w:rPr>
          <w:i/>
          <w:sz w:val="18"/>
          <w:szCs w:val="18"/>
          <w:lang w:val="fr-FR"/>
        </w:rPr>
        <w:t>Note :</w:t>
      </w:r>
      <w:r w:rsidR="00DA1D2B">
        <w:rPr>
          <w:sz w:val="18"/>
          <w:szCs w:val="18"/>
          <w:lang w:val="fr-FR"/>
        </w:rPr>
        <w:t> </w:t>
      </w:r>
      <w:r w:rsidRPr="003358FE">
        <w:rPr>
          <w:sz w:val="18"/>
          <w:szCs w:val="18"/>
          <w:lang w:val="fr-FR"/>
        </w:rPr>
        <w:t>La mention « A4/3 » par exemple renvoie à l’annexe 4 et au paragraphe 3 de cette annexe, où l’on trouvera la description de l’essai pertinent et les prescriptions d’homologation.</w:t>
      </w:r>
    </w:p>
    <w:p w:rsidR="00CE6634" w:rsidRPr="004C3167" w:rsidRDefault="00CE6634" w:rsidP="00CE6634">
      <w:pPr>
        <w:tabs>
          <w:tab w:val="left" w:pos="2240"/>
        </w:tabs>
        <w:spacing w:after="120" w:line="240" w:lineRule="auto"/>
        <w:ind w:left="1134" w:right="1134"/>
        <w:jc w:val="both"/>
        <w:rPr>
          <w:i/>
          <w:lang w:val="fr-FR" w:eastAsia="ar-SA"/>
        </w:rPr>
      </w:pPr>
      <w:r w:rsidRPr="004C3167">
        <w:rPr>
          <w:i/>
          <w:lang w:val="fr-FR" w:eastAsia="ar-SA"/>
        </w:rPr>
        <w:lastRenderedPageBreak/>
        <w:t>Annexe 1, Appendice 4</w:t>
      </w:r>
      <w:r w:rsidRPr="00CE6634">
        <w:rPr>
          <w:lang w:val="fr-FR" w:eastAsia="ar-SA"/>
        </w:rPr>
        <w:t>,</w:t>
      </w:r>
      <w:r w:rsidRPr="004C3167">
        <w:rPr>
          <w:i/>
          <w:lang w:val="fr-FR" w:eastAsia="ar-SA"/>
        </w:rPr>
        <w:t xml:space="preserve"> </w:t>
      </w:r>
      <w:r w:rsidRPr="004C3167">
        <w:rPr>
          <w:lang w:val="fr-FR" w:eastAsia="ar-SA"/>
        </w:rPr>
        <w:t xml:space="preserve">modifier comme suit (y compris en ajoutant </w:t>
      </w:r>
      <w:r>
        <w:rPr>
          <w:lang w:val="fr-FR" w:eastAsia="ar-SA"/>
        </w:rPr>
        <w:t>la nouvelle note de bas de page</w:t>
      </w:r>
      <w:r w:rsidRPr="007B33DC">
        <w:rPr>
          <w:vertAlign w:val="superscript"/>
          <w:lang w:val="fr-FR" w:eastAsia="ar-SA"/>
        </w:rPr>
        <w:t>1</w:t>
      </w:r>
      <w:r w:rsidRPr="004C3167">
        <w:rPr>
          <w:lang w:val="fr-FR" w:eastAsia="ar-SA"/>
        </w:rPr>
        <w:t>) :</w:t>
      </w:r>
    </w:p>
    <w:p w:rsidR="00CE6634" w:rsidRPr="004C3167" w:rsidRDefault="00CE6634" w:rsidP="00CE6634">
      <w:pPr>
        <w:pStyle w:val="HChG"/>
        <w:rPr>
          <w:lang w:val="fr-FR"/>
        </w:rPr>
      </w:pPr>
      <w:r w:rsidRPr="004C3167">
        <w:rPr>
          <w:lang w:val="fr-FR"/>
        </w:rPr>
        <w:tab/>
      </w:r>
      <w:r w:rsidRPr="004C3167">
        <w:rPr>
          <w:lang w:val="fr-FR"/>
        </w:rPr>
        <w:tab/>
        <w:t>« Vitres en verre feuilleté</w:t>
      </w:r>
    </w:p>
    <w:p w:rsidR="00CE6634" w:rsidRPr="004C3167" w:rsidRDefault="00CE6634" w:rsidP="00CE6634">
      <w:pPr>
        <w:pStyle w:val="SingleTxtG"/>
        <w:tabs>
          <w:tab w:val="right" w:leader="dot" w:pos="8505"/>
        </w:tabs>
        <w:rPr>
          <w:lang w:val="fr-FR"/>
        </w:rPr>
      </w:pPr>
      <w:r w:rsidRPr="002D00C3">
        <w:rPr>
          <w:spacing w:val="-2"/>
          <w:lang w:val="fr-FR"/>
        </w:rPr>
        <w:t>(</w:t>
      </w:r>
      <w:r w:rsidRPr="002D00C3">
        <w:rPr>
          <w:lang w:val="fr-FR"/>
        </w:rPr>
        <w:t>Caractéristiques</w:t>
      </w:r>
      <w:r w:rsidRPr="002D00C3">
        <w:rPr>
          <w:spacing w:val="-2"/>
          <w:lang w:val="fr-FR"/>
        </w:rPr>
        <w:t xml:space="preserve"> principales et secondaires </w:t>
      </w:r>
      <w:r w:rsidRPr="002D00C3">
        <w:rPr>
          <w:spacing w:val="-4"/>
          <w:lang w:val="fr-FR"/>
        </w:rPr>
        <w:t xml:space="preserve">suivant l’annexe 7 ou 9 du </w:t>
      </w:r>
      <w:r w:rsidRPr="002D00C3">
        <w:rPr>
          <w:spacing w:val="-2"/>
          <w:lang w:val="fr-FR"/>
        </w:rPr>
        <w:t>Règlement</w:t>
      </w:r>
      <w:r w:rsidRPr="002D00C3">
        <w:rPr>
          <w:spacing w:val="-4"/>
          <w:lang w:val="fr-FR"/>
        </w:rPr>
        <w:t xml:space="preserve"> ONU n</w:t>
      </w:r>
      <w:r w:rsidRPr="002D00C3">
        <w:rPr>
          <w:spacing w:val="-4"/>
          <w:vertAlign w:val="superscript"/>
          <w:lang w:val="fr-FR"/>
        </w:rPr>
        <w:t>o</w:t>
      </w:r>
      <w:r w:rsidR="002D00C3" w:rsidRPr="002D00C3">
        <w:rPr>
          <w:spacing w:val="-4"/>
          <w:lang w:val="fr-FR"/>
        </w:rPr>
        <w:t> </w:t>
      </w:r>
      <w:r w:rsidRPr="002D00C3">
        <w:rPr>
          <w:spacing w:val="-4"/>
          <w:lang w:val="fr-FR"/>
        </w:rPr>
        <w:t>43)</w:t>
      </w:r>
    </w:p>
    <w:p w:rsidR="00CE6634" w:rsidRDefault="00CE6634" w:rsidP="00FB156F">
      <w:pPr>
        <w:pStyle w:val="SingleTxtG"/>
        <w:tabs>
          <w:tab w:val="left" w:leader="dot" w:pos="5103"/>
          <w:tab w:val="left" w:pos="5387"/>
          <w:tab w:val="left" w:pos="6804"/>
          <w:tab w:val="left" w:leader="dot" w:pos="8505"/>
        </w:tabs>
        <w:ind w:left="1701"/>
        <w:rPr>
          <w:lang w:val="fr-FR"/>
        </w:rPr>
      </w:pPr>
      <w:r>
        <w:rPr>
          <w:lang w:val="fr-FR"/>
        </w:rPr>
        <w:t>No d’homologation :</w:t>
      </w:r>
      <w:r w:rsidR="00FB156F">
        <w:rPr>
          <w:lang w:val="fr-FR"/>
        </w:rPr>
        <w:tab/>
      </w:r>
      <w:r w:rsidR="00FB156F">
        <w:rPr>
          <w:lang w:val="fr-FR"/>
        </w:rPr>
        <w:tab/>
      </w:r>
      <w:r w:rsidRPr="004C3167">
        <w:rPr>
          <w:lang w:val="fr-FR"/>
        </w:rPr>
        <w:t>No d’extension :</w:t>
      </w:r>
      <w:r w:rsidR="00FB156F">
        <w:rPr>
          <w:lang w:val="fr-FR"/>
        </w:rPr>
        <w:tab/>
      </w:r>
      <w:r w:rsidR="00FB156F">
        <w:rPr>
          <w:lang w:val="fr-FR"/>
        </w:rPr>
        <w:tab/>
      </w:r>
    </w:p>
    <w:p w:rsidR="00CE6634" w:rsidRPr="004C3167" w:rsidRDefault="00CE6634" w:rsidP="00FB156F">
      <w:pPr>
        <w:pStyle w:val="SingleTxtG"/>
        <w:ind w:left="1701"/>
        <w:rPr>
          <w:lang w:val="fr-FR"/>
        </w:rPr>
      </w:pPr>
      <w:r w:rsidRPr="004C3167">
        <w:rPr>
          <w:lang w:val="fr-FR"/>
        </w:rPr>
        <w:t>Caractéristiques principales :</w:t>
      </w:r>
    </w:p>
    <w:p w:rsidR="00CE6634" w:rsidRPr="004C3167" w:rsidRDefault="00CE6634" w:rsidP="00FB156F">
      <w:pPr>
        <w:pStyle w:val="SingleTxtG"/>
        <w:ind w:left="2268"/>
        <w:rPr>
          <w:lang w:val="fr-FR"/>
        </w:rPr>
      </w:pPr>
      <w:r w:rsidRPr="004C3167">
        <w:rPr>
          <w:lang w:val="fr-FR"/>
        </w:rPr>
        <w:t xml:space="preserve">[…] </w:t>
      </w:r>
    </w:p>
    <w:p w:rsidR="00CE6634" w:rsidRPr="004C3167" w:rsidRDefault="00CE6634" w:rsidP="00FB156F">
      <w:pPr>
        <w:pStyle w:val="SingleTxtG"/>
        <w:ind w:left="1701"/>
        <w:rPr>
          <w:lang w:val="fr-FR"/>
        </w:rPr>
      </w:pPr>
      <w:r w:rsidRPr="004C3167">
        <w:rPr>
          <w:lang w:val="fr-FR"/>
        </w:rPr>
        <w:t>Remarques </w:t>
      </w:r>
      <w:r w:rsidR="00FB156F">
        <w:rPr>
          <w:lang w:val="fr-FR"/>
        </w:rPr>
        <w:t>:</w:t>
      </w:r>
    </w:p>
    <w:p w:rsidR="00CE6634" w:rsidRPr="00FB156F" w:rsidRDefault="00CE6634" w:rsidP="00FB156F">
      <w:pPr>
        <w:pStyle w:val="SingleTxtG"/>
        <w:ind w:left="1701"/>
        <w:rPr>
          <w:b/>
          <w:lang w:val="fr-FR"/>
        </w:rPr>
      </w:pPr>
      <w:r w:rsidRPr="00FB156F">
        <w:rPr>
          <w:b/>
          <w:lang w:val="fr-FR"/>
        </w:rPr>
        <w:t>Pour les vitres en verre feuilleté à propriétés mécaniques améliorées portant le symbole complémentaire /D</w:t>
      </w:r>
      <w:r w:rsidRPr="00FB156F">
        <w:rPr>
          <w:b/>
          <w:bCs/>
          <w:lang w:val="fr-FR"/>
        </w:rPr>
        <w:t xml:space="preserve"> (oui/non)</w:t>
      </w:r>
      <w:r w:rsidRPr="002D00C3">
        <w:rPr>
          <w:vertAlign w:val="superscript"/>
          <w:lang w:val="fr-FR"/>
        </w:rPr>
        <w:t>1</w:t>
      </w:r>
    </w:p>
    <w:p w:rsidR="00CE6634" w:rsidRPr="004C3167" w:rsidRDefault="00FB156F" w:rsidP="00FB156F">
      <w:pPr>
        <w:pStyle w:val="SingleTxtG"/>
        <w:tabs>
          <w:tab w:val="left" w:leader="dot" w:pos="8505"/>
        </w:tabs>
        <w:spacing w:after="240"/>
        <w:ind w:left="1701"/>
        <w:rPr>
          <w:lang w:val="fr-FR"/>
        </w:rPr>
      </w:pPr>
      <w:r>
        <w:rPr>
          <w:lang w:val="fr-FR"/>
        </w:rPr>
        <w:tab/>
      </w:r>
    </w:p>
    <w:p w:rsidR="00CE6634" w:rsidRPr="004C3167" w:rsidRDefault="00CE6634" w:rsidP="00FB156F">
      <w:pPr>
        <w:pStyle w:val="Notedebasdepage"/>
        <w:tabs>
          <w:tab w:val="clear" w:pos="1021"/>
        </w:tabs>
        <w:spacing w:after="240"/>
        <w:ind w:firstLine="170"/>
        <w:rPr>
          <w:lang w:val="fr-FR"/>
        </w:rPr>
      </w:pPr>
      <w:r w:rsidRPr="00D14960">
        <w:rPr>
          <w:sz w:val="20"/>
          <w:vertAlign w:val="superscript"/>
          <w:lang w:val="fr-FR"/>
        </w:rPr>
        <w:t>1</w:t>
      </w:r>
      <w:r w:rsidR="00FB156F" w:rsidRPr="00D14960">
        <w:rPr>
          <w:sz w:val="20"/>
          <w:vertAlign w:val="superscript"/>
          <w:lang w:val="fr-FR"/>
        </w:rPr>
        <w:t>  </w:t>
      </w:r>
      <w:r>
        <w:rPr>
          <w:lang w:val="fr-FR"/>
        </w:rPr>
        <w:t>Biffer</w:t>
      </w:r>
      <w:r w:rsidRPr="004C3167">
        <w:rPr>
          <w:lang w:val="fr-FR"/>
        </w:rPr>
        <w:t xml:space="preserve"> les mentions inutiles. ».</w:t>
      </w:r>
    </w:p>
    <w:p w:rsidR="00CE6634" w:rsidRPr="00FB156F" w:rsidRDefault="00CE6634" w:rsidP="00FB156F">
      <w:pPr>
        <w:pStyle w:val="SingleTxtG"/>
        <w:rPr>
          <w:i/>
          <w:lang w:val="fr-FR" w:eastAsia="ar-SA"/>
        </w:rPr>
      </w:pPr>
      <w:r w:rsidRPr="00FB156F">
        <w:rPr>
          <w:i/>
          <w:lang w:val="fr-FR" w:eastAsia="ar-SA"/>
        </w:rPr>
        <w:t>Annexe 7</w:t>
      </w:r>
    </w:p>
    <w:p w:rsidR="00CE6634" w:rsidRPr="00FB156F" w:rsidRDefault="00CE6634" w:rsidP="00FB156F">
      <w:pPr>
        <w:pStyle w:val="SingleTxtG"/>
        <w:rPr>
          <w:i/>
          <w:lang w:val="fr-FR"/>
        </w:rPr>
      </w:pPr>
      <w:r w:rsidRPr="00FB156F">
        <w:rPr>
          <w:i/>
          <w:lang w:val="fr-FR"/>
        </w:rPr>
        <w:t>Ajouter de nouveaux paragraphes 3 à 3.4.2</w:t>
      </w:r>
      <w:r w:rsidRPr="002D00C3">
        <w:rPr>
          <w:lang w:val="fr-FR"/>
        </w:rPr>
        <w:t>, libellés comme suit :</w:t>
      </w:r>
    </w:p>
    <w:p w:rsidR="00CE6634" w:rsidRPr="004C3167" w:rsidRDefault="00CE6634" w:rsidP="00CE6634">
      <w:pPr>
        <w:tabs>
          <w:tab w:val="left" w:pos="2835"/>
        </w:tabs>
        <w:spacing w:before="120" w:after="120" w:line="240" w:lineRule="auto"/>
        <w:ind w:left="2268" w:right="1134" w:hanging="1134"/>
        <w:jc w:val="both"/>
        <w:rPr>
          <w:b/>
          <w:lang w:val="fr-FR"/>
        </w:rPr>
      </w:pPr>
      <w:r w:rsidRPr="00FB156F">
        <w:rPr>
          <w:lang w:val="fr-FR"/>
        </w:rPr>
        <w:t>« </w:t>
      </w:r>
      <w:r w:rsidRPr="004C3167">
        <w:rPr>
          <w:b/>
          <w:lang w:val="fr-FR"/>
        </w:rPr>
        <w:t>3.</w:t>
      </w:r>
      <w:r w:rsidRPr="004C3167">
        <w:rPr>
          <w:b/>
          <w:lang w:val="fr-FR"/>
        </w:rPr>
        <w:tab/>
        <w:t>Essai de comportement au choc de la tête</w:t>
      </w:r>
    </w:p>
    <w:p w:rsidR="00CE6634" w:rsidRPr="004C3167" w:rsidRDefault="00CE6634" w:rsidP="00700046">
      <w:pPr>
        <w:tabs>
          <w:tab w:val="left" w:pos="2835"/>
        </w:tabs>
        <w:spacing w:before="120" w:after="120" w:line="240" w:lineRule="auto"/>
        <w:ind w:left="2268" w:right="1134"/>
        <w:jc w:val="both"/>
        <w:rPr>
          <w:b/>
          <w:lang w:val="fr-FR"/>
        </w:rPr>
      </w:pPr>
      <w:r w:rsidRPr="004C3167">
        <w:rPr>
          <w:b/>
          <w:lang w:val="fr-FR"/>
        </w:rPr>
        <w:t>Les dispositions relatives à l’essai de comportement au choc de</w:t>
      </w:r>
      <w:r>
        <w:rPr>
          <w:b/>
          <w:lang w:val="fr-FR"/>
        </w:rPr>
        <w:t xml:space="preserve"> la tête s’appliquent aux vitr</w:t>
      </w:r>
      <w:r w:rsidRPr="004C3167">
        <w:rPr>
          <w:b/>
          <w:lang w:val="fr-FR"/>
        </w:rPr>
        <w:t>es en verre feuilleté portant le symbole complémentaire /D.</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3.1</w:t>
      </w:r>
      <w:r w:rsidRPr="004C3167">
        <w:rPr>
          <w:b/>
          <w:lang w:val="fr-FR"/>
        </w:rPr>
        <w:tab/>
        <w:t>Indices de difficulté des caractéristiques secondaires</w:t>
      </w:r>
    </w:p>
    <w:p w:rsidR="00CE6634" w:rsidRPr="004C3167" w:rsidRDefault="00CE6634" w:rsidP="00700046">
      <w:pPr>
        <w:tabs>
          <w:tab w:val="left" w:pos="2835"/>
        </w:tabs>
        <w:spacing w:before="120" w:after="120" w:line="240" w:lineRule="auto"/>
        <w:ind w:left="2268" w:right="1134"/>
        <w:jc w:val="both"/>
        <w:rPr>
          <w:b/>
          <w:lang w:val="fr-FR"/>
        </w:rPr>
      </w:pPr>
      <w:r w:rsidRPr="004C3167">
        <w:rPr>
          <w:b/>
          <w:lang w:val="fr-FR"/>
        </w:rPr>
        <w:t>Les caractéristiques secondaires n’interviennent pas.</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3.2</w:t>
      </w:r>
      <w:r w:rsidRPr="004C3167">
        <w:rPr>
          <w:b/>
          <w:lang w:val="fr-FR"/>
        </w:rPr>
        <w:tab/>
        <w:t>Nombre d’échantillons</w:t>
      </w:r>
    </w:p>
    <w:p w:rsidR="00CE6634" w:rsidRPr="004C3167" w:rsidRDefault="00CE6634" w:rsidP="00700046">
      <w:pPr>
        <w:tabs>
          <w:tab w:val="left" w:pos="2835"/>
        </w:tabs>
        <w:spacing w:before="120" w:after="120" w:line="240" w:lineRule="auto"/>
        <w:ind w:left="2268" w:right="1134"/>
        <w:jc w:val="both"/>
        <w:rPr>
          <w:b/>
          <w:lang w:val="fr-FR"/>
        </w:rPr>
      </w:pPr>
      <w:r w:rsidRPr="004C3167">
        <w:rPr>
          <w:b/>
          <w:lang w:val="fr-FR"/>
        </w:rPr>
        <w:t>Six éprouvettes de sections planes de 1,100 mm x 500 mm +5/-2 mm sont soumises aux essais.</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3.3</w:t>
      </w:r>
      <w:r w:rsidRPr="004C3167">
        <w:rPr>
          <w:b/>
          <w:lang w:val="fr-FR"/>
        </w:rPr>
        <w:tab/>
        <w:t>Méthode d’essai</w:t>
      </w:r>
    </w:p>
    <w:p w:rsidR="00CE6634" w:rsidRPr="002D00C3" w:rsidRDefault="00CE6634" w:rsidP="00CE6634">
      <w:pPr>
        <w:tabs>
          <w:tab w:val="left" w:pos="2835"/>
        </w:tabs>
        <w:spacing w:before="120" w:after="120" w:line="240" w:lineRule="auto"/>
        <w:ind w:left="2268" w:right="1134" w:hanging="1134"/>
        <w:jc w:val="both"/>
        <w:rPr>
          <w:b/>
          <w:spacing w:val="-2"/>
          <w:lang w:val="fr-FR"/>
        </w:rPr>
      </w:pPr>
      <w:r w:rsidRPr="004C3167">
        <w:rPr>
          <w:b/>
          <w:lang w:val="fr-FR"/>
        </w:rPr>
        <w:t>3.3.1</w:t>
      </w:r>
      <w:r w:rsidRPr="004C3167">
        <w:rPr>
          <w:b/>
          <w:lang w:val="fr-FR"/>
        </w:rPr>
        <w:tab/>
      </w:r>
      <w:r w:rsidRPr="002D00C3">
        <w:rPr>
          <w:b/>
          <w:spacing w:val="-2"/>
          <w:lang w:val="fr-FR"/>
        </w:rPr>
        <w:t xml:space="preserve">La méthode utilisée </w:t>
      </w:r>
      <w:r w:rsidRPr="002D00C3">
        <w:rPr>
          <w:b/>
          <w:spacing w:val="-4"/>
          <w:lang w:val="fr-FR"/>
        </w:rPr>
        <w:t>est la méthode décrite au paragraphe</w:t>
      </w:r>
      <w:r w:rsidRPr="002D00C3">
        <w:rPr>
          <w:b/>
          <w:spacing w:val="-2"/>
          <w:lang w:val="fr-FR"/>
        </w:rPr>
        <w:t xml:space="preserve"> 3.1 de l’annexe 3.</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3.3.2</w:t>
      </w:r>
      <w:r w:rsidRPr="004C3167">
        <w:rPr>
          <w:b/>
          <w:lang w:val="fr-FR"/>
        </w:rPr>
        <w:tab/>
        <w:t>La hauteur de chute doit être de 1,50 m +0/-5 mm.</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3.4</w:t>
      </w:r>
      <w:r w:rsidRPr="004C3167">
        <w:rPr>
          <w:b/>
          <w:lang w:val="fr-FR"/>
        </w:rPr>
        <w:tab/>
        <w:t>Interprétation des résultats</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3.4.1</w:t>
      </w:r>
      <w:r w:rsidRPr="004C3167">
        <w:rPr>
          <w:b/>
          <w:lang w:val="fr-FR"/>
        </w:rPr>
        <w:tab/>
        <w:t>L’essai est considéré comme donnant un résultat satisfaisant si les conditions suivantes sont remplies :</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3.4.1.1</w:t>
      </w:r>
      <w:r w:rsidRPr="004C3167">
        <w:rPr>
          <w:b/>
          <w:lang w:val="fr-FR"/>
        </w:rPr>
        <w:tab/>
        <w:t>L’éprouvette cède et se brise en présentant de nombreuses fissures circulaires centrées approximativement sur le point d’impact ;</w:t>
      </w:r>
    </w:p>
    <w:p w:rsidR="00CE6634" w:rsidRPr="004C3167" w:rsidRDefault="00CE6634" w:rsidP="00FB156F">
      <w:pPr>
        <w:tabs>
          <w:tab w:val="left" w:pos="2835"/>
        </w:tabs>
        <w:spacing w:before="120" w:after="120" w:line="240" w:lineRule="auto"/>
        <w:ind w:left="2268" w:right="1134" w:hanging="1134"/>
        <w:jc w:val="both"/>
        <w:rPr>
          <w:b/>
          <w:lang w:val="fr-FR"/>
        </w:rPr>
      </w:pPr>
      <w:r w:rsidRPr="004C3167">
        <w:rPr>
          <w:b/>
          <w:lang w:val="fr-FR"/>
        </w:rPr>
        <w:t>3.4.1.2</w:t>
      </w:r>
      <w:r w:rsidRPr="004C3167">
        <w:rPr>
          <w:b/>
          <w:lang w:val="fr-FR"/>
        </w:rPr>
        <w:tab/>
        <w:t>Des déchirures de l’intercalaire sont admises, à condition que la tête du mannequin ne passe pas au travers de l’éprouvette ;</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3.4.1.3</w:t>
      </w:r>
      <w:r w:rsidRPr="004C3167">
        <w:rPr>
          <w:b/>
          <w:lang w:val="fr-FR"/>
        </w:rPr>
        <w:tab/>
        <w:t>Aucun grand fragment de verre ne se détache de l’intercalaire.</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3.4.2</w:t>
      </w:r>
      <w:r w:rsidRPr="004C3167">
        <w:rPr>
          <w:b/>
          <w:lang w:val="fr-FR"/>
        </w:rPr>
        <w:tab/>
        <w:t>Une série d’éprouvettes présentées à l’homologation est considérée comme satisfaisante du point de vue du comportement au choc de la tête si tous les essais ont donné un résultat satisfaisant.</w:t>
      </w:r>
      <w:r w:rsidRPr="004C3167">
        <w:rPr>
          <w:lang w:val="fr-FR"/>
        </w:rPr>
        <w:t> ».</w:t>
      </w:r>
    </w:p>
    <w:p w:rsidR="00CE6634" w:rsidRPr="004C3167" w:rsidRDefault="00CE6634" w:rsidP="00700046">
      <w:pPr>
        <w:pStyle w:val="SingleTxtG"/>
        <w:rPr>
          <w:lang w:val="fr-FR"/>
        </w:rPr>
      </w:pPr>
      <w:r w:rsidRPr="004C3167">
        <w:rPr>
          <w:i/>
          <w:lang w:val="fr-FR"/>
        </w:rPr>
        <w:t xml:space="preserve">Les paragraphes 3 à 3.4.2 </w:t>
      </w:r>
      <w:r w:rsidRPr="004C3167">
        <w:rPr>
          <w:lang w:val="fr-FR"/>
        </w:rPr>
        <w:t>deviennent les paragraphes 4 à 4.4.2 et se lisent comme suit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lang w:val="fr-FR"/>
        </w:rPr>
        <w:t>« </w:t>
      </w:r>
      <w:r w:rsidRPr="004C3167">
        <w:rPr>
          <w:b/>
          <w:lang w:val="fr-FR"/>
        </w:rPr>
        <w:t>4.</w:t>
      </w:r>
      <w:r w:rsidRPr="004C3167">
        <w:rPr>
          <w:b/>
          <w:lang w:val="fr-FR"/>
        </w:rPr>
        <w:tab/>
      </w:r>
      <w:r w:rsidRPr="004C3167">
        <w:rPr>
          <w:lang w:val="fr-FR"/>
        </w:rPr>
        <w:t>Essai de résistance mécanique</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4.1</w:t>
      </w:r>
      <w:r w:rsidRPr="004C3167">
        <w:rPr>
          <w:b/>
          <w:lang w:val="fr-FR"/>
        </w:rPr>
        <w:tab/>
      </w:r>
      <w:r w:rsidRPr="004C3167">
        <w:rPr>
          <w:lang w:val="fr-FR"/>
        </w:rPr>
        <w:t>Indices de difficulté des caractéristiques secondaires</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 xml:space="preserve">Les caractéristiques secondaires n’interviennent pas. </w:t>
      </w:r>
    </w:p>
    <w:p w:rsidR="00CE6634" w:rsidRPr="004C3167" w:rsidRDefault="00CE6634" w:rsidP="002D00C3">
      <w:pPr>
        <w:keepNext/>
        <w:tabs>
          <w:tab w:val="left" w:pos="2835"/>
        </w:tabs>
        <w:spacing w:before="120" w:after="120" w:line="240" w:lineRule="auto"/>
        <w:ind w:left="2268" w:right="1134" w:hanging="1134"/>
        <w:jc w:val="both"/>
        <w:rPr>
          <w:b/>
          <w:lang w:val="fr-FR"/>
        </w:rPr>
      </w:pPr>
      <w:r>
        <w:rPr>
          <w:b/>
          <w:lang w:val="fr-FR"/>
        </w:rPr>
        <w:lastRenderedPageBreak/>
        <w:t>4.2</w:t>
      </w:r>
      <w:r>
        <w:rPr>
          <w:b/>
          <w:lang w:val="fr-FR"/>
        </w:rPr>
        <w:tab/>
        <w:t>Essai à la bille de 2</w:t>
      </w:r>
      <w:r w:rsidR="00700046">
        <w:rPr>
          <w:b/>
          <w:lang w:val="fr-FR"/>
        </w:rPr>
        <w:t> </w:t>
      </w:r>
      <w:r w:rsidRPr="004C3167">
        <w:rPr>
          <w:b/>
          <w:lang w:val="fr-FR"/>
        </w:rPr>
        <w:t>260</w:t>
      </w:r>
      <w:r w:rsidR="00700046">
        <w:rPr>
          <w:b/>
          <w:lang w:val="fr-FR"/>
        </w:rPr>
        <w:t> </w:t>
      </w:r>
      <w:r w:rsidRPr="004C3167">
        <w:rPr>
          <w:b/>
          <w:lang w:val="fr-FR"/>
        </w:rPr>
        <w:t>g</w:t>
      </w:r>
    </w:p>
    <w:p w:rsidR="00CE6634" w:rsidRPr="004C3167" w:rsidRDefault="00CE6634" w:rsidP="00700046">
      <w:pPr>
        <w:tabs>
          <w:tab w:val="left" w:pos="2835"/>
        </w:tabs>
        <w:spacing w:before="120" w:after="120" w:line="240" w:lineRule="auto"/>
        <w:ind w:left="2268" w:right="1134"/>
        <w:jc w:val="both"/>
        <w:rPr>
          <w:b/>
          <w:lang w:val="fr-FR"/>
        </w:rPr>
      </w:pPr>
      <w:r w:rsidRPr="004C3167">
        <w:rPr>
          <w:b/>
          <w:lang w:val="fr-FR"/>
        </w:rPr>
        <w:t>Les dispositions rela</w:t>
      </w:r>
      <w:r>
        <w:rPr>
          <w:b/>
          <w:lang w:val="fr-FR"/>
        </w:rPr>
        <w:t>tives à l’essai à la bille de 2</w:t>
      </w:r>
      <w:r w:rsidR="00700046">
        <w:rPr>
          <w:b/>
          <w:lang w:val="fr-FR"/>
        </w:rPr>
        <w:t> </w:t>
      </w:r>
      <w:r w:rsidRPr="004C3167">
        <w:rPr>
          <w:b/>
          <w:lang w:val="fr-FR"/>
        </w:rPr>
        <w:t>260</w:t>
      </w:r>
      <w:r w:rsidR="00700046">
        <w:rPr>
          <w:b/>
          <w:lang w:val="fr-FR"/>
        </w:rPr>
        <w:t> </w:t>
      </w:r>
      <w:r w:rsidRPr="004C3167">
        <w:rPr>
          <w:b/>
          <w:lang w:val="fr-FR"/>
        </w:rPr>
        <w:t>g s’appliqu</w:t>
      </w:r>
      <w:r>
        <w:rPr>
          <w:b/>
          <w:lang w:val="fr-FR"/>
        </w:rPr>
        <w:t>ent aux vitr</w:t>
      </w:r>
      <w:r w:rsidRPr="004C3167">
        <w:rPr>
          <w:b/>
          <w:lang w:val="fr-FR"/>
        </w:rPr>
        <w:t>es en verre feuilleté portant le symbole complémentaire /D.</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4.2.1</w:t>
      </w:r>
      <w:r w:rsidRPr="004C3167">
        <w:rPr>
          <w:b/>
          <w:lang w:val="fr-FR"/>
        </w:rPr>
        <w:tab/>
        <w:t>Douze éprouvettes carrées de 300</w:t>
      </w:r>
      <w:r w:rsidR="00700046">
        <w:rPr>
          <w:b/>
          <w:lang w:val="fr-FR"/>
        </w:rPr>
        <w:t> </w:t>
      </w:r>
      <w:r w:rsidRPr="004C3167">
        <w:rPr>
          <w:b/>
          <w:lang w:val="fr-FR"/>
        </w:rPr>
        <w:t xml:space="preserve">mm +10/-0 mm de </w:t>
      </w:r>
      <w:r>
        <w:rPr>
          <w:b/>
          <w:lang w:val="fr-FR"/>
        </w:rPr>
        <w:t>côté sont soumises aux essais.</w:t>
      </w:r>
    </w:p>
    <w:p w:rsidR="00CE6634" w:rsidRPr="004C3167" w:rsidRDefault="00700046" w:rsidP="00CE6634">
      <w:pPr>
        <w:tabs>
          <w:tab w:val="left" w:pos="2835"/>
        </w:tabs>
        <w:spacing w:before="120" w:after="120" w:line="240" w:lineRule="auto"/>
        <w:ind w:left="2268" w:right="1134" w:hanging="1134"/>
        <w:jc w:val="both"/>
        <w:rPr>
          <w:b/>
          <w:lang w:val="fr-FR"/>
        </w:rPr>
      </w:pPr>
      <w:r>
        <w:rPr>
          <w:b/>
          <w:lang w:val="fr-FR"/>
        </w:rPr>
        <w:t>4.2.2</w:t>
      </w:r>
      <w:r>
        <w:rPr>
          <w:b/>
          <w:lang w:val="fr-FR"/>
        </w:rPr>
        <w:tab/>
        <w:t>Méthode d’essai</w:t>
      </w:r>
    </w:p>
    <w:p w:rsidR="00CE6634" w:rsidRPr="00700046" w:rsidRDefault="00CE6634" w:rsidP="00CE6634">
      <w:pPr>
        <w:tabs>
          <w:tab w:val="left" w:pos="2835"/>
        </w:tabs>
        <w:spacing w:before="120" w:after="120" w:line="240" w:lineRule="auto"/>
        <w:ind w:left="2268" w:right="1134" w:hanging="1134"/>
        <w:jc w:val="both"/>
        <w:rPr>
          <w:b/>
          <w:spacing w:val="-2"/>
          <w:lang w:val="fr-FR"/>
        </w:rPr>
      </w:pPr>
      <w:r w:rsidRPr="004C3167">
        <w:rPr>
          <w:b/>
          <w:lang w:val="fr-FR"/>
        </w:rPr>
        <w:t>4.2.2.1</w:t>
      </w:r>
      <w:r w:rsidRPr="004C3167">
        <w:rPr>
          <w:b/>
          <w:lang w:val="fr-FR"/>
        </w:rPr>
        <w:tab/>
      </w:r>
      <w:r w:rsidRPr="00700046">
        <w:rPr>
          <w:b/>
          <w:spacing w:val="-4"/>
          <w:lang w:val="fr-FR"/>
        </w:rPr>
        <w:t xml:space="preserve">La </w:t>
      </w:r>
      <w:r w:rsidRPr="00700046">
        <w:rPr>
          <w:b/>
          <w:spacing w:val="-2"/>
          <w:lang w:val="fr-FR"/>
        </w:rPr>
        <w:t>méthode utilisée est</w:t>
      </w:r>
      <w:r w:rsidRPr="00700046">
        <w:rPr>
          <w:b/>
          <w:spacing w:val="-4"/>
          <w:lang w:val="fr-FR"/>
        </w:rPr>
        <w:t xml:space="preserve"> la méthode décrite au paragraphe </w:t>
      </w:r>
      <w:r w:rsidRPr="00700046">
        <w:rPr>
          <w:b/>
          <w:spacing w:val="-2"/>
          <w:lang w:val="fr-FR"/>
        </w:rPr>
        <w:t>2.2 de l’annexe</w:t>
      </w:r>
      <w:r w:rsidR="00700046" w:rsidRPr="00700046">
        <w:rPr>
          <w:b/>
          <w:spacing w:val="-2"/>
          <w:lang w:val="fr-FR"/>
        </w:rPr>
        <w:t> </w:t>
      </w:r>
      <w:r w:rsidRPr="00700046">
        <w:rPr>
          <w:b/>
          <w:spacing w:val="-2"/>
          <w:lang w:val="fr-FR"/>
        </w:rPr>
        <w:t>3.</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4.2.2.2</w:t>
      </w:r>
      <w:r w:rsidRPr="004C3167">
        <w:rPr>
          <w:b/>
          <w:lang w:val="fr-FR"/>
        </w:rPr>
        <w:tab/>
        <w:t>La hauteur de chute (mesurée entre la partie inférieure de la bille et la face supérieure de l’éprouvette) est de 4</w:t>
      </w:r>
      <w:r w:rsidR="00700046">
        <w:rPr>
          <w:b/>
          <w:lang w:val="fr-FR"/>
        </w:rPr>
        <w:t> </w:t>
      </w:r>
      <w:r w:rsidRPr="004C3167">
        <w:rPr>
          <w:b/>
          <w:lang w:val="fr-FR"/>
        </w:rPr>
        <w:t>m +25/</w:t>
      </w:r>
      <w:r>
        <w:rPr>
          <w:b/>
          <w:lang w:val="fr-FR"/>
        </w:rPr>
        <w:t>-0 </w:t>
      </w:r>
      <w:r w:rsidR="00700046">
        <w:rPr>
          <w:b/>
          <w:lang w:val="fr-FR"/>
        </w:rPr>
        <w:t>mm.</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4.2.3</w:t>
      </w:r>
      <w:r w:rsidRPr="004C3167">
        <w:rPr>
          <w:b/>
          <w:lang w:val="fr-FR"/>
        </w:rPr>
        <w:tab/>
        <w:t>Interprétation des résultats</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4.2.3.1</w:t>
      </w:r>
      <w:r w:rsidRPr="004C3167">
        <w:rPr>
          <w:b/>
          <w:lang w:val="fr-FR"/>
        </w:rPr>
        <w:tab/>
        <w:t>L’essai est considéré comme donnant un résultat satisfaisant si la bille ne passe pas au travers du vitrage dans les 5 s suivant l’impact.</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b/>
          <w:lang w:val="fr-FR"/>
        </w:rPr>
        <w:t>4.2.3.2</w:t>
      </w:r>
      <w:r w:rsidRPr="004C3167">
        <w:rPr>
          <w:b/>
          <w:lang w:val="fr-FR"/>
        </w:rPr>
        <w:tab/>
        <w:t xml:space="preserve">Une série d’éprouvettes présentées à l’homologation est considérée comme satisfaisante du point de vue de l’essai à </w:t>
      </w:r>
      <w:r>
        <w:rPr>
          <w:b/>
          <w:lang w:val="fr-FR"/>
        </w:rPr>
        <w:t>la bille de 2</w:t>
      </w:r>
      <w:r w:rsidR="00700046">
        <w:rPr>
          <w:b/>
          <w:lang w:val="fr-FR"/>
        </w:rPr>
        <w:t> </w:t>
      </w:r>
      <w:r w:rsidRPr="004C3167">
        <w:rPr>
          <w:b/>
          <w:lang w:val="fr-FR"/>
        </w:rPr>
        <w:t>260</w:t>
      </w:r>
      <w:r w:rsidR="00700046">
        <w:rPr>
          <w:b/>
          <w:lang w:val="fr-FR"/>
        </w:rPr>
        <w:t> </w:t>
      </w:r>
      <w:r w:rsidRPr="004C3167">
        <w:rPr>
          <w:b/>
          <w:lang w:val="fr-FR"/>
        </w:rPr>
        <w:t>g si au moins 11 des 12 essais ont donné un résultat satisfaisant.</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w:t>
      </w:r>
      <w:r w:rsidRPr="004C3167">
        <w:rPr>
          <w:b/>
          <w:lang w:val="fr-FR"/>
        </w:rPr>
        <w:tab/>
      </w:r>
      <w:r w:rsidRPr="004C3167">
        <w:rPr>
          <w:lang w:val="fr-FR"/>
        </w:rPr>
        <w:t>Essai à la bille de 227</w:t>
      </w:r>
      <w:r w:rsidR="00700046">
        <w:rPr>
          <w:lang w:val="fr-FR"/>
        </w:rPr>
        <w:t> </w:t>
      </w:r>
      <w:r w:rsidRPr="004C3167">
        <w:rPr>
          <w:lang w:val="fr-FR"/>
        </w:rPr>
        <w:t>g</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4.3.1</w:t>
      </w:r>
      <w:r w:rsidRPr="004C3167">
        <w:rPr>
          <w:b/>
          <w:lang w:val="fr-FR"/>
        </w:rPr>
        <w:tab/>
      </w:r>
      <w:r w:rsidRPr="004C3167">
        <w:rPr>
          <w:lang w:val="fr-FR"/>
        </w:rPr>
        <w:t>Nombre d’éprouvettes</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Huit ép</w:t>
      </w:r>
      <w:r w:rsidR="00700046">
        <w:rPr>
          <w:lang w:val="fr-FR"/>
        </w:rPr>
        <w:t xml:space="preserve">rouvettes de sections planes de </w:t>
      </w:r>
      <w:r w:rsidRPr="004C3167">
        <w:rPr>
          <w:lang w:val="fr-FR"/>
        </w:rPr>
        <w:t>300</w:t>
      </w:r>
      <w:r>
        <w:rPr>
          <w:lang w:val="fr-FR"/>
        </w:rPr>
        <w:t> mm</w:t>
      </w:r>
      <w:r w:rsidR="00700046">
        <w:rPr>
          <w:lang w:val="fr-FR"/>
        </w:rPr>
        <w:t xml:space="preserve"> x </w:t>
      </w:r>
      <w:r w:rsidRPr="004C3167">
        <w:rPr>
          <w:lang w:val="fr-FR"/>
        </w:rPr>
        <w:t>300</w:t>
      </w:r>
      <w:r w:rsidR="00700046">
        <w:rPr>
          <w:lang w:val="fr-FR"/>
        </w:rPr>
        <w:t> </w:t>
      </w:r>
      <w:r w:rsidRPr="004C3167">
        <w:rPr>
          <w:lang w:val="fr-FR"/>
        </w:rPr>
        <w:t>mm, fabriquées spécialement ou découpées dans la portion la plus plane d’une vitre, sont soumises aux essais.</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4.3.1.1</w:t>
      </w:r>
      <w:r w:rsidRPr="004C3167">
        <w:rPr>
          <w:b/>
          <w:lang w:val="fr-FR"/>
        </w:rPr>
        <w:tab/>
      </w:r>
      <w:r w:rsidRPr="004C3167">
        <w:rPr>
          <w:lang w:val="fr-FR"/>
        </w:rPr>
        <w:t>Il peut également s’agir de produits finis pouvant être posés sur l’appareillage décrit aux paragraphes 2.1.1 à 2.1.1.3 de l’annexe 3.</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4.3.1.2</w:t>
      </w:r>
      <w:r w:rsidRPr="004C3167">
        <w:rPr>
          <w:b/>
          <w:lang w:val="fr-FR"/>
        </w:rPr>
        <w:tab/>
      </w:r>
      <w:r w:rsidRPr="004C3167">
        <w:rPr>
          <w:lang w:val="fr-FR"/>
        </w:rPr>
        <w:t>Si les éprouvettes sont bombées, il faut veiller à assurer un contact suffisant avec leur support.</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4.3.2</w:t>
      </w:r>
      <w:r w:rsidRPr="004C3167">
        <w:rPr>
          <w:b/>
          <w:lang w:val="fr-FR"/>
        </w:rPr>
        <w:tab/>
      </w:r>
      <w:r w:rsidRPr="004C3167">
        <w:rPr>
          <w:lang w:val="fr-FR"/>
        </w:rPr>
        <w:t>Méthode d’essai</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4.3.2.1</w:t>
      </w:r>
      <w:r w:rsidRPr="004C3167">
        <w:rPr>
          <w:b/>
          <w:lang w:val="fr-FR"/>
        </w:rPr>
        <w:tab/>
      </w:r>
      <w:r w:rsidRPr="004C3167">
        <w:rPr>
          <w:lang w:val="fr-FR"/>
        </w:rPr>
        <w:t xml:space="preserve">La méthode utilisée est la méthode décrite au paragraphe 2.1 de l’annexe 3.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4.3.2.2</w:t>
      </w:r>
      <w:r w:rsidRPr="004C3167">
        <w:rPr>
          <w:b/>
          <w:lang w:val="fr-FR"/>
        </w:rPr>
        <w:tab/>
      </w:r>
      <w:r w:rsidRPr="004C3167">
        <w:rPr>
          <w:lang w:val="fr-FR"/>
        </w:rPr>
        <w:t>La hauteur de chute (mesurée entre la partie inférieure de la bille et la face supérieure de l’éprouvette ou de l’échantillon) doit être de 9</w:t>
      </w:r>
      <w:r w:rsidR="00700046">
        <w:rPr>
          <w:lang w:val="fr-FR"/>
        </w:rPr>
        <w:t> </w:t>
      </w:r>
      <w:r w:rsidRPr="004C3167">
        <w:rPr>
          <w:lang w:val="fr-FR"/>
        </w:rPr>
        <w:t>m +25/-0</w:t>
      </w:r>
      <w:r w:rsidR="00700046">
        <w:rPr>
          <w:lang w:val="fr-FR"/>
        </w:rPr>
        <w:t> </w:t>
      </w:r>
      <w:r w:rsidRPr="004C3167">
        <w:rPr>
          <w:lang w:val="fr-FR"/>
        </w:rPr>
        <w:t>mm.</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4.3.4</w:t>
      </w:r>
      <w:r w:rsidRPr="004C3167">
        <w:rPr>
          <w:b/>
          <w:lang w:val="fr-FR"/>
        </w:rPr>
        <w:tab/>
      </w:r>
      <w:r w:rsidRPr="004C3167">
        <w:rPr>
          <w:lang w:val="fr-FR"/>
        </w:rPr>
        <w:t xml:space="preserve">Interprétation des résultats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4.3.4.1</w:t>
      </w:r>
      <w:r w:rsidRPr="004C3167">
        <w:rPr>
          <w:b/>
          <w:lang w:val="fr-FR"/>
        </w:rPr>
        <w:tab/>
      </w:r>
      <w:r w:rsidRPr="004C3167">
        <w:rPr>
          <w:lang w:val="fr-FR"/>
        </w:rPr>
        <w:t>L’essai est considéré comme donnant un résultat satisfaisant si les conditions suivantes sont remplies :</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a)</w:t>
      </w:r>
      <w:r w:rsidRPr="004C3167">
        <w:rPr>
          <w:lang w:val="fr-FR"/>
        </w:rPr>
        <w:tab/>
        <w:t>La bille ne passe pas au travers de l’éprouvette ;</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b)</w:t>
      </w:r>
      <w:r w:rsidRPr="004C3167">
        <w:rPr>
          <w:lang w:val="fr-FR"/>
        </w:rPr>
        <w:tab/>
        <w:t>Le verre feuilleté ne doit pas se rompre en plusieurs morceaux ;</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c)</w:t>
      </w:r>
      <w:r w:rsidRPr="004C3167">
        <w:rPr>
          <w:lang w:val="fr-FR"/>
        </w:rPr>
        <w:tab/>
        <w:t>Exactement au revers du point d’impact, de petits fragments de verre peuvent se détacher de l’échantillon, mais la surface exposée du matériau de renfort doit être inférieure à 645 mm</w:t>
      </w:r>
      <w:r w:rsidRPr="004C3167">
        <w:rPr>
          <w:vertAlign w:val="superscript"/>
          <w:lang w:val="fr-FR"/>
        </w:rPr>
        <w:t>2</w:t>
      </w:r>
      <w:r w:rsidRPr="004C3167">
        <w:rPr>
          <w:lang w:val="fr-FR"/>
        </w:rPr>
        <w:t xml:space="preserve"> et rester recouverte de petites particules de verre bien adhérentes. La surface totale de la zone où le verre est séparé du matériau de renfort ne doit pas dépasser 1 935 mm</w:t>
      </w:r>
      <w:r w:rsidRPr="004C3167">
        <w:rPr>
          <w:vertAlign w:val="superscript"/>
          <w:lang w:val="fr-FR"/>
        </w:rPr>
        <w:t>2</w:t>
      </w:r>
      <w:r w:rsidRPr="004C3167">
        <w:rPr>
          <w:lang w:val="fr-FR"/>
        </w:rPr>
        <w:t xml:space="preserve"> de part et d’autre. L’écaillage de la face externe du verre de l’autre côté du point d’impact et à proximité de la zone d’impact n’est pas considéré comme un motif de refus.</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4.3.4.2</w:t>
      </w:r>
      <w:r w:rsidRPr="004C3167">
        <w:rPr>
          <w:b/>
          <w:lang w:val="fr-FR"/>
        </w:rPr>
        <w:tab/>
      </w:r>
      <w:r w:rsidRPr="004C3167">
        <w:rPr>
          <w:lang w:val="fr-FR"/>
        </w:rPr>
        <w:t>Une série d’éprouvettes présentées à l’homologation est considérée comme satisfaisante du point de vue de la résistance mécanique si au moins six des huit essais ont donné un résultat satisfaisant. ».</w:t>
      </w:r>
    </w:p>
    <w:p w:rsidR="00CE6634" w:rsidRPr="004C3167" w:rsidRDefault="00CE6634" w:rsidP="00700046">
      <w:pPr>
        <w:pStyle w:val="SingleTxtG"/>
        <w:rPr>
          <w:lang w:val="fr-FR"/>
        </w:rPr>
      </w:pPr>
      <w:r>
        <w:rPr>
          <w:i/>
          <w:lang w:val="fr-FR"/>
        </w:rPr>
        <w:t>Les paragraphes 4 et</w:t>
      </w:r>
      <w:r w:rsidRPr="004C3167">
        <w:rPr>
          <w:i/>
          <w:lang w:val="fr-FR"/>
        </w:rPr>
        <w:t xml:space="preserve"> 5</w:t>
      </w:r>
      <w:r w:rsidRPr="004C3167">
        <w:rPr>
          <w:lang w:val="fr-FR"/>
        </w:rPr>
        <w:t xml:space="preserve"> deviennent les paragraphes 4 à 6.</w:t>
      </w:r>
    </w:p>
    <w:p w:rsidR="00CE6634" w:rsidRPr="004C3167" w:rsidRDefault="00CE6634" w:rsidP="00700046">
      <w:pPr>
        <w:pStyle w:val="SingleTxtG"/>
        <w:rPr>
          <w:i/>
          <w:lang w:val="fr-FR"/>
        </w:rPr>
      </w:pPr>
      <w:r w:rsidRPr="004C3167">
        <w:rPr>
          <w:i/>
          <w:lang w:val="fr-FR"/>
        </w:rPr>
        <w:t>Annexe 23</w:t>
      </w:r>
    </w:p>
    <w:p w:rsidR="00CE6634" w:rsidRPr="004C3167" w:rsidRDefault="00CE6634" w:rsidP="00700046">
      <w:pPr>
        <w:pStyle w:val="SingleTxtG"/>
        <w:rPr>
          <w:b/>
          <w:lang w:val="fr-FR"/>
        </w:rPr>
      </w:pPr>
      <w:r w:rsidRPr="004C3167">
        <w:rPr>
          <w:i/>
          <w:lang w:val="fr-FR"/>
        </w:rPr>
        <w:t>Paragraphe 2.4.1</w:t>
      </w:r>
      <w:r w:rsidRPr="004C3167">
        <w:rPr>
          <w:lang w:val="fr-FR"/>
        </w:rPr>
        <w:t>, modifier comme suit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 </w:t>
      </w:r>
      <w:r w:rsidRPr="004C3167">
        <w:rPr>
          <w:lang w:val="fr-FR"/>
        </w:rPr>
        <w:t>2.4.1</w:t>
      </w:r>
      <w:r w:rsidRPr="004C3167">
        <w:rPr>
          <w:b/>
          <w:lang w:val="fr-FR"/>
        </w:rPr>
        <w:tab/>
      </w:r>
      <w:r w:rsidRPr="004C3167">
        <w:rPr>
          <w:lang w:val="fr-FR"/>
        </w:rPr>
        <w:t xml:space="preserve">Essai à la bille de 227 g conformément aux prescriptions du paragraphe </w:t>
      </w:r>
      <w:r w:rsidRPr="004C3167">
        <w:rPr>
          <w:b/>
          <w:lang w:val="fr-FR"/>
        </w:rPr>
        <w:t>4.3</w:t>
      </w:r>
      <w:r w:rsidRPr="004C3167">
        <w:rPr>
          <w:lang w:val="fr-FR"/>
        </w:rPr>
        <w:t xml:space="preserve"> de l’annexe 7.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i/>
          <w:lang w:val="fr-FR"/>
        </w:rPr>
        <w:lastRenderedPageBreak/>
        <w:t>Ajouter de nouveaux paragraphes 2.4.5 à 2.4.5.2</w:t>
      </w:r>
      <w:r w:rsidRPr="004C3167">
        <w:rPr>
          <w:lang w:val="fr-FR"/>
        </w:rPr>
        <w:t>, libellés comme suit :</w:t>
      </w:r>
    </w:p>
    <w:p w:rsidR="00CE6634" w:rsidRPr="004C3167" w:rsidRDefault="00CE6634" w:rsidP="00CE6634">
      <w:pPr>
        <w:tabs>
          <w:tab w:val="left" w:pos="2835"/>
        </w:tabs>
        <w:spacing w:before="120" w:after="120" w:line="240" w:lineRule="auto"/>
        <w:ind w:left="2268" w:right="1134" w:hanging="1134"/>
        <w:jc w:val="both"/>
        <w:rPr>
          <w:b/>
          <w:lang w:val="fr-FR"/>
        </w:rPr>
      </w:pPr>
      <w:r w:rsidRPr="004C3167">
        <w:rPr>
          <w:lang w:val="fr-FR"/>
        </w:rPr>
        <w:t>« </w:t>
      </w:r>
      <w:r w:rsidRPr="004C3167">
        <w:rPr>
          <w:b/>
          <w:lang w:val="fr-FR"/>
        </w:rPr>
        <w:t>2.4.5</w:t>
      </w:r>
      <w:r w:rsidRPr="004C3167">
        <w:rPr>
          <w:b/>
          <w:lang w:val="fr-FR"/>
        </w:rPr>
        <w:tab/>
        <w:t>Pour les vitres en verre feuilleté à propriétés mécaniques améliorées portant le symbole complémentaire /D :</w:t>
      </w:r>
    </w:p>
    <w:p w:rsidR="00CE6634" w:rsidRPr="004C3167" w:rsidRDefault="00CE6634" w:rsidP="00CE6634">
      <w:pPr>
        <w:tabs>
          <w:tab w:val="left" w:pos="2835"/>
        </w:tabs>
        <w:spacing w:before="120" w:after="120" w:line="240" w:lineRule="auto"/>
        <w:ind w:left="2268" w:right="1134" w:hanging="1134"/>
        <w:jc w:val="both"/>
        <w:rPr>
          <w:b/>
          <w:lang w:val="fr-FR"/>
        </w:rPr>
      </w:pPr>
      <w:r>
        <w:rPr>
          <w:b/>
          <w:lang w:val="fr-FR"/>
        </w:rPr>
        <w:t>2.4.5.1</w:t>
      </w:r>
      <w:r>
        <w:rPr>
          <w:b/>
          <w:lang w:val="fr-FR"/>
        </w:rPr>
        <w:tab/>
        <w:t>Essai à la bille de 2 </w:t>
      </w:r>
      <w:r w:rsidRPr="004C3167">
        <w:rPr>
          <w:b/>
          <w:lang w:val="fr-FR"/>
        </w:rPr>
        <w:t>260 g conformément aux prescriptions du paragraphe 4.2 de l’annexe 7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b/>
          <w:lang w:val="fr-FR"/>
        </w:rPr>
        <w:t>2.4.5.2</w:t>
      </w:r>
      <w:r w:rsidRPr="004C3167">
        <w:rPr>
          <w:b/>
          <w:lang w:val="fr-FR"/>
        </w:rPr>
        <w:tab/>
        <w:t>Essai de comportement au choc de la tête conformément aux prescriptions du paragraphe 3 de l’annexe 7. </w:t>
      </w:r>
      <w:r w:rsidRPr="004C3167">
        <w:rPr>
          <w:lang w:val="fr-FR"/>
        </w:rPr>
        <w:t>».</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i/>
          <w:lang w:val="fr-FR"/>
        </w:rPr>
        <w:t>Le paragraphe 2.4.5</w:t>
      </w:r>
      <w:r w:rsidRPr="004C3167">
        <w:rPr>
          <w:lang w:val="fr-FR"/>
        </w:rPr>
        <w:t xml:space="preserve"> devient le paragraphe 2.4.6.</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i/>
          <w:lang w:val="fr-FR"/>
        </w:rPr>
        <w:t>Paragraphe 3.2.1</w:t>
      </w:r>
      <w:r w:rsidRPr="004C3167">
        <w:rPr>
          <w:lang w:val="fr-FR"/>
        </w:rPr>
        <w:t>, modifier comme suit :</w:t>
      </w:r>
    </w:p>
    <w:p w:rsidR="00CE6634" w:rsidRPr="004C3167" w:rsidRDefault="00CE6634" w:rsidP="00CE6634">
      <w:pPr>
        <w:tabs>
          <w:tab w:val="left" w:pos="2835"/>
        </w:tabs>
        <w:spacing w:before="120" w:after="120" w:line="240" w:lineRule="auto"/>
        <w:ind w:left="2268" w:right="1134" w:hanging="1134"/>
        <w:jc w:val="both"/>
        <w:rPr>
          <w:lang w:val="fr-FR"/>
        </w:rPr>
      </w:pPr>
      <w:r w:rsidRPr="004C3167">
        <w:rPr>
          <w:lang w:val="fr-FR"/>
        </w:rPr>
        <w:t>« 3.2.1</w:t>
      </w:r>
      <w:r w:rsidRPr="004C3167">
        <w:rPr>
          <w:lang w:val="fr-FR"/>
        </w:rPr>
        <w:tab/>
        <w:t>Essais</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Le contrôle est effectué […] pare-brise par jour.</w:t>
      </w:r>
    </w:p>
    <w:p w:rsidR="00CE6634" w:rsidRPr="004C3167" w:rsidRDefault="00CE6634" w:rsidP="00700046">
      <w:pPr>
        <w:tabs>
          <w:tab w:val="left" w:pos="2835"/>
        </w:tabs>
        <w:spacing w:before="120" w:after="120" w:line="240" w:lineRule="auto"/>
        <w:ind w:left="2268" w:right="1134"/>
        <w:jc w:val="both"/>
        <w:rPr>
          <w:lang w:val="fr-FR"/>
        </w:rPr>
      </w:pPr>
      <w:r w:rsidRPr="004C3167">
        <w:rPr>
          <w:lang w:val="fr-FR"/>
        </w:rPr>
        <w:t xml:space="preserve">Le choix des éprouvettes doit être représentatif de la production des différents types de pare-brise </w:t>
      </w:r>
      <w:r w:rsidRPr="004C3167">
        <w:rPr>
          <w:b/>
          <w:lang w:val="fr-FR"/>
        </w:rPr>
        <w:t>et de vitres</w:t>
      </w:r>
      <w:r w:rsidRPr="004C3167">
        <w:rPr>
          <w:lang w:val="fr-FR"/>
        </w:rPr>
        <w:t>.</w:t>
      </w:r>
    </w:p>
    <w:p w:rsidR="00700046" w:rsidRDefault="00CE6634" w:rsidP="00700046">
      <w:pPr>
        <w:pStyle w:val="SingleTxtG"/>
        <w:ind w:left="2268"/>
        <w:rPr>
          <w:lang w:val="fr-FR"/>
        </w:rPr>
      </w:pPr>
      <w:r w:rsidRPr="004C3167">
        <w:rPr>
          <w:lang w:val="fr-FR"/>
        </w:rPr>
        <w:t>En cas d’accord avec le service administratif […] par classe d’épaisseur par an. ».</w:t>
      </w:r>
    </w:p>
    <w:p w:rsidR="00700046" w:rsidRPr="004C3167" w:rsidRDefault="00700046" w:rsidP="006B73A2">
      <w:pPr>
        <w:pStyle w:val="HChG"/>
        <w:spacing w:before="0"/>
        <w:rPr>
          <w:lang w:val="fr-FR"/>
        </w:rPr>
      </w:pPr>
      <w:r>
        <w:rPr>
          <w:lang w:val="fr-FR"/>
        </w:rPr>
        <w:br w:type="page"/>
      </w:r>
      <w:r w:rsidRPr="004C3167">
        <w:rPr>
          <w:lang w:val="fr-FR"/>
        </w:rPr>
        <w:lastRenderedPageBreak/>
        <w:t>Annexe V</w:t>
      </w:r>
    </w:p>
    <w:p w:rsidR="00700046" w:rsidRPr="004C3167" w:rsidRDefault="00700046" w:rsidP="006B73A2">
      <w:pPr>
        <w:pStyle w:val="HChG"/>
        <w:rPr>
          <w:lang w:val="fr-FR"/>
        </w:rPr>
      </w:pPr>
      <w:r w:rsidRPr="004C3167">
        <w:rPr>
          <w:lang w:val="fr-FR"/>
        </w:rPr>
        <w:tab/>
      </w:r>
      <w:r w:rsidRPr="004C3167">
        <w:rPr>
          <w:lang w:val="fr-FR"/>
        </w:rPr>
        <w:tab/>
        <w:t>Projet de série</w:t>
      </w:r>
      <w:r w:rsidR="006B73A2">
        <w:rPr>
          <w:lang w:val="fr-FR"/>
        </w:rPr>
        <w:t xml:space="preserve"> </w:t>
      </w:r>
      <w:r w:rsidRPr="004C3167">
        <w:rPr>
          <w:lang w:val="fr-FR"/>
        </w:rPr>
        <w:t>02 d’amendements au Règlement ONU n</w:t>
      </w:r>
      <w:r w:rsidRPr="004C3167">
        <w:rPr>
          <w:vertAlign w:val="superscript"/>
          <w:lang w:val="fr-FR"/>
        </w:rPr>
        <w:t>o</w:t>
      </w:r>
      <w:r w:rsidRPr="004C3167">
        <w:rPr>
          <w:lang w:val="fr-FR"/>
        </w:rPr>
        <w:t> 67 (Vé</w:t>
      </w:r>
      <w:r w:rsidR="006B73A2">
        <w:rPr>
          <w:lang w:val="fr-FR"/>
        </w:rPr>
        <w:t>hicules alimentés au GPL) (par. </w:t>
      </w:r>
      <w:r w:rsidRPr="004C3167">
        <w:rPr>
          <w:lang w:val="fr-FR"/>
        </w:rPr>
        <w:t>25)</w:t>
      </w:r>
    </w:p>
    <w:p w:rsidR="00700046" w:rsidRPr="004C3167" w:rsidRDefault="00700046" w:rsidP="006B73A2">
      <w:pPr>
        <w:pStyle w:val="SingleTxtG"/>
        <w:rPr>
          <w:lang w:val="fr-FR"/>
        </w:rPr>
      </w:pPr>
      <w:r w:rsidRPr="006B73A2">
        <w:rPr>
          <w:i/>
          <w:lang w:val="fr-FR"/>
        </w:rPr>
        <w:t>Ajouter un nouveau paragraphe 17.1.6.1</w:t>
      </w:r>
      <w:r w:rsidRPr="004C3167">
        <w:rPr>
          <w:lang w:val="fr-FR"/>
        </w:rPr>
        <w:t>, libellé comm</w:t>
      </w:r>
      <w:r>
        <w:rPr>
          <w:lang w:val="fr-FR"/>
        </w:rPr>
        <w:t>e</w:t>
      </w:r>
      <w:r w:rsidRPr="004C3167">
        <w:rPr>
          <w:lang w:val="fr-FR"/>
        </w:rPr>
        <w:t xml:space="preserve"> suit :</w:t>
      </w:r>
    </w:p>
    <w:p w:rsidR="00700046" w:rsidRPr="004C3167" w:rsidRDefault="00700046" w:rsidP="006B73A2">
      <w:pPr>
        <w:pStyle w:val="SingleTxtG"/>
        <w:ind w:left="2268" w:hanging="1134"/>
        <w:rPr>
          <w:lang w:val="fr-FR"/>
        </w:rPr>
      </w:pPr>
      <w:r w:rsidRPr="004C3167">
        <w:rPr>
          <w:lang w:val="fr-FR"/>
        </w:rPr>
        <w:t>« 17.1.6.1</w:t>
      </w:r>
      <w:r w:rsidRPr="004C3167">
        <w:rPr>
          <w:lang w:val="fr-FR"/>
        </w:rPr>
        <w:tab/>
        <w:t>Nonobstant les dispositions du paragraphe 17.1.6, il doit être possible d’exécuter un contrôle externe (par exemple aux fins du contrôle technique périodique) du réservoir à GPL et de ses accessoires, lorsqu’ils sont situés à l’extérieur du véhicule, conformément aux spécifications du fabricant, en utilisant non pas des outils pour démonter de</w:t>
      </w:r>
      <w:r>
        <w:rPr>
          <w:lang w:val="fr-FR"/>
        </w:rPr>
        <w:t xml:space="preserve">s </w:t>
      </w:r>
      <w:r w:rsidRPr="004C3167">
        <w:rPr>
          <w:lang w:val="fr-FR"/>
        </w:rPr>
        <w:t>éléments</w:t>
      </w:r>
      <w:r>
        <w:rPr>
          <w:lang w:val="fr-FR"/>
        </w:rPr>
        <w:t xml:space="preserve"> quelconques</w:t>
      </w:r>
      <w:r w:rsidRPr="004C3167">
        <w:rPr>
          <w:lang w:val="fr-FR"/>
        </w:rPr>
        <w:t>, mais des auxiliaires visuels tels que des lampes, des miroirs ou des endoscopes. ».</w:t>
      </w:r>
    </w:p>
    <w:p w:rsidR="00700046" w:rsidRPr="004C3167" w:rsidRDefault="00700046" w:rsidP="00700046">
      <w:pPr>
        <w:spacing w:after="120" w:line="240" w:lineRule="auto"/>
        <w:ind w:left="1134" w:right="1134"/>
        <w:jc w:val="both"/>
        <w:rPr>
          <w:lang w:val="fr-FR"/>
        </w:rPr>
      </w:pPr>
      <w:r w:rsidRPr="004C3167">
        <w:rPr>
          <w:lang w:val="fr-FR"/>
        </w:rPr>
        <w:t>Dans la deuxième partie du Règlement</w:t>
      </w:r>
      <w:r w:rsidRPr="004C3167">
        <w:rPr>
          <w:i/>
          <w:lang w:val="fr-FR"/>
        </w:rPr>
        <w:t xml:space="preserve">, ajouter de nouveaux paragraphes 22.6 à 22.13 </w:t>
      </w:r>
      <w:r w:rsidRPr="004C3167">
        <w:rPr>
          <w:lang w:val="fr-FR"/>
        </w:rPr>
        <w:t>relatifs aux dispositions transitoires, libellés comme suit :</w:t>
      </w:r>
    </w:p>
    <w:p w:rsidR="00700046" w:rsidRPr="004C3167" w:rsidRDefault="00700046" w:rsidP="006B73A2">
      <w:pPr>
        <w:pStyle w:val="SingleTxtG"/>
        <w:ind w:left="2268" w:hanging="1134"/>
        <w:rPr>
          <w:lang w:val="fr-FR"/>
        </w:rPr>
      </w:pPr>
      <w:r w:rsidRPr="004C3167">
        <w:rPr>
          <w:lang w:val="fr-FR"/>
        </w:rPr>
        <w:t>« 22.6</w:t>
      </w:r>
      <w:r w:rsidRPr="004C3167">
        <w:rPr>
          <w:lang w:val="fr-FR"/>
        </w:rPr>
        <w:tab/>
      </w:r>
      <w:r w:rsidRPr="004C3167">
        <w:rPr>
          <w:lang w:val="fr-FR"/>
        </w:rPr>
        <w:tab/>
        <w:t>À compter de la date officielle d’entrée en vigueur de la série 02 d’amendements, aucune Partie contractante appliquant le présent Règlement ne pourra refuser d’accorder ou d’accepter une homologation de type en vertu du présent Règlement tel que modifié par la série 02 d’amendements.</w:t>
      </w:r>
    </w:p>
    <w:p w:rsidR="00700046" w:rsidRPr="004C3167" w:rsidRDefault="00700046" w:rsidP="006B73A2">
      <w:pPr>
        <w:pStyle w:val="SingleTxtG"/>
        <w:ind w:left="2268" w:hanging="1134"/>
        <w:rPr>
          <w:lang w:val="fr-FR"/>
        </w:rPr>
      </w:pPr>
      <w:r w:rsidRPr="004C3167">
        <w:rPr>
          <w:lang w:val="fr-FR"/>
        </w:rPr>
        <w:t>22.7</w:t>
      </w:r>
      <w:r w:rsidRPr="004C3167">
        <w:rPr>
          <w:lang w:val="fr-FR"/>
        </w:rPr>
        <w:tab/>
      </w:r>
      <w:r w:rsidRPr="004C3167">
        <w:rPr>
          <w:lang w:val="fr-FR"/>
        </w:rPr>
        <w:tab/>
        <w:t>À compter du 1</w:t>
      </w:r>
      <w:r w:rsidRPr="004C3167">
        <w:rPr>
          <w:vertAlign w:val="superscript"/>
          <w:lang w:val="fr-FR"/>
        </w:rPr>
        <w:t>er</w:t>
      </w:r>
      <w:r w:rsidRPr="004C3167">
        <w:rPr>
          <w:lang w:val="fr-FR"/>
        </w:rPr>
        <w:t xml:space="preserve"> septembre 2020, les Parties contractantes appliquant le présent Règlement ne seront plus tenues d’accepter les homologations de type délivrées en vertu des précédentes séries d’amendements après le 1</w:t>
      </w:r>
      <w:r w:rsidRPr="004C3167">
        <w:rPr>
          <w:vertAlign w:val="superscript"/>
          <w:lang w:val="fr-FR"/>
        </w:rPr>
        <w:t>er</w:t>
      </w:r>
      <w:r w:rsidR="002D00C3">
        <w:rPr>
          <w:lang w:val="fr-FR"/>
        </w:rPr>
        <w:t> </w:t>
      </w:r>
      <w:r w:rsidRPr="004C3167">
        <w:rPr>
          <w:lang w:val="fr-FR"/>
        </w:rPr>
        <w:t>septembre 2020.</w:t>
      </w:r>
    </w:p>
    <w:p w:rsidR="00700046" w:rsidRPr="004C3167" w:rsidRDefault="00700046" w:rsidP="006B73A2">
      <w:pPr>
        <w:pStyle w:val="SingleTxtG"/>
        <w:ind w:left="2268" w:hanging="1134"/>
        <w:rPr>
          <w:lang w:val="fr-FR"/>
        </w:rPr>
      </w:pPr>
      <w:r w:rsidRPr="004C3167">
        <w:rPr>
          <w:lang w:val="fr-FR"/>
        </w:rPr>
        <w:t>22.8</w:t>
      </w:r>
      <w:r w:rsidRPr="004C3167">
        <w:rPr>
          <w:lang w:val="fr-FR"/>
        </w:rPr>
        <w:tab/>
      </w:r>
      <w:r w:rsidRPr="004C3167">
        <w:rPr>
          <w:lang w:val="fr-FR"/>
        </w:rPr>
        <w:tab/>
        <w:t>Jusqu’au 1</w:t>
      </w:r>
      <w:r w:rsidRPr="004C3167">
        <w:rPr>
          <w:vertAlign w:val="superscript"/>
          <w:lang w:val="fr-FR"/>
        </w:rPr>
        <w:t>er</w:t>
      </w:r>
      <w:r w:rsidRPr="004C3167">
        <w:rPr>
          <w:lang w:val="fr-FR"/>
        </w:rPr>
        <w:t xml:space="preserve"> septembre 2021, les Parties contractantes appliquant le présent Règlement devront accepter les homologations de type délivrées en vertu des précédentes séries d’amendements avant le 1</w:t>
      </w:r>
      <w:r w:rsidRPr="004C3167">
        <w:rPr>
          <w:vertAlign w:val="superscript"/>
          <w:lang w:val="fr-FR"/>
        </w:rPr>
        <w:t>er</w:t>
      </w:r>
      <w:r w:rsidRPr="004C3167">
        <w:rPr>
          <w:lang w:val="fr-FR"/>
        </w:rPr>
        <w:t xml:space="preserve"> septembre 2020.</w:t>
      </w:r>
    </w:p>
    <w:p w:rsidR="00700046" w:rsidRPr="004C3167" w:rsidRDefault="00700046" w:rsidP="006B73A2">
      <w:pPr>
        <w:pStyle w:val="SingleTxtG"/>
        <w:ind w:left="2268" w:hanging="1134"/>
        <w:rPr>
          <w:lang w:val="fr-FR"/>
        </w:rPr>
      </w:pPr>
      <w:r w:rsidRPr="004C3167">
        <w:rPr>
          <w:lang w:val="fr-FR"/>
        </w:rPr>
        <w:t>22.9</w:t>
      </w:r>
      <w:r w:rsidRPr="004C3167">
        <w:rPr>
          <w:lang w:val="fr-FR"/>
        </w:rPr>
        <w:tab/>
      </w:r>
      <w:r w:rsidRPr="004C3167">
        <w:rPr>
          <w:lang w:val="fr-FR"/>
        </w:rPr>
        <w:tab/>
        <w:t>À compter du 1</w:t>
      </w:r>
      <w:r w:rsidRPr="004C3167">
        <w:rPr>
          <w:vertAlign w:val="superscript"/>
          <w:lang w:val="fr-FR"/>
        </w:rPr>
        <w:t>er</w:t>
      </w:r>
      <w:r w:rsidRPr="004C3167">
        <w:rPr>
          <w:lang w:val="fr-FR"/>
        </w:rPr>
        <w:t xml:space="preserve"> septembre 2021, les Parties contractantes appliquant le présent Règlement ne seront plus tenues d’accepter les homologations de type délivrées en vertu des précédentes séries d’amendements audit Règlement.</w:t>
      </w:r>
    </w:p>
    <w:p w:rsidR="00700046" w:rsidRPr="004C3167" w:rsidRDefault="00700046" w:rsidP="006B73A2">
      <w:pPr>
        <w:pStyle w:val="SingleTxtG"/>
        <w:ind w:left="2268" w:hanging="1134"/>
        <w:rPr>
          <w:lang w:val="fr-FR"/>
        </w:rPr>
      </w:pPr>
      <w:r w:rsidRPr="004C3167">
        <w:rPr>
          <w:lang w:val="fr-FR"/>
        </w:rPr>
        <w:t>22.10</w:t>
      </w:r>
      <w:r w:rsidRPr="004C3167">
        <w:rPr>
          <w:lang w:val="fr-FR"/>
        </w:rPr>
        <w:tab/>
      </w:r>
      <w:r w:rsidRPr="004C3167">
        <w:rPr>
          <w:lang w:val="fr-FR"/>
        </w:rPr>
        <w:tab/>
        <w:t>Nonobstant les dispositions du paragraphe 22.9, les Parties contractantes appliquant le présent Règlement continueront de reconnaître les homologations de type délivrées pour des équipements ou des pièces au titre des précédentes séries d’amendements audit Règlement.</w:t>
      </w:r>
    </w:p>
    <w:p w:rsidR="00700046" w:rsidRPr="004C3167" w:rsidRDefault="00700046" w:rsidP="006B73A2">
      <w:pPr>
        <w:pStyle w:val="SingleTxtG"/>
        <w:ind w:left="2268" w:hanging="1134"/>
        <w:rPr>
          <w:lang w:val="fr-FR"/>
        </w:rPr>
      </w:pPr>
      <w:r w:rsidRPr="004C3167">
        <w:rPr>
          <w:lang w:val="fr-FR"/>
        </w:rPr>
        <w:t>22.11</w:t>
      </w:r>
      <w:r w:rsidRPr="004C3167">
        <w:rPr>
          <w:lang w:val="fr-FR"/>
        </w:rPr>
        <w:tab/>
      </w:r>
      <w:r w:rsidRPr="004C3167">
        <w:rPr>
          <w:lang w:val="fr-FR"/>
        </w:rPr>
        <w:tab/>
        <w:t>Nonobstant les dispositions du paragraphe 22.9, les Parties contractantes appliquant le présent Règlement continueront de reconnaître les homologations de type délivrées au titre des précédentes séries d’amendements audit Règlement pour les véhicules ou les systèmes pour véhicules non concernés par les modifications apportées par la série 02 d’amendements.</w:t>
      </w:r>
    </w:p>
    <w:p w:rsidR="00700046" w:rsidRPr="004C3167" w:rsidRDefault="00700046" w:rsidP="006B73A2">
      <w:pPr>
        <w:pStyle w:val="SingleTxtG"/>
        <w:ind w:left="2268" w:hanging="1134"/>
        <w:rPr>
          <w:lang w:val="fr-FR"/>
        </w:rPr>
      </w:pPr>
      <w:r w:rsidRPr="004C3167">
        <w:rPr>
          <w:lang w:val="fr-FR"/>
        </w:rPr>
        <w:t>22.12</w:t>
      </w:r>
      <w:r w:rsidRPr="004C3167">
        <w:rPr>
          <w:lang w:val="fr-FR"/>
        </w:rPr>
        <w:tab/>
      </w:r>
      <w:r w:rsidRPr="004C3167">
        <w:rPr>
          <w:lang w:val="fr-FR"/>
        </w:rPr>
        <w:tab/>
        <w:t>Les Parties contractantes appliquant le présent Règlement ne pourront refuser d’accorder des homologations de type en vertu de l’une quelconque des précédentes séries d’amendements audit Règlement, ou d’accorder des extensions pour les homologations en question.</w:t>
      </w:r>
    </w:p>
    <w:p w:rsidR="00700046" w:rsidRPr="004C3167" w:rsidRDefault="00700046" w:rsidP="006B73A2">
      <w:pPr>
        <w:pStyle w:val="SingleTxtG"/>
        <w:ind w:left="2268" w:hanging="1134"/>
        <w:rPr>
          <w:lang w:val="fr-FR"/>
        </w:rPr>
      </w:pPr>
      <w:r w:rsidRPr="004C3167">
        <w:rPr>
          <w:lang w:val="fr-FR"/>
        </w:rPr>
        <w:t>22.13</w:t>
      </w:r>
      <w:r w:rsidRPr="004C3167">
        <w:rPr>
          <w:lang w:val="fr-FR"/>
        </w:rPr>
        <w:tab/>
      </w:r>
      <w:r w:rsidRPr="004C3167">
        <w:rPr>
          <w:lang w:val="fr-FR"/>
        </w:rPr>
        <w:tab/>
        <w:t>À compter du 1</w:t>
      </w:r>
      <w:r w:rsidRPr="004C3167">
        <w:rPr>
          <w:vertAlign w:val="superscript"/>
          <w:lang w:val="fr-FR"/>
        </w:rPr>
        <w:t>er</w:t>
      </w:r>
      <w:r w:rsidRPr="004C3167">
        <w:rPr>
          <w:lang w:val="fr-FR"/>
        </w:rPr>
        <w:t xml:space="preserve"> septembre 2021, les Parties contractantes appliquant le présent Règlement pourront refuser l’homologation de type nationale ou régionale et la première immatriculation d’un type de véhicule, s’il est concerné par les modifications apportées par la série 02 d’amendements audit Règlement et ne satisfait pas aux prescriptions de cette dernière. ».</w:t>
      </w:r>
    </w:p>
    <w:p w:rsidR="00700046" w:rsidRPr="004C3167" w:rsidRDefault="00700046" w:rsidP="006B73A2">
      <w:pPr>
        <w:pStyle w:val="SingleTxtG"/>
        <w:ind w:left="2268" w:hanging="1134"/>
        <w:rPr>
          <w:lang w:val="fr-FR"/>
        </w:rPr>
      </w:pPr>
      <w:r w:rsidRPr="006B73A2">
        <w:rPr>
          <w:i/>
          <w:lang w:val="fr-FR"/>
        </w:rPr>
        <w:t>Paragraphe 5.2</w:t>
      </w:r>
      <w:r w:rsidRPr="006B73A2">
        <w:rPr>
          <w:lang w:val="fr-FR"/>
        </w:rPr>
        <w:t>,</w:t>
      </w:r>
      <w:r w:rsidRPr="004C3167">
        <w:rPr>
          <w:lang w:val="fr-FR"/>
        </w:rPr>
        <w:t xml:space="preserve"> remplacer « 01 » par « 02 » (deux fois).</w:t>
      </w:r>
    </w:p>
    <w:p w:rsidR="00700046" w:rsidRDefault="00700046" w:rsidP="006B73A2">
      <w:pPr>
        <w:pStyle w:val="SingleTxtG"/>
        <w:rPr>
          <w:lang w:val="fr-FR"/>
        </w:rPr>
      </w:pPr>
      <w:r w:rsidRPr="006B73A2">
        <w:rPr>
          <w:i/>
          <w:lang w:val="fr-FR"/>
        </w:rPr>
        <w:t>Dans les annexes 2A et 2C (Modèle A et Modèle B)</w:t>
      </w:r>
      <w:r w:rsidRPr="006B73A2">
        <w:rPr>
          <w:lang w:val="fr-FR"/>
        </w:rPr>
        <w:t>,</w:t>
      </w:r>
      <w:r w:rsidRPr="004C3167">
        <w:rPr>
          <w:i/>
          <w:lang w:val="fr-FR"/>
        </w:rPr>
        <w:t xml:space="preserve"> remplacer</w:t>
      </w:r>
      <w:r w:rsidRPr="004C3167">
        <w:rPr>
          <w:lang w:val="fr-FR"/>
        </w:rPr>
        <w:t xml:space="preserve"> « 01 » par « 02 » (neuf fois).</w:t>
      </w:r>
    </w:p>
    <w:p w:rsidR="00700046" w:rsidRDefault="00700046" w:rsidP="00E00B31">
      <w:pPr>
        <w:pStyle w:val="HChG"/>
        <w:spacing w:before="0"/>
        <w:rPr>
          <w:lang w:val="fr-FR"/>
        </w:rPr>
      </w:pPr>
      <w:r>
        <w:rPr>
          <w:lang w:val="fr-FR"/>
        </w:rPr>
        <w:br w:type="page"/>
      </w:r>
      <w:r w:rsidRPr="004C3167">
        <w:rPr>
          <w:lang w:val="fr-FR"/>
        </w:rPr>
        <w:lastRenderedPageBreak/>
        <w:t>Annexe VI</w:t>
      </w:r>
    </w:p>
    <w:p w:rsidR="00700046" w:rsidRPr="003077C3" w:rsidRDefault="00700046" w:rsidP="00E00B31">
      <w:pPr>
        <w:pStyle w:val="HChG"/>
        <w:rPr>
          <w:lang w:val="fr-FR"/>
        </w:rPr>
      </w:pPr>
      <w:r>
        <w:rPr>
          <w:lang w:val="fr-FR"/>
        </w:rPr>
        <w:tab/>
      </w:r>
      <w:r w:rsidR="00E00B31">
        <w:rPr>
          <w:lang w:val="fr-FR"/>
        </w:rPr>
        <w:tab/>
      </w:r>
      <w:r w:rsidRPr="003077C3">
        <w:rPr>
          <w:lang w:val="fr-FR"/>
        </w:rPr>
        <w:t>Groupes de travail informels relevant du GRSG</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3471"/>
        <w:gridCol w:w="2975"/>
      </w:tblGrid>
      <w:tr w:rsidR="00D14960" w:rsidRPr="00D14960" w:rsidTr="00D14960">
        <w:tc>
          <w:tcPr>
            <w:tcW w:w="2058" w:type="dxa"/>
            <w:tcBorders>
              <w:top w:val="single" w:sz="4" w:space="0" w:color="auto"/>
              <w:bottom w:val="single" w:sz="12" w:space="0" w:color="auto"/>
            </w:tcBorders>
            <w:shd w:val="clear" w:color="auto" w:fill="auto"/>
            <w:vAlign w:val="bottom"/>
          </w:tcPr>
          <w:p w:rsidR="00D14960" w:rsidRPr="006B73A2" w:rsidRDefault="00D14960" w:rsidP="00D14960">
            <w:pPr>
              <w:spacing w:before="80" w:after="80" w:line="200" w:lineRule="exact"/>
              <w:ind w:right="113"/>
              <w:rPr>
                <w:i/>
                <w:sz w:val="16"/>
                <w:highlight w:val="cyan"/>
                <w:lang w:val="fr-FR"/>
              </w:rPr>
            </w:pPr>
            <w:r w:rsidRPr="006B73A2">
              <w:rPr>
                <w:i/>
                <w:sz w:val="16"/>
                <w:lang w:val="fr-FR"/>
              </w:rPr>
              <w:t>Groupe de travail informel</w:t>
            </w:r>
          </w:p>
        </w:tc>
        <w:tc>
          <w:tcPr>
            <w:tcW w:w="3471" w:type="dxa"/>
            <w:tcBorders>
              <w:top w:val="single" w:sz="4" w:space="0" w:color="auto"/>
              <w:bottom w:val="single" w:sz="12" w:space="0" w:color="auto"/>
            </w:tcBorders>
            <w:shd w:val="clear" w:color="auto" w:fill="auto"/>
            <w:vAlign w:val="bottom"/>
          </w:tcPr>
          <w:p w:rsidR="00D14960" w:rsidRPr="006B73A2" w:rsidRDefault="00D14960" w:rsidP="00D14960">
            <w:pPr>
              <w:spacing w:before="80" w:after="80" w:line="200" w:lineRule="exact"/>
              <w:ind w:right="113"/>
              <w:rPr>
                <w:i/>
                <w:sz w:val="16"/>
                <w:lang w:val="fr-FR"/>
              </w:rPr>
            </w:pPr>
            <w:r w:rsidRPr="006B73A2">
              <w:rPr>
                <w:i/>
                <w:sz w:val="16"/>
                <w:lang w:val="fr-FR"/>
              </w:rPr>
              <w:t>Président</w:t>
            </w:r>
          </w:p>
        </w:tc>
        <w:tc>
          <w:tcPr>
            <w:tcW w:w="2975" w:type="dxa"/>
            <w:tcBorders>
              <w:top w:val="single" w:sz="4" w:space="0" w:color="auto"/>
              <w:bottom w:val="single" w:sz="12" w:space="0" w:color="auto"/>
            </w:tcBorders>
            <w:shd w:val="clear" w:color="auto" w:fill="auto"/>
            <w:vAlign w:val="bottom"/>
          </w:tcPr>
          <w:p w:rsidR="00D14960" w:rsidRPr="006B73A2" w:rsidRDefault="00D14960" w:rsidP="00D14960">
            <w:pPr>
              <w:spacing w:before="80" w:after="80" w:line="200" w:lineRule="exact"/>
              <w:ind w:right="113"/>
              <w:rPr>
                <w:i/>
                <w:sz w:val="16"/>
                <w:lang w:val="fr-FR"/>
              </w:rPr>
            </w:pPr>
            <w:r w:rsidRPr="006B73A2">
              <w:rPr>
                <w:i/>
                <w:sz w:val="16"/>
                <w:lang w:val="fr-FR"/>
              </w:rPr>
              <w:t>Secrétaire</w:t>
            </w:r>
          </w:p>
        </w:tc>
      </w:tr>
      <w:tr w:rsidR="00D14960" w:rsidRPr="00D14960" w:rsidTr="00D14960">
        <w:trPr>
          <w:trHeight w:hRule="exact" w:val="113"/>
        </w:trPr>
        <w:tc>
          <w:tcPr>
            <w:tcW w:w="2058" w:type="dxa"/>
            <w:tcBorders>
              <w:top w:val="single" w:sz="12" w:space="0" w:color="auto"/>
            </w:tcBorders>
            <w:shd w:val="clear" w:color="auto" w:fill="auto"/>
            <w:vAlign w:val="bottom"/>
          </w:tcPr>
          <w:p w:rsidR="00D14960" w:rsidRPr="00D14960" w:rsidRDefault="00D14960" w:rsidP="00D14960">
            <w:pPr>
              <w:spacing w:before="80" w:after="80" w:line="200" w:lineRule="exact"/>
              <w:ind w:right="113"/>
              <w:rPr>
                <w:i/>
                <w:sz w:val="16"/>
              </w:rPr>
            </w:pPr>
          </w:p>
        </w:tc>
        <w:tc>
          <w:tcPr>
            <w:tcW w:w="3471" w:type="dxa"/>
            <w:tcBorders>
              <w:top w:val="single" w:sz="12" w:space="0" w:color="auto"/>
            </w:tcBorders>
            <w:shd w:val="clear" w:color="auto" w:fill="auto"/>
            <w:vAlign w:val="bottom"/>
          </w:tcPr>
          <w:p w:rsidR="00D14960" w:rsidRPr="00D14960" w:rsidRDefault="00D14960" w:rsidP="00D14960">
            <w:pPr>
              <w:spacing w:before="80" w:after="80" w:line="200" w:lineRule="exact"/>
              <w:ind w:right="113"/>
              <w:rPr>
                <w:i/>
                <w:sz w:val="16"/>
              </w:rPr>
            </w:pPr>
          </w:p>
        </w:tc>
        <w:tc>
          <w:tcPr>
            <w:tcW w:w="2975" w:type="dxa"/>
            <w:tcBorders>
              <w:top w:val="single" w:sz="12" w:space="0" w:color="auto"/>
            </w:tcBorders>
            <w:shd w:val="clear" w:color="auto" w:fill="auto"/>
            <w:vAlign w:val="bottom"/>
          </w:tcPr>
          <w:p w:rsidR="00D14960" w:rsidRPr="00D14960" w:rsidRDefault="00D14960" w:rsidP="00D14960">
            <w:pPr>
              <w:spacing w:before="80" w:after="80" w:line="200" w:lineRule="exact"/>
              <w:ind w:right="113"/>
              <w:rPr>
                <w:i/>
                <w:sz w:val="16"/>
              </w:rPr>
            </w:pPr>
          </w:p>
        </w:tc>
      </w:tr>
      <w:tr w:rsidR="0094504B" w:rsidRPr="00D14960" w:rsidTr="00D14960">
        <w:tc>
          <w:tcPr>
            <w:tcW w:w="2058" w:type="dxa"/>
            <w:shd w:val="clear" w:color="auto" w:fill="auto"/>
          </w:tcPr>
          <w:p w:rsidR="0094504B" w:rsidRPr="006B73A2" w:rsidRDefault="0094504B" w:rsidP="0094504B">
            <w:pPr>
              <w:spacing w:before="60" w:after="60"/>
              <w:ind w:right="113"/>
              <w:rPr>
                <w:lang w:val="fr-FR"/>
              </w:rPr>
            </w:pPr>
            <w:r w:rsidRPr="006B73A2">
              <w:rPr>
                <w:lang w:val="fr-FR"/>
              </w:rPr>
              <w:t>Vitrages de toit panoramique (PSG)</w:t>
            </w:r>
          </w:p>
        </w:tc>
        <w:tc>
          <w:tcPr>
            <w:tcW w:w="3471" w:type="dxa"/>
            <w:shd w:val="clear" w:color="auto" w:fill="auto"/>
          </w:tcPr>
          <w:p w:rsidR="0094504B" w:rsidRPr="006B73A2" w:rsidRDefault="0094504B" w:rsidP="0094504B">
            <w:pPr>
              <w:spacing w:before="60" w:after="60"/>
              <w:ind w:right="113"/>
              <w:rPr>
                <w:lang w:val="fr-FR"/>
              </w:rPr>
            </w:pPr>
            <w:r w:rsidRPr="006B73A2">
              <w:rPr>
                <w:lang w:val="fr-FR"/>
              </w:rPr>
              <w:t>M.</w:t>
            </w:r>
            <w:r>
              <w:rPr>
                <w:lang w:val="fr-FR"/>
              </w:rPr>
              <w:t> </w:t>
            </w:r>
            <w:r w:rsidRPr="006B73A2">
              <w:rPr>
                <w:lang w:val="fr-FR"/>
              </w:rPr>
              <w:t>S.</w:t>
            </w:r>
            <w:r>
              <w:rPr>
                <w:lang w:val="fr-FR"/>
              </w:rPr>
              <w:t xml:space="preserve"> </w:t>
            </w:r>
            <w:r w:rsidRPr="006B73A2">
              <w:rPr>
                <w:lang w:val="fr-FR"/>
              </w:rPr>
              <w:t>B.</w:t>
            </w:r>
            <w:r>
              <w:rPr>
                <w:lang w:val="fr-FR"/>
              </w:rPr>
              <w:t> </w:t>
            </w:r>
            <w:r w:rsidRPr="006B73A2">
              <w:rPr>
                <w:lang w:val="fr-FR"/>
              </w:rPr>
              <w:t>Eom (République de Corée) (coprésidé par M.</w:t>
            </w:r>
            <w:r>
              <w:rPr>
                <w:lang w:val="fr-FR"/>
              </w:rPr>
              <w:t> </w:t>
            </w:r>
            <w:r w:rsidRPr="006B73A2">
              <w:rPr>
                <w:lang w:val="fr-FR"/>
              </w:rPr>
              <w:t>Th.</w:t>
            </w:r>
            <w:r>
              <w:rPr>
                <w:lang w:val="fr-FR"/>
              </w:rPr>
              <w:t> </w:t>
            </w:r>
            <w:r w:rsidRPr="006B73A2">
              <w:rPr>
                <w:lang w:val="fr-FR"/>
              </w:rPr>
              <w:t>Fuhrmann (Allemagne))</w:t>
            </w:r>
            <w:r>
              <w:rPr>
                <w:lang w:val="fr-FR"/>
              </w:rPr>
              <w:br/>
            </w:r>
            <w:r w:rsidRPr="006B73A2">
              <w:rPr>
                <w:lang w:val="fr-FR"/>
              </w:rPr>
              <w:t>Tél. : +82 31 3690217</w:t>
            </w:r>
            <w:r>
              <w:rPr>
                <w:lang w:val="fr-FR"/>
              </w:rPr>
              <w:br/>
            </w:r>
            <w:r w:rsidRPr="006B73A2">
              <w:rPr>
                <w:lang w:val="fr-FR"/>
              </w:rPr>
              <w:t>Courriel : sbeom@ts2020.kr</w:t>
            </w:r>
          </w:p>
        </w:tc>
        <w:tc>
          <w:tcPr>
            <w:tcW w:w="2975" w:type="dxa"/>
            <w:shd w:val="clear" w:color="auto" w:fill="auto"/>
          </w:tcPr>
          <w:p w:rsidR="0094504B" w:rsidRPr="006B73A2" w:rsidRDefault="0094504B" w:rsidP="00101A87">
            <w:pPr>
              <w:spacing w:before="60" w:after="60"/>
              <w:ind w:right="113"/>
              <w:rPr>
                <w:b/>
                <w:bCs/>
                <w:szCs w:val="24"/>
                <w:lang w:val="fr-FR"/>
              </w:rPr>
            </w:pPr>
            <w:r w:rsidRPr="006B73A2">
              <w:t>M.</w:t>
            </w:r>
            <w:r>
              <w:t> </w:t>
            </w:r>
            <w:r w:rsidRPr="006B73A2">
              <w:t>S.</w:t>
            </w:r>
            <w:r>
              <w:t> </w:t>
            </w:r>
            <w:r w:rsidRPr="006B73A2">
              <w:t>Müller von Kralik (CLEPA)</w:t>
            </w:r>
            <w:r w:rsidRPr="006B73A2">
              <w:br/>
            </w:r>
            <w:r w:rsidRPr="006B73A2">
              <w:rPr>
                <w:lang w:val="fr-FR"/>
              </w:rPr>
              <w:t>Tél. : +49 89 85794 1625</w:t>
            </w:r>
            <w:r>
              <w:rPr>
                <w:lang w:val="fr-FR"/>
              </w:rPr>
              <w:br/>
            </w:r>
            <w:r w:rsidRPr="002D00C3">
              <w:rPr>
                <w:bCs/>
                <w:szCs w:val="24"/>
                <w:lang w:val="fr-FR"/>
              </w:rPr>
              <w:t>Courriel : Bianca.Retr@webasto.com</w:t>
            </w:r>
          </w:p>
        </w:tc>
      </w:tr>
      <w:tr w:rsidR="0094504B" w:rsidRPr="00D14960" w:rsidTr="00D14960">
        <w:tc>
          <w:tcPr>
            <w:tcW w:w="2058" w:type="dxa"/>
            <w:shd w:val="clear" w:color="auto" w:fill="auto"/>
          </w:tcPr>
          <w:p w:rsidR="0094504B" w:rsidRPr="006B73A2" w:rsidRDefault="0094504B" w:rsidP="0094504B">
            <w:pPr>
              <w:spacing w:before="60" w:after="60"/>
              <w:ind w:right="113"/>
              <w:rPr>
                <w:lang w:val="fr-FR"/>
              </w:rPr>
            </w:pPr>
            <w:r w:rsidRPr="006B73A2">
              <w:rPr>
                <w:lang w:val="fr-FR"/>
              </w:rPr>
              <w:t xml:space="preserve">Sensibilisation </w:t>
            </w:r>
            <w:r>
              <w:rPr>
                <w:lang w:val="fr-FR"/>
              </w:rPr>
              <w:br/>
            </w:r>
            <w:r w:rsidRPr="006B73A2">
              <w:rPr>
                <w:lang w:val="fr-FR"/>
              </w:rPr>
              <w:t>à la proximité d’usagers de la route vulnérables (VRU-Proxi)</w:t>
            </w:r>
          </w:p>
        </w:tc>
        <w:tc>
          <w:tcPr>
            <w:tcW w:w="3471" w:type="dxa"/>
            <w:shd w:val="clear" w:color="auto" w:fill="auto"/>
          </w:tcPr>
          <w:p w:rsidR="0094504B" w:rsidRPr="006B73A2" w:rsidRDefault="0094504B" w:rsidP="0094504B">
            <w:pPr>
              <w:spacing w:before="60" w:after="60"/>
              <w:ind w:right="113"/>
              <w:rPr>
                <w:lang w:val="fr-FR"/>
              </w:rPr>
            </w:pPr>
            <w:r w:rsidRPr="006B73A2">
              <w:rPr>
                <w:lang w:val="fr-FR"/>
              </w:rPr>
              <w:t>M.</w:t>
            </w:r>
            <w:r>
              <w:rPr>
                <w:lang w:val="fr-FR"/>
              </w:rPr>
              <w:t> </w:t>
            </w:r>
            <w:r w:rsidRPr="006B73A2">
              <w:rPr>
                <w:lang w:val="fr-FR"/>
              </w:rPr>
              <w:t>Y.</w:t>
            </w:r>
            <w:r>
              <w:rPr>
                <w:lang w:val="fr-FR"/>
              </w:rPr>
              <w:t> </w:t>
            </w:r>
            <w:r w:rsidRPr="006B73A2">
              <w:rPr>
                <w:lang w:val="fr-FR"/>
              </w:rPr>
              <w:t>Matsui (Japon) (Président)</w:t>
            </w:r>
            <w:r>
              <w:rPr>
                <w:lang w:val="fr-FR"/>
              </w:rPr>
              <w:br/>
            </w:r>
            <w:r w:rsidRPr="006B73A2">
              <w:rPr>
                <w:lang w:val="fr-FR"/>
              </w:rPr>
              <w:t>M.</w:t>
            </w:r>
            <w:r>
              <w:rPr>
                <w:lang w:val="fr-FR"/>
              </w:rPr>
              <w:t> P. </w:t>
            </w:r>
            <w:r w:rsidRPr="006B73A2">
              <w:rPr>
                <w:lang w:val="fr-FR"/>
              </w:rPr>
              <w:t>Broertjes (CE) (Vice-Président)</w:t>
            </w:r>
            <w:r>
              <w:rPr>
                <w:lang w:val="fr-FR"/>
              </w:rPr>
              <w:br/>
            </w:r>
            <w:r w:rsidRPr="006B73A2">
              <w:rPr>
                <w:lang w:val="fr-FR"/>
              </w:rPr>
              <w:t>Tél. : +81 422 41 3371</w:t>
            </w:r>
            <w:r>
              <w:rPr>
                <w:lang w:val="fr-FR"/>
              </w:rPr>
              <w:br/>
            </w:r>
            <w:r w:rsidRPr="006B73A2">
              <w:rPr>
                <w:lang w:val="fr-FR"/>
              </w:rPr>
              <w:t>Courriel : ymatsui@ntsel.go.jp</w:t>
            </w:r>
            <w:r>
              <w:rPr>
                <w:lang w:val="fr-FR"/>
              </w:rPr>
              <w:br/>
            </w:r>
            <w:r w:rsidRPr="006B73A2">
              <w:rPr>
                <w:lang w:val="fr-FR"/>
              </w:rPr>
              <w:t>Tél. : +32 2 299 49 33</w:t>
            </w:r>
            <w:r>
              <w:rPr>
                <w:lang w:val="fr-FR"/>
              </w:rPr>
              <w:br/>
            </w:r>
            <w:r w:rsidRPr="006B73A2">
              <w:rPr>
                <w:lang w:val="fr-FR"/>
              </w:rPr>
              <w:t>Courriel : peter.broertjes@ec.europa.eu</w:t>
            </w:r>
          </w:p>
        </w:tc>
        <w:tc>
          <w:tcPr>
            <w:tcW w:w="2975" w:type="dxa"/>
            <w:shd w:val="clear" w:color="auto" w:fill="auto"/>
          </w:tcPr>
          <w:p w:rsidR="0094504B" w:rsidRPr="006B73A2" w:rsidRDefault="0094504B" w:rsidP="00101A87">
            <w:pPr>
              <w:spacing w:before="60" w:after="60"/>
              <w:ind w:right="113"/>
              <w:rPr>
                <w:lang w:val="fr-FR"/>
              </w:rPr>
            </w:pPr>
            <w:r w:rsidRPr="006B73A2">
              <w:rPr>
                <w:lang w:val="fr-FR"/>
              </w:rPr>
              <w:t>M</w:t>
            </w:r>
            <w:r>
              <w:rPr>
                <w:lang w:val="fr-FR"/>
              </w:rPr>
              <w:t>. </w:t>
            </w:r>
            <w:r w:rsidRPr="006B73A2">
              <w:rPr>
                <w:lang w:val="fr-FR"/>
              </w:rPr>
              <w:t>O.</w:t>
            </w:r>
            <w:r>
              <w:rPr>
                <w:lang w:val="fr-FR"/>
              </w:rPr>
              <w:t> </w:t>
            </w:r>
            <w:r w:rsidRPr="006B73A2">
              <w:rPr>
                <w:lang w:val="fr-FR"/>
              </w:rPr>
              <w:t>Fontaine (OICA)</w:t>
            </w:r>
            <w:r>
              <w:rPr>
                <w:lang w:val="fr-FR"/>
              </w:rPr>
              <w:br/>
            </w:r>
            <w:r w:rsidRPr="006B73A2">
              <w:rPr>
                <w:lang w:val="fr-FR"/>
              </w:rPr>
              <w:t>Tél. : +33 1</w:t>
            </w:r>
            <w:r w:rsidRPr="006B73A2">
              <w:rPr>
                <w:lang w:val="fr-FR"/>
              </w:rPr>
              <w:noBreakHyphen/>
              <w:t>43590013</w:t>
            </w:r>
            <w:r>
              <w:rPr>
                <w:lang w:val="fr-FR"/>
              </w:rPr>
              <w:br/>
            </w:r>
            <w:r w:rsidRPr="006B73A2">
              <w:rPr>
                <w:bCs/>
                <w:lang w:val="fr-FR"/>
              </w:rPr>
              <w:t>Courriel : ofontaine@oica.net</w:t>
            </w:r>
          </w:p>
        </w:tc>
      </w:tr>
      <w:tr w:rsidR="0094504B" w:rsidRPr="00D14960" w:rsidTr="00D14960">
        <w:tc>
          <w:tcPr>
            <w:tcW w:w="2058" w:type="dxa"/>
            <w:tcBorders>
              <w:bottom w:val="single" w:sz="12" w:space="0" w:color="auto"/>
            </w:tcBorders>
            <w:shd w:val="clear" w:color="auto" w:fill="auto"/>
          </w:tcPr>
          <w:p w:rsidR="0094504B" w:rsidRPr="006B73A2" w:rsidRDefault="0094504B" w:rsidP="0094504B">
            <w:pPr>
              <w:spacing w:before="60" w:after="60"/>
              <w:ind w:right="113"/>
              <w:rPr>
                <w:lang w:val="fr-FR"/>
              </w:rPr>
            </w:pPr>
            <w:r w:rsidRPr="006B73A2">
              <w:rPr>
                <w:lang w:val="fr-FR"/>
              </w:rPr>
              <w:t>Comportement général des véhicules des catégories M</w:t>
            </w:r>
            <w:r w:rsidRPr="006B73A2">
              <w:rPr>
                <w:vertAlign w:val="subscript"/>
                <w:lang w:val="fr-FR"/>
              </w:rPr>
              <w:t>2</w:t>
            </w:r>
            <w:r w:rsidRPr="006B73A2">
              <w:rPr>
                <w:lang w:val="fr-FR"/>
              </w:rPr>
              <w:t xml:space="preserve"> et M</w:t>
            </w:r>
            <w:r w:rsidRPr="006B73A2">
              <w:rPr>
                <w:vertAlign w:val="subscript"/>
                <w:lang w:val="fr-FR"/>
              </w:rPr>
              <w:t>3</w:t>
            </w:r>
            <w:r w:rsidRPr="006B73A2">
              <w:rPr>
                <w:lang w:val="fr-FR"/>
              </w:rPr>
              <w:t xml:space="preserve"> </w:t>
            </w:r>
            <w:r>
              <w:rPr>
                <w:lang w:val="fr-FR"/>
              </w:rPr>
              <w:br/>
            </w:r>
            <w:r w:rsidRPr="006B73A2">
              <w:rPr>
                <w:lang w:val="fr-FR"/>
              </w:rPr>
              <w:t>en cas d’incendie (BMFE)</w:t>
            </w:r>
          </w:p>
        </w:tc>
        <w:tc>
          <w:tcPr>
            <w:tcW w:w="3471" w:type="dxa"/>
            <w:tcBorders>
              <w:bottom w:val="single" w:sz="12" w:space="0" w:color="auto"/>
            </w:tcBorders>
            <w:shd w:val="clear" w:color="auto" w:fill="auto"/>
          </w:tcPr>
          <w:p w:rsidR="0094504B" w:rsidRPr="006B73A2" w:rsidRDefault="0094504B" w:rsidP="0094504B">
            <w:pPr>
              <w:spacing w:before="60" w:after="60"/>
              <w:ind w:right="113"/>
              <w:rPr>
                <w:lang w:val="fr-FR"/>
              </w:rPr>
            </w:pPr>
            <w:r>
              <w:rPr>
                <w:lang w:val="fr-FR"/>
              </w:rPr>
              <w:t>M. </w:t>
            </w:r>
            <w:r w:rsidRPr="006B73A2">
              <w:rPr>
                <w:lang w:val="fr-FR"/>
              </w:rPr>
              <w:t>F.</w:t>
            </w:r>
            <w:r>
              <w:rPr>
                <w:lang w:val="fr-FR"/>
              </w:rPr>
              <w:t> </w:t>
            </w:r>
            <w:r w:rsidRPr="006B73A2">
              <w:rPr>
                <w:lang w:val="fr-FR"/>
              </w:rPr>
              <w:t>Herveleu (France) (Président)</w:t>
            </w:r>
            <w:r>
              <w:rPr>
                <w:lang w:val="fr-FR"/>
              </w:rPr>
              <w:br/>
            </w:r>
            <w:r w:rsidRPr="006B73A2">
              <w:rPr>
                <w:lang w:val="fr-FR"/>
              </w:rPr>
              <w:t>Tél. : +33 1 69 803407</w:t>
            </w:r>
            <w:r>
              <w:rPr>
                <w:lang w:val="fr-FR"/>
              </w:rPr>
              <w:br/>
            </w:r>
            <w:r w:rsidRPr="006B73A2">
              <w:rPr>
                <w:lang w:val="fr-FR"/>
              </w:rPr>
              <w:t>Courriel : fabrice.herveleu@utacceram.com</w:t>
            </w:r>
          </w:p>
        </w:tc>
        <w:tc>
          <w:tcPr>
            <w:tcW w:w="2975" w:type="dxa"/>
            <w:tcBorders>
              <w:bottom w:val="single" w:sz="12" w:space="0" w:color="auto"/>
            </w:tcBorders>
            <w:shd w:val="clear" w:color="auto" w:fill="auto"/>
          </w:tcPr>
          <w:p w:rsidR="0094504B" w:rsidRPr="006B73A2" w:rsidRDefault="0094504B" w:rsidP="00101A87">
            <w:pPr>
              <w:spacing w:before="60" w:after="60"/>
              <w:ind w:right="113"/>
              <w:rPr>
                <w:lang w:val="fr-FR"/>
              </w:rPr>
            </w:pPr>
            <w:r w:rsidRPr="006B73A2">
              <w:rPr>
                <w:lang w:val="fr-FR"/>
              </w:rPr>
              <w:t>M</w:t>
            </w:r>
            <w:r>
              <w:rPr>
                <w:lang w:val="fr-FR"/>
              </w:rPr>
              <w:t>. </w:t>
            </w:r>
            <w:r w:rsidRPr="006B73A2">
              <w:rPr>
                <w:lang w:val="fr-FR"/>
              </w:rPr>
              <w:t>O.</w:t>
            </w:r>
            <w:r>
              <w:rPr>
                <w:lang w:val="fr-FR"/>
              </w:rPr>
              <w:t> </w:t>
            </w:r>
            <w:r w:rsidRPr="006B73A2">
              <w:rPr>
                <w:lang w:val="fr-FR"/>
              </w:rPr>
              <w:t>Fontaine (OICA)</w:t>
            </w:r>
            <w:r>
              <w:rPr>
                <w:lang w:val="fr-FR"/>
              </w:rPr>
              <w:br/>
            </w:r>
            <w:r w:rsidRPr="006B73A2">
              <w:rPr>
                <w:lang w:val="fr-FR"/>
              </w:rPr>
              <w:t>Tél. : +33 1 43590013</w:t>
            </w:r>
            <w:r>
              <w:rPr>
                <w:lang w:val="fr-FR"/>
              </w:rPr>
              <w:br/>
            </w:r>
            <w:r w:rsidRPr="006B73A2">
              <w:rPr>
                <w:lang w:val="fr-FR"/>
              </w:rPr>
              <w:t>Courriel : ofontaine@oica.net</w:t>
            </w:r>
          </w:p>
        </w:tc>
      </w:tr>
    </w:tbl>
    <w:p w:rsidR="00CE6634" w:rsidRPr="00E00B31" w:rsidRDefault="00E00B31" w:rsidP="00E00B31">
      <w:pPr>
        <w:pStyle w:val="SingleTxtG"/>
        <w:spacing w:before="240" w:after="0"/>
        <w:jc w:val="center"/>
        <w:rPr>
          <w:u w:val="single"/>
        </w:rPr>
      </w:pPr>
      <w:r>
        <w:rPr>
          <w:u w:val="single"/>
        </w:rPr>
        <w:tab/>
      </w:r>
      <w:r>
        <w:rPr>
          <w:u w:val="single"/>
        </w:rPr>
        <w:tab/>
      </w:r>
      <w:r>
        <w:rPr>
          <w:u w:val="single"/>
        </w:rPr>
        <w:tab/>
      </w:r>
    </w:p>
    <w:sectPr w:rsidR="00CE6634" w:rsidRPr="00E00B31" w:rsidSect="00CE6634">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E2" w:rsidRDefault="00320DE2" w:rsidP="00F95C08">
      <w:pPr>
        <w:spacing w:line="240" w:lineRule="auto"/>
      </w:pPr>
    </w:p>
  </w:endnote>
  <w:endnote w:type="continuationSeparator" w:id="0">
    <w:p w:rsidR="00320DE2" w:rsidRPr="00AC3823" w:rsidRDefault="00320DE2" w:rsidP="00AC3823">
      <w:pPr>
        <w:pStyle w:val="Pieddepage"/>
      </w:pPr>
    </w:p>
  </w:endnote>
  <w:endnote w:type="continuationNotice" w:id="1">
    <w:p w:rsidR="00320DE2" w:rsidRDefault="00320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264EA4" w:rsidRDefault="00320DE2" w:rsidP="00264EA4">
    <w:pPr>
      <w:pStyle w:val="Pieddepage"/>
      <w:tabs>
        <w:tab w:val="right" w:pos="9638"/>
      </w:tabs>
    </w:pP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2</w:t>
    </w:r>
    <w:r w:rsidRPr="00264EA4">
      <w:rPr>
        <w:b/>
        <w:sz w:val="18"/>
      </w:rPr>
      <w:fldChar w:fldCharType="end"/>
    </w:r>
    <w:r>
      <w:rPr>
        <w:b/>
        <w:sz w:val="18"/>
      </w:rPr>
      <w:tab/>
    </w:r>
    <w:r>
      <w:t>GE.18-07935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264EA4" w:rsidRDefault="00320DE2" w:rsidP="00264EA4">
    <w:pPr>
      <w:pStyle w:val="Pieddepage"/>
      <w:tabs>
        <w:tab w:val="right" w:pos="9638"/>
      </w:tabs>
      <w:rPr>
        <w:b/>
        <w:sz w:val="18"/>
      </w:rPr>
    </w:pPr>
    <w:r>
      <w:t>GE.18-07935</w:t>
    </w:r>
    <w:r>
      <w:tab/>
    </w: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19</w:t>
    </w:r>
    <w:r w:rsidRPr="00264E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264EA4" w:rsidRDefault="00320DE2" w:rsidP="00264EA4">
    <w:pPr>
      <w:pStyle w:val="Pieddepage"/>
      <w:spacing w:before="120"/>
      <w:rPr>
        <w:sz w:val="20"/>
      </w:rPr>
    </w:pPr>
    <w:r>
      <w:rPr>
        <w:sz w:val="20"/>
      </w:rPr>
      <w:t>GE.</w:t>
    </w:r>
    <w:r>
      <w:rPr>
        <w:noProof/>
        <w:lang w:eastAsia="fr-CH"/>
      </w:rPr>
      <w:drawing>
        <wp:anchor distT="0" distB="0" distL="114300" distR="114300" simplePos="0" relativeHeight="25164288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12" name="Image 1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18-07935  (F)    061118    </w:t>
    </w:r>
    <w:r w:rsidR="00101A87">
      <w:rPr>
        <w:sz w:val="20"/>
      </w:rPr>
      <w:t>08</w:t>
    </w:r>
    <w:r>
      <w:rPr>
        <w:sz w:val="20"/>
      </w:rPr>
      <w:t>1118</w:t>
    </w:r>
    <w:r>
      <w:rPr>
        <w:sz w:val="20"/>
      </w:rPr>
      <w:br/>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sidRPr="00264EA4">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3" name="Image 1" descr="https://undocs.org/m2/QRCode.ashx?DS=ECE/TRANS/WP.29/GRSG/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331C43" w:rsidRDefault="00320DE2" w:rsidP="00331C43">
    <w:pPr>
      <w:pStyle w:val="Pieddepage"/>
    </w:pPr>
    <w:r>
      <w:rPr>
        <w:noProof/>
        <w:lang w:eastAsia="fr-CH"/>
      </w:rPr>
      <mc:AlternateContent>
        <mc:Choice Requires="wps">
          <w:drawing>
            <wp:anchor distT="0" distB="0" distL="114300" distR="114300" simplePos="0" relativeHeight="25167052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20DE2" w:rsidRPr="00264EA4" w:rsidRDefault="00320DE2" w:rsidP="00331C43">
                          <w:pPr>
                            <w:pStyle w:val="Pieddepage"/>
                            <w:tabs>
                              <w:tab w:val="right" w:pos="9638"/>
                            </w:tabs>
                          </w:pP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21</w:t>
                          </w:r>
                          <w:r w:rsidRPr="00264EA4">
                            <w:rPr>
                              <w:b/>
                              <w:sz w:val="18"/>
                            </w:rPr>
                            <w:fldChar w:fldCharType="end"/>
                          </w:r>
                          <w:r>
                            <w:rPr>
                              <w:b/>
                              <w:sz w:val="18"/>
                            </w:rPr>
                            <w:tab/>
                          </w:r>
                          <w:r>
                            <w:t>GE.18-07935</w:t>
                          </w:r>
                        </w:p>
                        <w:p w:rsidR="00320DE2" w:rsidRDefault="00320D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20DE2" w:rsidRPr="00264EA4" w:rsidRDefault="00320DE2" w:rsidP="00331C43">
                    <w:pPr>
                      <w:pStyle w:val="Pieddepage"/>
                      <w:tabs>
                        <w:tab w:val="right" w:pos="9638"/>
                      </w:tabs>
                    </w:pP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21</w:t>
                    </w:r>
                    <w:r w:rsidRPr="00264EA4">
                      <w:rPr>
                        <w:b/>
                        <w:sz w:val="18"/>
                      </w:rPr>
                      <w:fldChar w:fldCharType="end"/>
                    </w:r>
                    <w:r>
                      <w:rPr>
                        <w:b/>
                        <w:sz w:val="18"/>
                      </w:rPr>
                      <w:tab/>
                    </w:r>
                    <w:r>
                      <w:t>GE.18-07935</w:t>
                    </w:r>
                  </w:p>
                  <w:p w:rsidR="00320DE2" w:rsidRDefault="00320DE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331C43" w:rsidRDefault="00320DE2" w:rsidP="00331C43">
    <w:pPr>
      <w:pStyle w:val="Pieddepage"/>
    </w:pPr>
    <w:r>
      <w:rPr>
        <w:noProof/>
        <w:lang w:eastAsia="fr-CH"/>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20DE2" w:rsidRPr="00264EA4" w:rsidRDefault="00320DE2" w:rsidP="00331C43">
                          <w:pPr>
                            <w:pStyle w:val="Pieddepage"/>
                            <w:tabs>
                              <w:tab w:val="right" w:pos="9638"/>
                            </w:tabs>
                            <w:rPr>
                              <w:b/>
                              <w:sz w:val="18"/>
                            </w:rPr>
                          </w:pPr>
                          <w:r>
                            <w:t>GE.18-07935</w:t>
                          </w:r>
                          <w:r>
                            <w:tab/>
                          </w: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21</w:t>
                          </w:r>
                          <w:r w:rsidRPr="00264EA4">
                            <w:rPr>
                              <w:b/>
                              <w:sz w:val="18"/>
                            </w:rPr>
                            <w:fldChar w:fldCharType="end"/>
                          </w:r>
                        </w:p>
                        <w:p w:rsidR="00320DE2" w:rsidRDefault="00320D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20DE2" w:rsidRPr="00264EA4" w:rsidRDefault="00320DE2" w:rsidP="00331C43">
                    <w:pPr>
                      <w:pStyle w:val="Pieddepage"/>
                      <w:tabs>
                        <w:tab w:val="right" w:pos="9638"/>
                      </w:tabs>
                      <w:rPr>
                        <w:b/>
                        <w:sz w:val="18"/>
                      </w:rPr>
                    </w:pPr>
                    <w:r>
                      <w:t>GE.18-07935</w:t>
                    </w:r>
                    <w:r>
                      <w:tab/>
                    </w:r>
                    <w:r w:rsidRPr="00264EA4">
                      <w:rPr>
                        <w:b/>
                        <w:sz w:val="18"/>
                      </w:rPr>
                      <w:fldChar w:fldCharType="begin"/>
                    </w:r>
                    <w:r w:rsidRPr="00264EA4">
                      <w:rPr>
                        <w:b/>
                        <w:sz w:val="18"/>
                      </w:rPr>
                      <w:instrText xml:space="preserve"> PAGE  \* MERGEFORMAT </w:instrText>
                    </w:r>
                    <w:r w:rsidRPr="00264EA4">
                      <w:rPr>
                        <w:b/>
                        <w:sz w:val="18"/>
                      </w:rPr>
                      <w:fldChar w:fldCharType="separate"/>
                    </w:r>
                    <w:r w:rsidR="00943E24">
                      <w:rPr>
                        <w:b/>
                        <w:noProof/>
                        <w:sz w:val="18"/>
                      </w:rPr>
                      <w:t>21</w:t>
                    </w:r>
                    <w:r w:rsidRPr="00264EA4">
                      <w:rPr>
                        <w:b/>
                        <w:sz w:val="18"/>
                      </w:rPr>
                      <w:fldChar w:fldCharType="end"/>
                    </w:r>
                  </w:p>
                  <w:p w:rsidR="00320DE2" w:rsidRDefault="00320DE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CE6634" w:rsidRDefault="00320DE2" w:rsidP="00CE663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43E24">
      <w:rPr>
        <w:b/>
        <w:noProof/>
        <w:sz w:val="18"/>
      </w:rPr>
      <w:t>26</w:t>
    </w:r>
    <w:r>
      <w:rPr>
        <w:b/>
        <w:sz w:val="18"/>
      </w:rPr>
      <w:fldChar w:fldCharType="end"/>
    </w:r>
    <w:r>
      <w:rPr>
        <w:b/>
        <w:sz w:val="18"/>
      </w:rPr>
      <w:tab/>
    </w:r>
    <w:r w:rsidRPr="00CE6634">
      <w:t>GE.18-07935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CE6634" w:rsidRDefault="00320DE2" w:rsidP="00CE6634">
    <w:pPr>
      <w:pStyle w:val="Pieddepage"/>
      <w:tabs>
        <w:tab w:val="right" w:pos="9638"/>
      </w:tabs>
      <w:rPr>
        <w:b/>
        <w:sz w:val="18"/>
      </w:rPr>
    </w:pPr>
    <w:r>
      <w:t>GE.</w:t>
    </w:r>
    <w:r w:rsidRPr="00CE6634">
      <w:t>18</w:t>
    </w:r>
    <w:r>
      <w:t>-</w:t>
    </w:r>
    <w:r w:rsidRPr="00CE6634">
      <w:t>07935</w:t>
    </w:r>
    <w:r>
      <w:tab/>
    </w:r>
    <w:r>
      <w:rPr>
        <w:b/>
        <w:sz w:val="18"/>
      </w:rPr>
      <w:fldChar w:fldCharType="begin"/>
    </w:r>
    <w:r>
      <w:rPr>
        <w:b/>
        <w:sz w:val="18"/>
      </w:rPr>
      <w:instrText xml:space="preserve"> PAGE  \* MERGEFORMAT </w:instrText>
    </w:r>
    <w:r>
      <w:rPr>
        <w:b/>
        <w:sz w:val="18"/>
      </w:rPr>
      <w:fldChar w:fldCharType="separate"/>
    </w:r>
    <w:r w:rsidR="00943E24">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E2" w:rsidRPr="00AC3823" w:rsidRDefault="00320DE2" w:rsidP="00AC3823">
      <w:pPr>
        <w:pStyle w:val="Pieddepage"/>
        <w:tabs>
          <w:tab w:val="right" w:pos="2155"/>
        </w:tabs>
        <w:spacing w:after="80" w:line="240" w:lineRule="atLeast"/>
        <w:ind w:left="680"/>
        <w:rPr>
          <w:u w:val="single"/>
        </w:rPr>
      </w:pPr>
      <w:r>
        <w:rPr>
          <w:u w:val="single"/>
        </w:rPr>
        <w:tab/>
      </w:r>
    </w:p>
  </w:footnote>
  <w:footnote w:type="continuationSeparator" w:id="0">
    <w:p w:rsidR="00320DE2" w:rsidRPr="00AC3823" w:rsidRDefault="00320DE2" w:rsidP="00AC3823">
      <w:pPr>
        <w:pStyle w:val="Pieddepage"/>
        <w:tabs>
          <w:tab w:val="right" w:pos="2155"/>
        </w:tabs>
        <w:spacing w:after="80" w:line="240" w:lineRule="atLeast"/>
        <w:ind w:left="680"/>
        <w:rPr>
          <w:u w:val="single"/>
        </w:rPr>
      </w:pPr>
      <w:r>
        <w:rPr>
          <w:u w:val="single"/>
        </w:rPr>
        <w:tab/>
      </w:r>
    </w:p>
  </w:footnote>
  <w:footnote w:type="continuationNotice" w:id="1">
    <w:p w:rsidR="00320DE2" w:rsidRPr="00AC3823" w:rsidRDefault="00320DE2">
      <w:pPr>
        <w:spacing w:line="240" w:lineRule="auto"/>
        <w:rPr>
          <w:sz w:val="2"/>
          <w:szCs w:val="2"/>
        </w:rPr>
      </w:pPr>
    </w:p>
  </w:footnote>
  <w:footnote w:id="2">
    <w:p w:rsidR="00320DE2" w:rsidRPr="003B241D" w:rsidRDefault="00320DE2" w:rsidP="00CC6366">
      <w:pPr>
        <w:pStyle w:val="Notedebasdepage"/>
      </w:pPr>
      <w:r>
        <w:tab/>
      </w:r>
      <w:r>
        <w:rPr>
          <w:rStyle w:val="Appelnotedebasdep"/>
        </w:rPr>
        <w:footnoteRef/>
      </w:r>
      <w:r w:rsidRPr="003B241D">
        <w:t xml:space="preserve"> </w:t>
      </w:r>
      <w:r w:rsidRPr="003B241D">
        <w:tab/>
      </w:r>
      <w:r w:rsidRPr="004C3167">
        <w:rPr>
          <w:lang w:val="fr-FR"/>
        </w:rPr>
        <w:t xml:space="preserve">Le GRSG a noté que la date limite pour la communication des documents officiels au secrétariat de la CEE avait été fixée au 13 juillet 2018, soit douze </w:t>
      </w:r>
      <w:r w:rsidRPr="00CC6366">
        <w:t>semaines</w:t>
      </w:r>
      <w:r w:rsidRPr="004C3167">
        <w:rPr>
          <w:lang w:val="fr-FR"/>
        </w:rPr>
        <w:t xml:space="preserve">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264EA4" w:rsidRDefault="00320DE2">
    <w:pPr>
      <w:pStyle w:val="En-tte"/>
    </w:pPr>
    <w:fldSimple w:instr=" TITLE  \* MERGEFORMAT ">
      <w:r w:rsidR="00943E24">
        <w:t>ECE/TRANS/WP.29/GRSG/93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264EA4" w:rsidRDefault="00320DE2" w:rsidP="00264EA4">
    <w:pPr>
      <w:pStyle w:val="En-tte"/>
      <w:jc w:val="right"/>
    </w:pPr>
    <w:fldSimple w:instr=" TITLE  \* MERGEFORMAT ">
      <w:r w:rsidR="00943E24">
        <w:t>ECE/TRANS/WP.29/GRSG/93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331C43" w:rsidRDefault="00320DE2" w:rsidP="00331C43">
    <w:r>
      <w:rPr>
        <w:noProof/>
        <w:lang w:eastAsia="fr-CH"/>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20DE2" w:rsidRPr="00264EA4" w:rsidRDefault="00320DE2" w:rsidP="00331C43">
                          <w:pPr>
                            <w:pStyle w:val="En-tte"/>
                          </w:pPr>
                          <w:fldSimple w:instr=" TITLE  \* MERGEFORMAT ">
                            <w:r w:rsidR="00943E24">
                              <w:t>ECE/TRANS/WP.29/GRSG/93</w:t>
                            </w:r>
                          </w:fldSimple>
                        </w:p>
                        <w:p w:rsidR="00320DE2" w:rsidRDefault="00320D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320DE2" w:rsidRPr="00264EA4" w:rsidRDefault="00320DE2" w:rsidP="00331C43">
                    <w:pPr>
                      <w:pStyle w:val="En-tte"/>
                    </w:pPr>
                    <w:fldSimple w:instr=" TITLE  \* MERGEFORMAT ">
                      <w:r w:rsidR="00943E24">
                        <w:t>ECE/TRANS/WP.29/GRSG/93</w:t>
                      </w:r>
                    </w:fldSimple>
                  </w:p>
                  <w:p w:rsidR="00320DE2" w:rsidRDefault="00320DE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331C43" w:rsidRDefault="00320DE2" w:rsidP="00331C43">
    <w:r>
      <w:rPr>
        <w:noProof/>
        <w:lang w:eastAsia="fr-CH"/>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20DE2" w:rsidRPr="00264EA4" w:rsidRDefault="00320DE2" w:rsidP="00331C43">
                          <w:pPr>
                            <w:pStyle w:val="En-tte"/>
                            <w:jc w:val="right"/>
                          </w:pPr>
                          <w:fldSimple w:instr=" TITLE  \* MERGEFORMAT ">
                            <w:r w:rsidR="00943E24">
                              <w:t>ECE/TRANS/WP.29/GRSG/93</w:t>
                            </w:r>
                          </w:fldSimple>
                        </w:p>
                        <w:p w:rsidR="00320DE2" w:rsidRDefault="00320D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320DE2" w:rsidRPr="00264EA4" w:rsidRDefault="00320DE2" w:rsidP="00331C43">
                    <w:pPr>
                      <w:pStyle w:val="En-tte"/>
                      <w:jc w:val="right"/>
                    </w:pPr>
                    <w:fldSimple w:instr=" TITLE  \* MERGEFORMAT ">
                      <w:r w:rsidR="00943E24">
                        <w:t>ECE/TRANS/WP.29/GRSG/93</w:t>
                      </w:r>
                    </w:fldSimple>
                  </w:p>
                  <w:p w:rsidR="00320DE2" w:rsidRDefault="00320DE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CE6634" w:rsidRDefault="00320DE2" w:rsidP="00CE6634">
    <w:pPr>
      <w:pStyle w:val="En-tte"/>
    </w:pPr>
    <w:fldSimple w:instr=" TITLE  \* MERGEFORMAT ">
      <w:r w:rsidR="00943E24">
        <w:t>ECE/TRANS/WP.29/GRSG/93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E2" w:rsidRPr="00CE6634" w:rsidRDefault="00320DE2" w:rsidP="00CE6634">
    <w:pPr>
      <w:pStyle w:val="En-tte"/>
      <w:jc w:val="right"/>
    </w:pPr>
    <w:fldSimple w:instr=" TITLE  \* MERGEFORMAT ">
      <w:r w:rsidR="00943E24">
        <w:t>ECE/TRANS/WP.29/GRSG/93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0A8E346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0A26C86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49164C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4"/>
  </w:num>
  <w:num w:numId="18">
    <w:abstractNumId w:val="12"/>
  </w:num>
  <w:num w:numId="19">
    <w:abstractNumId w:val="10"/>
  </w:num>
  <w:num w:numId="20">
    <w:abstractNumId w:val="15"/>
  </w:num>
  <w:num w:numId="21">
    <w:abstractNumId w:val="16"/>
  </w:num>
  <w:num w:numId="22">
    <w:abstractNumId w:val="13"/>
  </w:num>
  <w:num w:numId="23">
    <w:abstractNumId w:val="11"/>
  </w:num>
  <w:num w:numId="24">
    <w:abstractNumId w:val="16"/>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82"/>
    <w:rsid w:val="00015174"/>
    <w:rsid w:val="00017F94"/>
    <w:rsid w:val="00023842"/>
    <w:rsid w:val="000334F9"/>
    <w:rsid w:val="00045FEB"/>
    <w:rsid w:val="0007796D"/>
    <w:rsid w:val="000B7790"/>
    <w:rsid w:val="00101A87"/>
    <w:rsid w:val="00111F2F"/>
    <w:rsid w:val="0014365E"/>
    <w:rsid w:val="00143C66"/>
    <w:rsid w:val="00176178"/>
    <w:rsid w:val="001F525A"/>
    <w:rsid w:val="00223272"/>
    <w:rsid w:val="0024779E"/>
    <w:rsid w:val="00257168"/>
    <w:rsid w:val="00264EA4"/>
    <w:rsid w:val="002744B8"/>
    <w:rsid w:val="002832AC"/>
    <w:rsid w:val="002D00C3"/>
    <w:rsid w:val="002D7C93"/>
    <w:rsid w:val="00305801"/>
    <w:rsid w:val="00320DE2"/>
    <w:rsid w:val="00331C43"/>
    <w:rsid w:val="003358FE"/>
    <w:rsid w:val="00342E47"/>
    <w:rsid w:val="003916DE"/>
    <w:rsid w:val="003D31FD"/>
    <w:rsid w:val="003F2CC3"/>
    <w:rsid w:val="00421996"/>
    <w:rsid w:val="00441C3B"/>
    <w:rsid w:val="00446FE5"/>
    <w:rsid w:val="00452396"/>
    <w:rsid w:val="004837D8"/>
    <w:rsid w:val="004E2EED"/>
    <w:rsid w:val="004E468C"/>
    <w:rsid w:val="005505B7"/>
    <w:rsid w:val="005732B6"/>
    <w:rsid w:val="00573BE5"/>
    <w:rsid w:val="00586ED3"/>
    <w:rsid w:val="00596AA9"/>
    <w:rsid w:val="00607375"/>
    <w:rsid w:val="00691034"/>
    <w:rsid w:val="006A7A27"/>
    <w:rsid w:val="006B73A2"/>
    <w:rsid w:val="00700046"/>
    <w:rsid w:val="0071601D"/>
    <w:rsid w:val="007A62E6"/>
    <w:rsid w:val="007B6724"/>
    <w:rsid w:val="007F0B2E"/>
    <w:rsid w:val="007F20FA"/>
    <w:rsid w:val="0080684C"/>
    <w:rsid w:val="00821B59"/>
    <w:rsid w:val="00871C75"/>
    <w:rsid w:val="008776DC"/>
    <w:rsid w:val="00943E24"/>
    <w:rsid w:val="009446C0"/>
    <w:rsid w:val="0094504B"/>
    <w:rsid w:val="00947C82"/>
    <w:rsid w:val="00960524"/>
    <w:rsid w:val="009705C8"/>
    <w:rsid w:val="00992B59"/>
    <w:rsid w:val="009C1CF4"/>
    <w:rsid w:val="009F6B74"/>
    <w:rsid w:val="00A3029F"/>
    <w:rsid w:val="00A30353"/>
    <w:rsid w:val="00A624AD"/>
    <w:rsid w:val="00A65F87"/>
    <w:rsid w:val="00AC3823"/>
    <w:rsid w:val="00AE323C"/>
    <w:rsid w:val="00AF0CB5"/>
    <w:rsid w:val="00B00181"/>
    <w:rsid w:val="00B00B0D"/>
    <w:rsid w:val="00B057B0"/>
    <w:rsid w:val="00B45F2E"/>
    <w:rsid w:val="00B53769"/>
    <w:rsid w:val="00B62BC3"/>
    <w:rsid w:val="00B765F7"/>
    <w:rsid w:val="00B82A37"/>
    <w:rsid w:val="00B8329D"/>
    <w:rsid w:val="00BA0CA9"/>
    <w:rsid w:val="00BA7ED5"/>
    <w:rsid w:val="00C02897"/>
    <w:rsid w:val="00C41446"/>
    <w:rsid w:val="00C97039"/>
    <w:rsid w:val="00CC6366"/>
    <w:rsid w:val="00CE6634"/>
    <w:rsid w:val="00D14960"/>
    <w:rsid w:val="00D3439C"/>
    <w:rsid w:val="00DA1D2B"/>
    <w:rsid w:val="00DB1831"/>
    <w:rsid w:val="00DD3BFD"/>
    <w:rsid w:val="00DF6678"/>
    <w:rsid w:val="00E00B31"/>
    <w:rsid w:val="00E0299A"/>
    <w:rsid w:val="00E85C74"/>
    <w:rsid w:val="00EA6547"/>
    <w:rsid w:val="00EF2E22"/>
    <w:rsid w:val="00F35BAF"/>
    <w:rsid w:val="00F660DF"/>
    <w:rsid w:val="00F73467"/>
    <w:rsid w:val="00F77D91"/>
    <w:rsid w:val="00F94664"/>
    <w:rsid w:val="00F9573C"/>
    <w:rsid w:val="00F95C08"/>
    <w:rsid w:val="00F97E3E"/>
    <w:rsid w:val="00FB15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E7D57"/>
  <w15:docId w15:val="{C286D866-8577-4A68-A825-DB6FFEB2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663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E6634"/>
    <w:pPr>
      <w:keepNext/>
      <w:keepLines/>
      <w:spacing w:after="0" w:line="240" w:lineRule="auto"/>
      <w:ind w:right="0"/>
      <w:jc w:val="left"/>
      <w:outlineLvl w:val="0"/>
    </w:pPr>
  </w:style>
  <w:style w:type="paragraph" w:styleId="Titre2">
    <w:name w:val="heading 2"/>
    <w:basedOn w:val="Normal"/>
    <w:next w:val="Normal"/>
    <w:link w:val="Titre2Car"/>
    <w:qFormat/>
    <w:rsid w:val="00CE6634"/>
    <w:pPr>
      <w:outlineLvl w:val="1"/>
    </w:pPr>
  </w:style>
  <w:style w:type="paragraph" w:styleId="Titre3">
    <w:name w:val="heading 3"/>
    <w:basedOn w:val="Normal"/>
    <w:next w:val="Normal"/>
    <w:link w:val="Titre3Car"/>
    <w:qFormat/>
    <w:rsid w:val="00CE6634"/>
    <w:pPr>
      <w:outlineLvl w:val="2"/>
    </w:pPr>
  </w:style>
  <w:style w:type="paragraph" w:styleId="Titre4">
    <w:name w:val="heading 4"/>
    <w:basedOn w:val="Normal"/>
    <w:next w:val="Normal"/>
    <w:link w:val="Titre4Car"/>
    <w:qFormat/>
    <w:rsid w:val="00CE6634"/>
    <w:pPr>
      <w:outlineLvl w:val="3"/>
    </w:pPr>
  </w:style>
  <w:style w:type="paragraph" w:styleId="Titre5">
    <w:name w:val="heading 5"/>
    <w:basedOn w:val="Normal"/>
    <w:next w:val="Normal"/>
    <w:link w:val="Titre5Car"/>
    <w:qFormat/>
    <w:rsid w:val="00CE6634"/>
    <w:pPr>
      <w:outlineLvl w:val="4"/>
    </w:pPr>
  </w:style>
  <w:style w:type="paragraph" w:styleId="Titre6">
    <w:name w:val="heading 6"/>
    <w:basedOn w:val="Normal"/>
    <w:next w:val="Normal"/>
    <w:link w:val="Titre6Car"/>
    <w:qFormat/>
    <w:rsid w:val="00CE6634"/>
    <w:pPr>
      <w:outlineLvl w:val="5"/>
    </w:pPr>
  </w:style>
  <w:style w:type="paragraph" w:styleId="Titre7">
    <w:name w:val="heading 7"/>
    <w:basedOn w:val="Normal"/>
    <w:next w:val="Normal"/>
    <w:link w:val="Titre7Car"/>
    <w:qFormat/>
    <w:rsid w:val="00CE6634"/>
    <w:pPr>
      <w:outlineLvl w:val="6"/>
    </w:pPr>
  </w:style>
  <w:style w:type="paragraph" w:styleId="Titre8">
    <w:name w:val="heading 8"/>
    <w:basedOn w:val="Normal"/>
    <w:next w:val="Normal"/>
    <w:link w:val="Titre8Car"/>
    <w:qFormat/>
    <w:rsid w:val="00CE6634"/>
    <w:pPr>
      <w:outlineLvl w:val="7"/>
    </w:pPr>
  </w:style>
  <w:style w:type="paragraph" w:styleId="Titre9">
    <w:name w:val="heading 9"/>
    <w:basedOn w:val="Normal"/>
    <w:next w:val="Normal"/>
    <w:link w:val="Titre9Car"/>
    <w:qFormat/>
    <w:rsid w:val="00CE66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E663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E663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E6634"/>
    <w:pPr>
      <w:spacing w:line="240" w:lineRule="auto"/>
    </w:pPr>
    <w:rPr>
      <w:sz w:val="16"/>
    </w:rPr>
  </w:style>
  <w:style w:type="character" w:customStyle="1" w:styleId="PieddepageCar">
    <w:name w:val="Pied de page Car"/>
    <w:aliases w:val="3_G Car"/>
    <w:basedOn w:val="Policepardfaut"/>
    <w:link w:val="Pieddepage"/>
    <w:rsid w:val="00CE663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E663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E663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E663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E66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E66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E663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E6634"/>
    <w:pPr>
      <w:spacing w:after="120"/>
      <w:ind w:left="1134" w:right="1134"/>
      <w:jc w:val="both"/>
    </w:pPr>
  </w:style>
  <w:style w:type="paragraph" w:customStyle="1" w:styleId="SLG">
    <w:name w:val="__S_L_G"/>
    <w:basedOn w:val="Normal"/>
    <w:next w:val="Normal"/>
    <w:rsid w:val="00CE6634"/>
    <w:pPr>
      <w:keepNext/>
      <w:keepLines/>
      <w:spacing w:before="240" w:after="240" w:line="580" w:lineRule="exact"/>
      <w:ind w:left="1134" w:right="1134"/>
    </w:pPr>
    <w:rPr>
      <w:b/>
      <w:sz w:val="56"/>
    </w:rPr>
  </w:style>
  <w:style w:type="paragraph" w:customStyle="1" w:styleId="SMG">
    <w:name w:val="__S_M_G"/>
    <w:basedOn w:val="Normal"/>
    <w:next w:val="Normal"/>
    <w:rsid w:val="00CE6634"/>
    <w:pPr>
      <w:keepNext/>
      <w:keepLines/>
      <w:spacing w:before="240" w:after="240" w:line="420" w:lineRule="exact"/>
      <w:ind w:left="1134" w:right="1134"/>
    </w:pPr>
    <w:rPr>
      <w:b/>
      <w:sz w:val="40"/>
    </w:rPr>
  </w:style>
  <w:style w:type="paragraph" w:customStyle="1" w:styleId="SSG">
    <w:name w:val="__S_S_G"/>
    <w:basedOn w:val="Normal"/>
    <w:next w:val="Normal"/>
    <w:rsid w:val="00CE6634"/>
    <w:pPr>
      <w:keepNext/>
      <w:keepLines/>
      <w:spacing w:before="240" w:after="240" w:line="300" w:lineRule="exact"/>
      <w:ind w:left="1134" w:right="1134"/>
    </w:pPr>
    <w:rPr>
      <w:b/>
      <w:sz w:val="28"/>
    </w:rPr>
  </w:style>
  <w:style w:type="paragraph" w:customStyle="1" w:styleId="XLargeG">
    <w:name w:val="__XLarge_G"/>
    <w:basedOn w:val="Normal"/>
    <w:next w:val="Normal"/>
    <w:rsid w:val="00CE6634"/>
    <w:pPr>
      <w:keepNext/>
      <w:keepLines/>
      <w:spacing w:before="240" w:after="240" w:line="420" w:lineRule="exact"/>
      <w:ind w:left="1134" w:right="1134"/>
    </w:pPr>
    <w:rPr>
      <w:b/>
      <w:sz w:val="40"/>
    </w:rPr>
  </w:style>
  <w:style w:type="paragraph" w:customStyle="1" w:styleId="Bullet1G">
    <w:name w:val="_Bullet 1_G"/>
    <w:basedOn w:val="Normal"/>
    <w:qFormat/>
    <w:rsid w:val="00CE6634"/>
    <w:pPr>
      <w:numPr>
        <w:numId w:val="24"/>
      </w:numPr>
      <w:spacing w:after="120"/>
      <w:ind w:right="1134"/>
      <w:jc w:val="both"/>
    </w:pPr>
  </w:style>
  <w:style w:type="paragraph" w:customStyle="1" w:styleId="Bullet2G">
    <w:name w:val="_Bullet 2_G"/>
    <w:basedOn w:val="Normal"/>
    <w:qFormat/>
    <w:rsid w:val="00CE6634"/>
    <w:pPr>
      <w:numPr>
        <w:numId w:val="25"/>
      </w:numPr>
      <w:spacing w:after="120"/>
      <w:ind w:right="1134"/>
      <w:jc w:val="both"/>
    </w:pPr>
  </w:style>
  <w:style w:type="paragraph" w:customStyle="1" w:styleId="ParNoG">
    <w:name w:val="_ParNo_G"/>
    <w:basedOn w:val="Normal"/>
    <w:qFormat/>
    <w:rsid w:val="00CE6634"/>
    <w:pPr>
      <w:numPr>
        <w:numId w:val="26"/>
      </w:numPr>
      <w:tabs>
        <w:tab w:val="clear" w:pos="1701"/>
      </w:tabs>
      <w:spacing w:after="120"/>
      <w:ind w:right="1134"/>
      <w:jc w:val="both"/>
    </w:pPr>
  </w:style>
  <w:style w:type="character" w:styleId="Appelnotedebasdep">
    <w:name w:val="footnote reference"/>
    <w:aliases w:val="4_G"/>
    <w:basedOn w:val="Policepardfaut"/>
    <w:qFormat/>
    <w:rsid w:val="00CE6634"/>
    <w:rPr>
      <w:rFonts w:ascii="Times New Roman" w:hAnsi="Times New Roman"/>
      <w:sz w:val="18"/>
      <w:vertAlign w:val="superscript"/>
      <w:lang w:val="fr-CH"/>
    </w:rPr>
  </w:style>
  <w:style w:type="character" w:styleId="Appeldenotedefin">
    <w:name w:val="endnote reference"/>
    <w:aliases w:val="1_G"/>
    <w:basedOn w:val="Appelnotedebasdep"/>
    <w:qFormat/>
    <w:rsid w:val="00CE6634"/>
    <w:rPr>
      <w:rFonts w:ascii="Times New Roman" w:hAnsi="Times New Roman"/>
      <w:sz w:val="18"/>
      <w:vertAlign w:val="superscript"/>
      <w:lang w:val="fr-CH"/>
    </w:rPr>
  </w:style>
  <w:style w:type="table" w:styleId="Grilledutableau">
    <w:name w:val="Table Grid"/>
    <w:basedOn w:val="TableauNormal"/>
    <w:rsid w:val="00CE663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6634"/>
    <w:rPr>
      <w:color w:val="0000FF"/>
      <w:u w:val="none"/>
    </w:rPr>
  </w:style>
  <w:style w:type="character" w:styleId="Lienhypertextesuivivisit">
    <w:name w:val="FollowedHyperlink"/>
    <w:basedOn w:val="Policepardfaut"/>
    <w:unhideWhenUsed/>
    <w:rsid w:val="00CE6634"/>
    <w:rPr>
      <w:color w:val="0000FF"/>
      <w:u w:val="none"/>
    </w:rPr>
  </w:style>
  <w:style w:type="paragraph" w:styleId="Notedebasdepage">
    <w:name w:val="footnote text"/>
    <w:aliases w:val="5_G"/>
    <w:basedOn w:val="Normal"/>
    <w:link w:val="NotedebasdepageCar"/>
    <w:qFormat/>
    <w:rsid w:val="00CE663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E663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E6634"/>
  </w:style>
  <w:style w:type="character" w:customStyle="1" w:styleId="NotedefinCar">
    <w:name w:val="Note de fin Car"/>
    <w:aliases w:val="2_G Car"/>
    <w:basedOn w:val="Policepardfaut"/>
    <w:link w:val="Notedefin"/>
    <w:rsid w:val="00CE663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E6634"/>
    <w:rPr>
      <w:rFonts w:ascii="Times New Roman" w:hAnsi="Times New Roman"/>
      <w:b/>
      <w:sz w:val="18"/>
      <w:lang w:val="fr-CH"/>
    </w:rPr>
  </w:style>
  <w:style w:type="character" w:customStyle="1" w:styleId="Titre1Car">
    <w:name w:val="Titre 1 Car"/>
    <w:aliases w:val="Table_G Car"/>
    <w:basedOn w:val="Policepardfaut"/>
    <w:link w:val="Titre1"/>
    <w:rsid w:val="00CE663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CE6634"/>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CE6634"/>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CE6634"/>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CE6634"/>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CE6634"/>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CE6634"/>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CE6634"/>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CE6634"/>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264EA4"/>
    <w:rPr>
      <w:rFonts w:ascii="Times New Roman" w:eastAsiaTheme="minorHAnsi" w:hAnsi="Times New Roman" w:cs="Times New Roman"/>
      <w:sz w:val="20"/>
      <w:szCs w:val="20"/>
      <w:lang w:eastAsia="en-US"/>
    </w:rPr>
  </w:style>
  <w:style w:type="character" w:customStyle="1" w:styleId="HChGChar">
    <w:name w:val="_ H _Ch_G Char"/>
    <w:link w:val="HChG"/>
    <w:rsid w:val="00264EA4"/>
    <w:rPr>
      <w:rFonts w:ascii="Times New Roman" w:eastAsiaTheme="minorHAnsi" w:hAnsi="Times New Roman" w:cs="Times New Roman"/>
      <w:b/>
      <w:sz w:val="28"/>
      <w:szCs w:val="20"/>
      <w:lang w:eastAsia="en-US"/>
    </w:rPr>
  </w:style>
  <w:style w:type="character" w:styleId="Marquedecommentaire">
    <w:name w:val="annotation reference"/>
    <w:rsid w:val="003D31FD"/>
    <w:rPr>
      <w:sz w:val="16"/>
      <w:szCs w:val="16"/>
    </w:rPr>
  </w:style>
  <w:style w:type="paragraph" w:styleId="Commentaire">
    <w:name w:val="annotation text"/>
    <w:basedOn w:val="Normal"/>
    <w:link w:val="CommentaireCar"/>
    <w:rsid w:val="003D31FD"/>
    <w:rPr>
      <w:rFonts w:eastAsia="Calibri"/>
      <w:sz w:val="24"/>
    </w:rPr>
  </w:style>
  <w:style w:type="character" w:customStyle="1" w:styleId="CommentaireCar">
    <w:name w:val="Commentaire Car"/>
    <w:basedOn w:val="Policepardfaut"/>
    <w:link w:val="Commentaire"/>
    <w:rsid w:val="003D31F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3D31FD"/>
    <w:rPr>
      <w:b/>
      <w:bCs/>
    </w:rPr>
  </w:style>
  <w:style w:type="character" w:customStyle="1" w:styleId="ObjetducommentaireCar">
    <w:name w:val="Objet du commentaire Car"/>
    <w:basedOn w:val="CommentaireCar"/>
    <w:link w:val="Objetducommentaire"/>
    <w:rsid w:val="003D31FD"/>
    <w:rPr>
      <w:rFonts w:ascii="Times New Roman" w:eastAsia="Calibri" w:hAnsi="Times New Roman" w:cs="Times New Roman"/>
      <w:b/>
      <w:bCs/>
      <w:sz w:val="24"/>
      <w:szCs w:val="20"/>
      <w:lang w:eastAsia="en-US"/>
    </w:rPr>
  </w:style>
  <w:style w:type="paragraph" w:styleId="Textebrut">
    <w:name w:val="Plain Text"/>
    <w:basedOn w:val="Normal"/>
    <w:link w:val="TextebrutCar"/>
    <w:semiHidden/>
    <w:rsid w:val="003D31FD"/>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3D31FD"/>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3D31FD"/>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3D31FD"/>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3D31FD"/>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3D31FD"/>
    <w:rPr>
      <w:rFonts w:ascii="Times New Roman" w:hAnsi="Times New Roman" w:cs="Times New Roman"/>
      <w:sz w:val="20"/>
      <w:szCs w:val="20"/>
      <w:lang w:val="en-GB" w:eastAsia="en-US"/>
    </w:rPr>
  </w:style>
  <w:style w:type="paragraph" w:styleId="Normalcentr">
    <w:name w:val="Block Text"/>
    <w:basedOn w:val="Normal"/>
    <w:semiHidden/>
    <w:rsid w:val="003D31FD"/>
    <w:pPr>
      <w:kinsoku/>
      <w:overflowPunct/>
      <w:autoSpaceDE/>
      <w:autoSpaceDN/>
      <w:adjustRightInd/>
      <w:snapToGrid/>
      <w:ind w:left="1440" w:right="1440"/>
    </w:pPr>
    <w:rPr>
      <w:rFonts w:eastAsia="Times New Roman"/>
      <w:lang w:val="en-GB"/>
    </w:rPr>
  </w:style>
  <w:style w:type="character" w:styleId="Numrodeligne">
    <w:name w:val="line number"/>
    <w:semiHidden/>
    <w:rsid w:val="003D31FD"/>
    <w:rPr>
      <w:sz w:val="14"/>
    </w:rPr>
  </w:style>
  <w:style w:type="numbering" w:styleId="111111">
    <w:name w:val="Outline List 2"/>
    <w:basedOn w:val="Aucuneliste"/>
    <w:semiHidden/>
    <w:rsid w:val="003D31FD"/>
    <w:pPr>
      <w:numPr>
        <w:numId w:val="17"/>
      </w:numPr>
    </w:pPr>
  </w:style>
  <w:style w:type="numbering" w:styleId="1ai">
    <w:name w:val="Outline List 1"/>
    <w:basedOn w:val="Aucuneliste"/>
    <w:semiHidden/>
    <w:rsid w:val="003D31FD"/>
    <w:pPr>
      <w:numPr>
        <w:numId w:val="18"/>
      </w:numPr>
    </w:pPr>
  </w:style>
  <w:style w:type="numbering" w:styleId="ArticleSection">
    <w:name w:val="Outline List 3"/>
    <w:basedOn w:val="Aucuneliste"/>
    <w:semiHidden/>
    <w:rsid w:val="003D31FD"/>
    <w:pPr>
      <w:numPr>
        <w:numId w:val="19"/>
      </w:numPr>
    </w:pPr>
  </w:style>
  <w:style w:type="paragraph" w:styleId="Corpsdetexte2">
    <w:name w:val="Body Text 2"/>
    <w:basedOn w:val="Normal"/>
    <w:link w:val="Corpsdetexte2Car"/>
    <w:semiHidden/>
    <w:rsid w:val="003D31FD"/>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3D31FD"/>
    <w:rPr>
      <w:rFonts w:ascii="Times New Roman" w:hAnsi="Times New Roman" w:cs="Times New Roman"/>
      <w:sz w:val="20"/>
      <w:szCs w:val="20"/>
      <w:lang w:val="en-GB" w:eastAsia="en-US"/>
    </w:rPr>
  </w:style>
  <w:style w:type="paragraph" w:styleId="Corpsdetexte3">
    <w:name w:val="Body Text 3"/>
    <w:basedOn w:val="Normal"/>
    <w:link w:val="Corpsdetexte3Car"/>
    <w:semiHidden/>
    <w:rsid w:val="003D31FD"/>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3D31FD"/>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3D31FD"/>
    <w:pPr>
      <w:spacing w:after="120"/>
      <w:ind w:firstLine="210"/>
    </w:pPr>
  </w:style>
  <w:style w:type="character" w:customStyle="1" w:styleId="Retrait1religneCar">
    <w:name w:val="Retrait 1re ligne Car"/>
    <w:basedOn w:val="CorpsdetexteCar"/>
    <w:link w:val="Retrait1religne"/>
    <w:rsid w:val="003D31FD"/>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3D31FD"/>
    <w:pPr>
      <w:ind w:firstLine="210"/>
    </w:pPr>
  </w:style>
  <w:style w:type="character" w:customStyle="1" w:styleId="Retraitcorpset1religCar">
    <w:name w:val="Retrait corps et 1re lig. Car"/>
    <w:basedOn w:val="RetraitcorpsdetexteCar"/>
    <w:link w:val="Retraitcorpset1relig"/>
    <w:semiHidden/>
    <w:rsid w:val="003D31FD"/>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3D31FD"/>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3D31FD"/>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3D31FD"/>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3D31FD"/>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3D31FD"/>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3D31FD"/>
    <w:rPr>
      <w:rFonts w:ascii="Times New Roman" w:hAnsi="Times New Roman" w:cs="Times New Roman"/>
      <w:sz w:val="20"/>
      <w:szCs w:val="20"/>
      <w:lang w:val="en-GB" w:eastAsia="en-US"/>
    </w:rPr>
  </w:style>
  <w:style w:type="paragraph" w:styleId="Date">
    <w:name w:val="Date"/>
    <w:basedOn w:val="Normal"/>
    <w:next w:val="Normal"/>
    <w:link w:val="DateCar"/>
    <w:rsid w:val="003D31FD"/>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3D31FD"/>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3D31FD"/>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3D31FD"/>
    <w:rPr>
      <w:rFonts w:ascii="Times New Roman" w:hAnsi="Times New Roman" w:cs="Times New Roman"/>
      <w:sz w:val="20"/>
      <w:szCs w:val="20"/>
      <w:lang w:val="en-GB" w:eastAsia="en-US"/>
    </w:rPr>
  </w:style>
  <w:style w:type="character" w:styleId="Accentuation">
    <w:name w:val="Emphasis"/>
    <w:qFormat/>
    <w:rsid w:val="003D31FD"/>
    <w:rPr>
      <w:i/>
      <w:iCs/>
    </w:rPr>
  </w:style>
  <w:style w:type="paragraph" w:styleId="Adresseexpditeur">
    <w:name w:val="envelope return"/>
    <w:basedOn w:val="Normal"/>
    <w:semiHidden/>
    <w:rsid w:val="003D31FD"/>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3D31FD"/>
  </w:style>
  <w:style w:type="paragraph" w:styleId="AdresseHTML">
    <w:name w:val="HTML Address"/>
    <w:basedOn w:val="Normal"/>
    <w:link w:val="AdresseHTMLCar"/>
    <w:semiHidden/>
    <w:rsid w:val="003D31FD"/>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3D31FD"/>
    <w:rPr>
      <w:rFonts w:ascii="Times New Roman" w:hAnsi="Times New Roman" w:cs="Times New Roman"/>
      <w:i/>
      <w:iCs/>
      <w:sz w:val="20"/>
      <w:szCs w:val="20"/>
      <w:lang w:val="en-GB" w:eastAsia="en-US"/>
    </w:rPr>
  </w:style>
  <w:style w:type="character" w:styleId="CitationHTML">
    <w:name w:val="HTML Cite"/>
    <w:semiHidden/>
    <w:rsid w:val="003D31FD"/>
    <w:rPr>
      <w:i/>
      <w:iCs/>
    </w:rPr>
  </w:style>
  <w:style w:type="character" w:styleId="CodeHTML">
    <w:name w:val="HTML Code"/>
    <w:semiHidden/>
    <w:rsid w:val="003D31FD"/>
    <w:rPr>
      <w:rFonts w:ascii="Courier New" w:hAnsi="Courier New" w:cs="Courier New"/>
      <w:sz w:val="20"/>
      <w:szCs w:val="20"/>
    </w:rPr>
  </w:style>
  <w:style w:type="character" w:styleId="DfinitionHTML">
    <w:name w:val="HTML Definition"/>
    <w:semiHidden/>
    <w:rsid w:val="003D31FD"/>
    <w:rPr>
      <w:i/>
      <w:iCs/>
    </w:rPr>
  </w:style>
  <w:style w:type="character" w:styleId="ClavierHTML">
    <w:name w:val="HTML Keyboard"/>
    <w:semiHidden/>
    <w:rsid w:val="003D31FD"/>
    <w:rPr>
      <w:rFonts w:ascii="Courier New" w:hAnsi="Courier New" w:cs="Courier New"/>
      <w:sz w:val="20"/>
      <w:szCs w:val="20"/>
    </w:rPr>
  </w:style>
  <w:style w:type="paragraph" w:styleId="PrformatHTML">
    <w:name w:val="HTML Preformatted"/>
    <w:basedOn w:val="Normal"/>
    <w:link w:val="PrformatHTMLCar"/>
    <w:semiHidden/>
    <w:rsid w:val="003D31FD"/>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3D31FD"/>
    <w:rPr>
      <w:rFonts w:ascii="Courier New" w:hAnsi="Courier New" w:cs="Courier New"/>
      <w:sz w:val="20"/>
      <w:szCs w:val="20"/>
      <w:lang w:val="en-GB" w:eastAsia="en-US"/>
    </w:rPr>
  </w:style>
  <w:style w:type="character" w:styleId="ExempleHTML">
    <w:name w:val="HTML Sample"/>
    <w:semiHidden/>
    <w:rsid w:val="003D31FD"/>
    <w:rPr>
      <w:rFonts w:ascii="Courier New" w:hAnsi="Courier New" w:cs="Courier New"/>
    </w:rPr>
  </w:style>
  <w:style w:type="character" w:styleId="MachinecrireHTML">
    <w:name w:val="HTML Typewriter"/>
    <w:semiHidden/>
    <w:rsid w:val="003D31FD"/>
    <w:rPr>
      <w:rFonts w:ascii="Courier New" w:hAnsi="Courier New" w:cs="Courier New"/>
      <w:sz w:val="20"/>
      <w:szCs w:val="20"/>
    </w:rPr>
  </w:style>
  <w:style w:type="character" w:styleId="VariableHTML">
    <w:name w:val="HTML Variable"/>
    <w:semiHidden/>
    <w:rsid w:val="003D31FD"/>
    <w:rPr>
      <w:i/>
      <w:iCs/>
    </w:rPr>
  </w:style>
  <w:style w:type="paragraph" w:styleId="Liste">
    <w:name w:val="List"/>
    <w:basedOn w:val="Normal"/>
    <w:semiHidden/>
    <w:rsid w:val="003D31FD"/>
    <w:pPr>
      <w:kinsoku/>
      <w:overflowPunct/>
      <w:autoSpaceDE/>
      <w:autoSpaceDN/>
      <w:adjustRightInd/>
      <w:snapToGrid/>
      <w:ind w:left="283" w:hanging="283"/>
    </w:pPr>
    <w:rPr>
      <w:rFonts w:eastAsia="Times New Roman"/>
      <w:lang w:val="en-GB"/>
    </w:rPr>
  </w:style>
  <w:style w:type="paragraph" w:styleId="Liste2">
    <w:name w:val="List 2"/>
    <w:basedOn w:val="Normal"/>
    <w:semiHidden/>
    <w:rsid w:val="003D31FD"/>
    <w:pPr>
      <w:kinsoku/>
      <w:overflowPunct/>
      <w:autoSpaceDE/>
      <w:autoSpaceDN/>
      <w:adjustRightInd/>
      <w:snapToGrid/>
      <w:ind w:left="566" w:hanging="283"/>
    </w:pPr>
    <w:rPr>
      <w:rFonts w:eastAsia="Times New Roman"/>
      <w:lang w:val="en-GB"/>
    </w:rPr>
  </w:style>
  <w:style w:type="paragraph" w:styleId="Liste3">
    <w:name w:val="List 3"/>
    <w:basedOn w:val="Normal"/>
    <w:semiHidden/>
    <w:rsid w:val="003D31FD"/>
    <w:pPr>
      <w:kinsoku/>
      <w:overflowPunct/>
      <w:autoSpaceDE/>
      <w:autoSpaceDN/>
      <w:adjustRightInd/>
      <w:snapToGrid/>
      <w:ind w:left="849" w:hanging="283"/>
    </w:pPr>
    <w:rPr>
      <w:rFonts w:eastAsia="Times New Roman"/>
      <w:lang w:val="en-GB"/>
    </w:rPr>
  </w:style>
  <w:style w:type="paragraph" w:styleId="Liste4">
    <w:name w:val="List 4"/>
    <w:basedOn w:val="Normal"/>
    <w:rsid w:val="003D31FD"/>
    <w:pPr>
      <w:kinsoku/>
      <w:overflowPunct/>
      <w:autoSpaceDE/>
      <w:autoSpaceDN/>
      <w:adjustRightInd/>
      <w:snapToGrid/>
      <w:ind w:left="1132" w:hanging="283"/>
    </w:pPr>
    <w:rPr>
      <w:rFonts w:eastAsia="Times New Roman"/>
      <w:lang w:val="en-GB"/>
    </w:rPr>
  </w:style>
  <w:style w:type="paragraph" w:styleId="Liste5">
    <w:name w:val="List 5"/>
    <w:basedOn w:val="Normal"/>
    <w:rsid w:val="003D31FD"/>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3D31FD"/>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3D31FD"/>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3D31FD"/>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3D31FD"/>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3D31FD"/>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3D31FD"/>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3D31FD"/>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3D31FD"/>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3D31FD"/>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3D31FD"/>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3D31FD"/>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3D31FD"/>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3D31FD"/>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3D31FD"/>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3D31FD"/>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3D31F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3D31FD"/>
    <w:rPr>
      <w:rFonts w:ascii="Arial" w:hAnsi="Arial" w:cs="Arial"/>
      <w:sz w:val="24"/>
      <w:szCs w:val="24"/>
      <w:shd w:val="pct20" w:color="auto" w:fill="auto"/>
      <w:lang w:val="en-GB" w:eastAsia="en-US"/>
    </w:rPr>
  </w:style>
  <w:style w:type="paragraph" w:styleId="NormalWeb">
    <w:name w:val="Normal (Web)"/>
    <w:basedOn w:val="Normal"/>
    <w:semiHidden/>
    <w:rsid w:val="003D31FD"/>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3D31FD"/>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3D31FD"/>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3D31FD"/>
    <w:rPr>
      <w:rFonts w:ascii="Times New Roman" w:hAnsi="Times New Roman" w:cs="Times New Roman"/>
      <w:sz w:val="20"/>
      <w:szCs w:val="20"/>
      <w:lang w:val="en-GB" w:eastAsia="en-US"/>
    </w:rPr>
  </w:style>
  <w:style w:type="paragraph" w:styleId="Salutations">
    <w:name w:val="Salutation"/>
    <w:basedOn w:val="Normal"/>
    <w:next w:val="Normal"/>
    <w:link w:val="SalutationsCar"/>
    <w:rsid w:val="003D31FD"/>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3D31FD"/>
    <w:rPr>
      <w:rFonts w:ascii="Times New Roman" w:hAnsi="Times New Roman" w:cs="Times New Roman"/>
      <w:sz w:val="20"/>
      <w:szCs w:val="20"/>
      <w:lang w:val="en-GB" w:eastAsia="en-US"/>
    </w:rPr>
  </w:style>
  <w:style w:type="paragraph" w:styleId="Signature">
    <w:name w:val="Signature"/>
    <w:basedOn w:val="Normal"/>
    <w:link w:val="SignatureCar"/>
    <w:semiHidden/>
    <w:rsid w:val="003D31FD"/>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3D31FD"/>
    <w:rPr>
      <w:rFonts w:ascii="Times New Roman" w:hAnsi="Times New Roman" w:cs="Times New Roman"/>
      <w:sz w:val="20"/>
      <w:szCs w:val="20"/>
      <w:lang w:val="en-GB" w:eastAsia="en-US"/>
    </w:rPr>
  </w:style>
  <w:style w:type="character" w:styleId="lev">
    <w:name w:val="Strong"/>
    <w:uiPriority w:val="22"/>
    <w:qFormat/>
    <w:rsid w:val="003D31FD"/>
    <w:rPr>
      <w:b/>
      <w:bCs/>
    </w:rPr>
  </w:style>
  <w:style w:type="paragraph" w:styleId="Sous-titre">
    <w:name w:val="Subtitle"/>
    <w:basedOn w:val="Normal"/>
    <w:link w:val="Sous-titreCar"/>
    <w:qFormat/>
    <w:rsid w:val="003D31FD"/>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3D31FD"/>
    <w:rPr>
      <w:rFonts w:ascii="Arial" w:hAnsi="Arial" w:cs="Arial"/>
      <w:sz w:val="24"/>
      <w:szCs w:val="24"/>
      <w:lang w:val="en-GB" w:eastAsia="en-US"/>
    </w:rPr>
  </w:style>
  <w:style w:type="table" w:styleId="Effetsdetableau3D1">
    <w:name w:val="Table 3D effects 1"/>
    <w:basedOn w:val="TableauNormal"/>
    <w:semiHidden/>
    <w:rsid w:val="003D31F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D31F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D31F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D31F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D31F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D31F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D31F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D31F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D31F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D31F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D31F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3D31FD"/>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3D31FD"/>
    <w:rPr>
      <w:rFonts w:ascii="Arial" w:hAnsi="Arial" w:cs="Arial"/>
      <w:b/>
      <w:bCs/>
      <w:kern w:val="28"/>
      <w:sz w:val="32"/>
      <w:szCs w:val="32"/>
      <w:lang w:val="en-GB" w:eastAsia="en-US"/>
    </w:rPr>
  </w:style>
  <w:style w:type="paragraph" w:styleId="Adressedestinataire">
    <w:name w:val="envelope address"/>
    <w:basedOn w:val="Normal"/>
    <w:semiHidden/>
    <w:rsid w:val="003D31FD"/>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Document1">
    <w:name w:val="Document 1"/>
    <w:rsid w:val="003D31FD"/>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paragraph" w:customStyle="1" w:styleId="NormalCentered">
    <w:name w:val="Normal Centered"/>
    <w:basedOn w:val="Normal"/>
    <w:rsid w:val="003D31FD"/>
    <w:pPr>
      <w:suppressAutoHyphens w:val="0"/>
      <w:kinsoku/>
      <w:overflowPunct/>
      <w:autoSpaceDE/>
      <w:autoSpaceDN/>
      <w:adjustRightInd/>
      <w:snapToGrid/>
      <w:spacing w:before="120" w:after="120" w:line="240" w:lineRule="auto"/>
      <w:jc w:val="center"/>
    </w:pPr>
    <w:rPr>
      <w:rFonts w:eastAsia="Times New Roman"/>
      <w:sz w:val="24"/>
      <w:lang w:val="en-GB" w:eastAsia="ja-JP"/>
    </w:rPr>
  </w:style>
  <w:style w:type="character" w:customStyle="1" w:styleId="H1GChar">
    <w:name w:val="_ H_1_G Char"/>
    <w:link w:val="H1G"/>
    <w:rsid w:val="003D31FD"/>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3D31FD"/>
    <w:pPr>
      <w:kinsoku/>
      <w:overflowPunct/>
      <w:autoSpaceDE/>
      <w:autoSpaceDN/>
      <w:adjustRightInd/>
      <w:snapToGrid/>
      <w:ind w:left="2268" w:hanging="1134"/>
    </w:pPr>
    <w:rPr>
      <w:rFonts w:eastAsia="Times New Roman"/>
      <w:lang w:val="en-GB"/>
    </w:rPr>
  </w:style>
  <w:style w:type="paragraph" w:customStyle="1" w:styleId="TxBrc4">
    <w:name w:val="TxBr_c4"/>
    <w:basedOn w:val="Normal"/>
    <w:rsid w:val="003D31FD"/>
    <w:pPr>
      <w:suppressAutoHyphens w:val="0"/>
      <w:kinsoku/>
      <w:overflowPunct/>
      <w:snapToGrid/>
      <w:jc w:val="center"/>
    </w:pPr>
    <w:rPr>
      <w:rFonts w:eastAsia="Times New Roman"/>
      <w:szCs w:val="24"/>
      <w:lang w:val="en-GB" w:eastAsia="de-DE"/>
    </w:rPr>
  </w:style>
  <w:style w:type="character" w:customStyle="1" w:styleId="longtext">
    <w:name w:val="long_text"/>
    <w:basedOn w:val="Policepardfaut"/>
    <w:rsid w:val="003D31FD"/>
  </w:style>
  <w:style w:type="character" w:customStyle="1" w:styleId="5GCharChar">
    <w:name w:val="5_G Char Char"/>
    <w:semiHidden/>
    <w:locked/>
    <w:rsid w:val="003D31FD"/>
    <w:rPr>
      <w:sz w:val="24"/>
      <w:lang w:val="en-GB" w:eastAsia="en-US" w:bidi="ar-SA"/>
    </w:rPr>
  </w:style>
  <w:style w:type="character" w:customStyle="1" w:styleId="WW-">
    <w:name w:val="WW-Основной шрифт абзаца"/>
    <w:rsid w:val="003D31FD"/>
  </w:style>
  <w:style w:type="paragraph" w:customStyle="1" w:styleId="Para0">
    <w:name w:val="Para"/>
    <w:basedOn w:val="Normal"/>
    <w:qFormat/>
    <w:rsid w:val="003D31FD"/>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 w:type="paragraph" w:customStyle="1" w:styleId="Default">
    <w:name w:val="Default"/>
    <w:rsid w:val="003D31FD"/>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SingleTxtGChar1">
    <w:name w:val="_ Single Txt_G Char1"/>
    <w:uiPriority w:val="99"/>
    <w:locked/>
    <w:rsid w:val="003D31FD"/>
    <w:rPr>
      <w:lang w:val="en-GB"/>
    </w:rPr>
  </w:style>
  <w:style w:type="character" w:customStyle="1" w:styleId="paraChar">
    <w:name w:val="para Char"/>
    <w:link w:val="para"/>
    <w:rsid w:val="003D31FD"/>
    <w:rPr>
      <w:rFonts w:ascii="Times New Roman" w:hAnsi="Times New Roman" w:cs="Times New Roman"/>
      <w:sz w:val="20"/>
      <w:szCs w:val="20"/>
      <w:lang w:val="en-GB" w:eastAsia="en-US"/>
    </w:rPr>
  </w:style>
  <w:style w:type="paragraph" w:styleId="Paragraphedeliste">
    <w:name w:val="List Paragraph"/>
    <w:basedOn w:val="Normal"/>
    <w:uiPriority w:val="34"/>
    <w:qFormat/>
    <w:rsid w:val="003D31FD"/>
    <w:pPr>
      <w:kinsoku/>
      <w:overflowPunct/>
      <w:autoSpaceDE/>
      <w:autoSpaceDN/>
      <w:adjustRightInd/>
      <w:snapToGrid/>
      <w:ind w:left="720"/>
      <w:contextualSpacing/>
    </w:pPr>
    <w:rPr>
      <w:rFonts w:eastAsia="Times New Roman"/>
    </w:rPr>
  </w:style>
  <w:style w:type="paragraph" w:styleId="Sansinterligne">
    <w:name w:val="No Spacing"/>
    <w:uiPriority w:val="1"/>
    <w:qFormat/>
    <w:rsid w:val="003D31FD"/>
    <w:pPr>
      <w:spacing w:after="0" w:line="240" w:lineRule="auto"/>
    </w:pPr>
    <w:rPr>
      <w:rFonts w:ascii="Calibri" w:eastAsia="Calibri" w:hAnsi="Calibri" w:cs="Times New Roman"/>
      <w:lang w:val="de-DE" w:eastAsia="en-US"/>
    </w:rPr>
  </w:style>
  <w:style w:type="character" w:customStyle="1" w:styleId="s3">
    <w:name w:val="s3"/>
    <w:rsid w:val="003D31FD"/>
  </w:style>
  <w:style w:type="character" w:customStyle="1" w:styleId="algo-summary">
    <w:name w:val="algo-summary"/>
    <w:rsid w:val="003D31FD"/>
  </w:style>
  <w:style w:type="character" w:customStyle="1" w:styleId="highlight">
    <w:name w:val="highlight"/>
    <w:basedOn w:val="Policepardfaut"/>
    <w:rsid w:val="003D31FD"/>
  </w:style>
  <w:style w:type="character" w:customStyle="1" w:styleId="SingleTxtGR">
    <w:name w:val="_ Single Txt_GR Знак"/>
    <w:link w:val="SingleTxtGR0"/>
    <w:locked/>
    <w:rsid w:val="003D31FD"/>
    <w:rPr>
      <w:spacing w:val="4"/>
      <w:w w:val="103"/>
      <w:kern w:val="14"/>
      <w:lang w:val="ru-RU"/>
    </w:rPr>
  </w:style>
  <w:style w:type="paragraph" w:customStyle="1" w:styleId="SingleTxtGR0">
    <w:name w:val="_ Single Txt_GR"/>
    <w:basedOn w:val="Normal"/>
    <w:link w:val="SingleTxtGR"/>
    <w:rsid w:val="003D31F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asciiTheme="minorHAnsi" w:eastAsia="Times New Roman" w:hAnsiTheme="minorHAnsi" w:cstheme="minorBidi"/>
      <w:spacing w:val="4"/>
      <w:w w:val="103"/>
      <w:kern w:val="14"/>
      <w:sz w:val="22"/>
      <w:szCs w:val="22"/>
      <w:lang w:val="ru-RU" w:eastAsia="zh-CN"/>
    </w:rPr>
  </w:style>
  <w:style w:type="paragraph" w:customStyle="1" w:styleId="En-tte1">
    <w:name w:val="En-tête1"/>
    <w:basedOn w:val="Normal"/>
    <w:rsid w:val="003D31FD"/>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 w:type="paragraph" w:styleId="Rvision">
    <w:name w:val="Revision"/>
    <w:hidden/>
    <w:uiPriority w:val="99"/>
    <w:semiHidden/>
    <w:rsid w:val="003D31FD"/>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26</Pages>
  <Words>10003</Words>
  <Characters>55021</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ECE/TRANS/WP.29/GRSG/93</vt:lpstr>
    </vt:vector>
  </TitlesOfParts>
  <Company>DCM</Company>
  <LinksUpToDate>false</LinksUpToDate>
  <CharactersWithSpaces>64895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ECE/TRANS/WP.29/GRSG/93</dc:title>
  <dc:subject/>
  <dc:creator>Fabienne CRELIER</dc:creator>
  <cp:keywords/>
  <cp:lastModifiedBy>Fabienne Crelier</cp:lastModifiedBy>
  <cp:revision>3</cp:revision>
  <cp:lastPrinted>2018-11-08T08:14:00Z</cp:lastPrinted>
  <dcterms:created xsi:type="dcterms:W3CDTF">2018-11-08T08:14:00Z</dcterms:created>
  <dcterms:modified xsi:type="dcterms:W3CDTF">2018-11-08T08:16:00Z</dcterms:modified>
</cp:coreProperties>
</file>