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09" w:type="dxa"/>
        <w:tblLook w:val="04A0" w:firstRow="1" w:lastRow="0" w:firstColumn="1" w:lastColumn="0" w:noHBand="0" w:noVBand="1"/>
      </w:tblPr>
      <w:tblGrid>
        <w:gridCol w:w="4962"/>
        <w:gridCol w:w="4960"/>
      </w:tblGrid>
      <w:tr w:rsidR="002949A0" w:rsidRPr="00B61CF8" w:rsidTr="00D36A93">
        <w:tc>
          <w:tcPr>
            <w:tcW w:w="4961" w:type="dxa"/>
            <w:shd w:val="clear" w:color="auto" w:fill="auto"/>
          </w:tcPr>
          <w:p w:rsidR="002949A0" w:rsidRPr="00BB765F" w:rsidRDefault="002949A0" w:rsidP="00D36A93">
            <w:pPr>
              <w:pStyle w:val="En-tte"/>
              <w:rPr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Submitted by the expert from </w:t>
            </w:r>
            <w:r>
              <w:rPr>
                <w:sz w:val="20"/>
                <w:szCs w:val="20"/>
                <w:lang w:val="en-US"/>
              </w:rPr>
              <w:t>the Russian Federation</w:t>
            </w:r>
          </w:p>
          <w:p w:rsidR="002949A0" w:rsidRDefault="002949A0" w:rsidP="00D36A93">
            <w:pPr>
              <w:pStyle w:val="En-tte"/>
              <w:rPr>
                <w:sz w:val="16"/>
                <w:szCs w:val="16"/>
                <w:lang w:val="en-GB"/>
              </w:rPr>
            </w:pPr>
          </w:p>
        </w:tc>
        <w:tc>
          <w:tcPr>
            <w:tcW w:w="4960" w:type="dxa"/>
            <w:shd w:val="clear" w:color="auto" w:fill="auto"/>
          </w:tcPr>
          <w:p w:rsidR="002949A0" w:rsidRPr="002949A0" w:rsidRDefault="002949A0" w:rsidP="00D36A93">
            <w:pPr>
              <w:ind w:left="742"/>
            </w:pPr>
            <w:r>
              <w:rPr>
                <w:sz w:val="20"/>
                <w:szCs w:val="20"/>
                <w:u w:val="single"/>
                <w:lang w:val="en-GB"/>
              </w:rPr>
              <w:t>Informal document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GRSG-11</w:t>
            </w:r>
            <w:r w:rsidRPr="002949A0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203457">
              <w:rPr>
                <w:b/>
                <w:bCs/>
                <w:sz w:val="20"/>
                <w:szCs w:val="20"/>
                <w:lang w:val="en-GB"/>
              </w:rPr>
              <w:t>17</w:t>
            </w:r>
          </w:p>
          <w:p w:rsidR="002949A0" w:rsidRPr="00A00013" w:rsidRDefault="002949A0" w:rsidP="00D36A93">
            <w:pPr>
              <w:pStyle w:val="En-tte"/>
              <w:ind w:left="742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(114</w:t>
            </w:r>
            <w:r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="009D0561">
              <w:rPr>
                <w:sz w:val="20"/>
                <w:szCs w:val="20"/>
                <w:lang w:val="en-GB"/>
              </w:rPr>
              <w:t xml:space="preserve"> GRSG, </w:t>
            </w:r>
            <w:bookmarkStart w:id="0" w:name="_GoBack"/>
            <w:bookmarkEnd w:id="0"/>
            <w:r>
              <w:rPr>
                <w:sz w:val="20"/>
                <w:szCs w:val="20"/>
                <w:lang w:val="en-GB"/>
              </w:rPr>
              <w:t>9-13 April 2018</w:t>
            </w:r>
          </w:p>
          <w:p w:rsidR="002949A0" w:rsidRPr="00B61CF8" w:rsidRDefault="00203457" w:rsidP="00D36A93">
            <w:pPr>
              <w:pStyle w:val="En-tte"/>
              <w:ind w:left="742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agenda item 9</w:t>
            </w:r>
            <w:r w:rsidR="002949A0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2949A0" w:rsidRDefault="002949A0" w:rsidP="002949A0">
      <w:pPr>
        <w:spacing w:before="240" w:line="240" w:lineRule="atLeast"/>
        <w:ind w:left="142" w:right="26"/>
        <w:jc w:val="center"/>
        <w:rPr>
          <w:b/>
          <w:sz w:val="28"/>
          <w:szCs w:val="28"/>
          <w:lang w:val="en-GB" w:eastAsia="en-US"/>
        </w:rPr>
      </w:pPr>
    </w:p>
    <w:p w:rsidR="002949A0" w:rsidRPr="001C4665" w:rsidRDefault="002949A0" w:rsidP="002949A0">
      <w:pPr>
        <w:spacing w:line="300" w:lineRule="exact"/>
        <w:ind w:left="1276" w:right="43" w:hanging="30"/>
        <w:rPr>
          <w:b/>
        </w:rPr>
      </w:pPr>
      <w:r w:rsidRPr="00BB765F">
        <w:rPr>
          <w:b/>
          <w:bCs/>
          <w:lang w:val="en-GB"/>
        </w:rPr>
        <w:t>Pr</w:t>
      </w:r>
      <w:r w:rsidRPr="00BB765F">
        <w:rPr>
          <w:b/>
          <w:bCs/>
          <w:spacing w:val="1"/>
          <w:lang w:val="en-GB"/>
        </w:rPr>
        <w:t>o</w:t>
      </w:r>
      <w:r w:rsidRPr="00BB765F">
        <w:rPr>
          <w:b/>
          <w:bCs/>
          <w:lang w:val="en-GB"/>
        </w:rPr>
        <w:t>pos</w:t>
      </w:r>
      <w:r w:rsidRPr="00BB765F">
        <w:rPr>
          <w:b/>
          <w:bCs/>
          <w:spacing w:val="1"/>
          <w:lang w:val="en-GB"/>
        </w:rPr>
        <w:t>a</w:t>
      </w:r>
      <w:r w:rsidRPr="00BB765F">
        <w:rPr>
          <w:b/>
          <w:bCs/>
          <w:lang w:val="en-GB"/>
        </w:rPr>
        <w:t>l</w:t>
      </w:r>
      <w:r w:rsidRPr="00BB765F">
        <w:rPr>
          <w:b/>
          <w:bCs/>
          <w:spacing w:val="1"/>
          <w:lang w:val="en-GB"/>
        </w:rPr>
        <w:t xml:space="preserve"> </w:t>
      </w:r>
      <w:r w:rsidRPr="00BB765F">
        <w:rPr>
          <w:b/>
          <w:bCs/>
          <w:lang w:val="en-GB"/>
        </w:rPr>
        <w:t xml:space="preserve">for </w:t>
      </w:r>
      <w:r w:rsidR="00203457">
        <w:rPr>
          <w:b/>
          <w:bCs/>
          <w:lang w:val="en-GB"/>
        </w:rPr>
        <w:t xml:space="preserve">a </w:t>
      </w:r>
      <w:r w:rsidRPr="00BB765F">
        <w:rPr>
          <w:b/>
          <w:bCs/>
          <w:lang w:val="en-GB"/>
        </w:rPr>
        <w:t xml:space="preserve">Corrigendum </w:t>
      </w:r>
      <w:r w:rsidR="001C4665">
        <w:rPr>
          <w:b/>
          <w:bCs/>
          <w:lang w:val="en-GB"/>
        </w:rPr>
        <w:t xml:space="preserve">to </w:t>
      </w:r>
      <w:r w:rsidR="00203457">
        <w:rPr>
          <w:b/>
          <w:bCs/>
          <w:lang w:val="en-GB"/>
        </w:rPr>
        <w:t xml:space="preserve">UN </w:t>
      </w:r>
      <w:r w:rsidR="001C4665">
        <w:rPr>
          <w:b/>
          <w:bCs/>
          <w:lang w:val="en-GB"/>
        </w:rPr>
        <w:t xml:space="preserve">Regulation </w:t>
      </w:r>
      <w:r w:rsidR="00C022B0">
        <w:rPr>
          <w:b/>
          <w:bCs/>
        </w:rPr>
        <w:t>№ 121</w:t>
      </w:r>
      <w:r w:rsidR="00203457">
        <w:rPr>
          <w:b/>
          <w:bCs/>
        </w:rPr>
        <w:br/>
        <w:t>(</w:t>
      </w:r>
      <w:r w:rsidR="00C022B0">
        <w:rPr>
          <w:b/>
          <w:bCs/>
        </w:rPr>
        <w:t>Identification of controls, tell-tales and indicators</w:t>
      </w:r>
      <w:r w:rsidR="00203457">
        <w:rPr>
          <w:b/>
          <w:bCs/>
        </w:rPr>
        <w:t>)</w:t>
      </w:r>
    </w:p>
    <w:p w:rsidR="002949A0" w:rsidRDefault="002949A0" w:rsidP="002949A0">
      <w:pPr>
        <w:spacing w:line="249" w:lineRule="auto"/>
        <w:ind w:left="1246" w:right="1192" w:firstLine="30"/>
        <w:jc w:val="both"/>
        <w:rPr>
          <w:b/>
        </w:rPr>
      </w:pPr>
    </w:p>
    <w:p w:rsidR="002949A0" w:rsidRPr="00B61CF8" w:rsidRDefault="002949A0" w:rsidP="005640E4">
      <w:pPr>
        <w:pStyle w:val="SingleTxtG"/>
        <w:ind w:left="1276" w:right="43"/>
      </w:pPr>
      <w:r w:rsidRPr="00B61CF8">
        <w:t xml:space="preserve">The text reproduced below was prepared by the expert from the Russian Federation with the aim of aligning the English and Russian texts of </w:t>
      </w:r>
      <w:r w:rsidR="00203457">
        <w:t xml:space="preserve">UN </w:t>
      </w:r>
      <w:r w:rsidR="001C4665">
        <w:rPr>
          <w:lang w:val="en-US"/>
        </w:rPr>
        <w:t xml:space="preserve">Regulation </w:t>
      </w:r>
      <w:r w:rsidR="001C4665" w:rsidRPr="001C4665">
        <w:rPr>
          <w:lang w:val="en-US"/>
        </w:rPr>
        <w:t xml:space="preserve">№ </w:t>
      </w:r>
      <w:r w:rsidR="00C022B0">
        <w:rPr>
          <w:lang w:val="en-US"/>
        </w:rPr>
        <w:t>121</w:t>
      </w:r>
      <w:r>
        <w:rPr>
          <w:lang w:val="en-US"/>
        </w:rPr>
        <w:t xml:space="preserve">. </w:t>
      </w:r>
      <w:r w:rsidRPr="00B61CF8">
        <w:t>The proposal refers only the Russian text.</w:t>
      </w:r>
    </w:p>
    <w:p w:rsidR="002949A0" w:rsidRPr="00B61CF8" w:rsidRDefault="002949A0" w:rsidP="005640E4">
      <w:pPr>
        <w:pStyle w:val="SingleTxtG"/>
        <w:ind w:left="1276" w:right="43"/>
        <w:rPr>
          <w:spacing w:val="3"/>
        </w:rPr>
      </w:pPr>
    </w:p>
    <w:p w:rsidR="002949A0" w:rsidRPr="005640E4" w:rsidRDefault="002949A0" w:rsidP="005640E4">
      <w:pPr>
        <w:spacing w:line="249" w:lineRule="auto"/>
        <w:ind w:left="1276" w:right="43"/>
        <w:jc w:val="both"/>
        <w:rPr>
          <w:sz w:val="20"/>
          <w:szCs w:val="20"/>
          <w:lang w:val="en-GB"/>
        </w:rPr>
      </w:pPr>
      <w:r w:rsidRPr="005640E4">
        <w:rPr>
          <w:spacing w:val="3"/>
          <w:sz w:val="20"/>
          <w:szCs w:val="20"/>
          <w:lang w:val="en-GB"/>
        </w:rPr>
        <w:t>T</w:t>
      </w:r>
      <w:r w:rsidRPr="005640E4">
        <w:rPr>
          <w:spacing w:val="1"/>
          <w:sz w:val="20"/>
          <w:szCs w:val="20"/>
          <w:lang w:val="en-GB"/>
        </w:rPr>
        <w:t xml:space="preserve">he modifications to </w:t>
      </w:r>
      <w:r w:rsidR="001C4665" w:rsidRPr="005640E4">
        <w:rPr>
          <w:sz w:val="20"/>
          <w:szCs w:val="20"/>
        </w:rPr>
        <w:t xml:space="preserve">Regulation № </w:t>
      </w:r>
      <w:r w:rsidR="00C022B0">
        <w:rPr>
          <w:sz w:val="20"/>
          <w:szCs w:val="20"/>
        </w:rPr>
        <w:t>121</w:t>
      </w:r>
      <w:r w:rsidR="005640E4" w:rsidRPr="005640E4">
        <w:rPr>
          <w:sz w:val="20"/>
          <w:szCs w:val="20"/>
        </w:rPr>
        <w:t xml:space="preserve"> </w:t>
      </w:r>
      <w:r w:rsidRPr="005640E4">
        <w:rPr>
          <w:spacing w:val="1"/>
          <w:sz w:val="20"/>
          <w:szCs w:val="20"/>
          <w:lang w:val="en-GB"/>
        </w:rPr>
        <w:t xml:space="preserve">are marked </w:t>
      </w:r>
      <w:r w:rsidRPr="005640E4">
        <w:rPr>
          <w:sz w:val="20"/>
          <w:szCs w:val="20"/>
          <w:lang w:val="en-GB"/>
        </w:rPr>
        <w:t>in</w:t>
      </w:r>
      <w:r w:rsidRPr="005640E4">
        <w:rPr>
          <w:spacing w:val="23"/>
          <w:sz w:val="20"/>
          <w:szCs w:val="20"/>
          <w:lang w:val="en-GB"/>
        </w:rPr>
        <w:t xml:space="preserve"> </w:t>
      </w:r>
      <w:r w:rsidRPr="005640E4">
        <w:rPr>
          <w:spacing w:val="1"/>
          <w:sz w:val="20"/>
          <w:szCs w:val="20"/>
          <w:lang w:val="en-GB"/>
        </w:rPr>
        <w:t>bo</w:t>
      </w:r>
      <w:r w:rsidRPr="005640E4">
        <w:rPr>
          <w:sz w:val="20"/>
          <w:szCs w:val="20"/>
          <w:lang w:val="en-GB"/>
        </w:rPr>
        <w:t>ld</w:t>
      </w:r>
      <w:r w:rsidRPr="005640E4">
        <w:rPr>
          <w:spacing w:val="23"/>
          <w:sz w:val="20"/>
          <w:szCs w:val="20"/>
          <w:lang w:val="en-GB"/>
        </w:rPr>
        <w:t xml:space="preserve"> </w:t>
      </w:r>
      <w:r w:rsidRPr="005640E4">
        <w:rPr>
          <w:sz w:val="20"/>
          <w:szCs w:val="20"/>
          <w:lang w:val="en-GB"/>
        </w:rPr>
        <w:t>f</w:t>
      </w:r>
      <w:r w:rsidRPr="005640E4">
        <w:rPr>
          <w:spacing w:val="1"/>
          <w:sz w:val="20"/>
          <w:szCs w:val="20"/>
          <w:lang w:val="en-GB"/>
        </w:rPr>
        <w:t>o</w:t>
      </w:r>
      <w:r w:rsidRPr="005640E4">
        <w:rPr>
          <w:sz w:val="20"/>
          <w:szCs w:val="20"/>
          <w:lang w:val="en-GB"/>
        </w:rPr>
        <w:t>r</w:t>
      </w:r>
      <w:r w:rsidRPr="005640E4">
        <w:rPr>
          <w:spacing w:val="25"/>
          <w:sz w:val="20"/>
          <w:szCs w:val="20"/>
          <w:lang w:val="en-GB"/>
        </w:rPr>
        <w:t xml:space="preserve"> </w:t>
      </w:r>
      <w:r w:rsidRPr="005640E4">
        <w:rPr>
          <w:sz w:val="20"/>
          <w:szCs w:val="20"/>
          <w:lang w:val="en-GB"/>
        </w:rPr>
        <w:t>n</w:t>
      </w:r>
      <w:r w:rsidRPr="005640E4">
        <w:rPr>
          <w:spacing w:val="3"/>
          <w:sz w:val="20"/>
          <w:szCs w:val="20"/>
          <w:lang w:val="en-GB"/>
        </w:rPr>
        <w:t>e</w:t>
      </w:r>
      <w:r w:rsidRPr="005640E4">
        <w:rPr>
          <w:sz w:val="20"/>
          <w:szCs w:val="20"/>
          <w:lang w:val="en-GB"/>
        </w:rPr>
        <w:t>w</w:t>
      </w:r>
      <w:r w:rsidRPr="005640E4">
        <w:rPr>
          <w:spacing w:val="22"/>
          <w:sz w:val="20"/>
          <w:szCs w:val="20"/>
          <w:lang w:val="en-GB"/>
        </w:rPr>
        <w:t xml:space="preserve"> </w:t>
      </w:r>
      <w:r w:rsidRPr="005640E4">
        <w:rPr>
          <w:spacing w:val="3"/>
          <w:sz w:val="20"/>
          <w:szCs w:val="20"/>
          <w:lang w:val="en-GB"/>
        </w:rPr>
        <w:t>c</w:t>
      </w:r>
      <w:r w:rsidRPr="005640E4">
        <w:rPr>
          <w:sz w:val="20"/>
          <w:szCs w:val="20"/>
          <w:lang w:val="en-GB"/>
        </w:rPr>
        <w:t>ha</w:t>
      </w:r>
      <w:r w:rsidRPr="005640E4">
        <w:rPr>
          <w:spacing w:val="1"/>
          <w:sz w:val="20"/>
          <w:szCs w:val="20"/>
          <w:lang w:val="en-GB"/>
        </w:rPr>
        <w:t>r</w:t>
      </w:r>
      <w:r w:rsidRPr="005640E4">
        <w:rPr>
          <w:sz w:val="20"/>
          <w:szCs w:val="20"/>
          <w:lang w:val="en-GB"/>
        </w:rPr>
        <w:t>a</w:t>
      </w:r>
      <w:r w:rsidRPr="005640E4">
        <w:rPr>
          <w:spacing w:val="1"/>
          <w:sz w:val="20"/>
          <w:szCs w:val="20"/>
          <w:lang w:val="en-GB"/>
        </w:rPr>
        <w:t>c</w:t>
      </w:r>
      <w:r w:rsidRPr="005640E4">
        <w:rPr>
          <w:sz w:val="20"/>
          <w:szCs w:val="20"/>
          <w:lang w:val="en-GB"/>
        </w:rPr>
        <w:t>te</w:t>
      </w:r>
      <w:r w:rsidRPr="005640E4">
        <w:rPr>
          <w:spacing w:val="1"/>
          <w:sz w:val="20"/>
          <w:szCs w:val="20"/>
          <w:lang w:val="en-GB"/>
        </w:rPr>
        <w:t>r</w:t>
      </w:r>
      <w:r w:rsidRPr="005640E4">
        <w:rPr>
          <w:sz w:val="20"/>
          <w:szCs w:val="20"/>
          <w:lang w:val="en-GB"/>
        </w:rPr>
        <w:t>s</w:t>
      </w:r>
      <w:r w:rsidRPr="005640E4">
        <w:rPr>
          <w:spacing w:val="18"/>
          <w:sz w:val="20"/>
          <w:szCs w:val="20"/>
          <w:lang w:val="en-GB"/>
        </w:rPr>
        <w:t xml:space="preserve"> </w:t>
      </w:r>
      <w:r w:rsidRPr="005640E4">
        <w:rPr>
          <w:sz w:val="20"/>
          <w:szCs w:val="20"/>
          <w:lang w:val="en-GB"/>
        </w:rPr>
        <w:t>and</w:t>
      </w:r>
      <w:r w:rsidRPr="005640E4">
        <w:rPr>
          <w:spacing w:val="25"/>
          <w:sz w:val="20"/>
          <w:szCs w:val="20"/>
          <w:lang w:val="en-GB"/>
        </w:rPr>
        <w:t xml:space="preserve"> </w:t>
      </w:r>
      <w:r w:rsidRPr="005640E4">
        <w:rPr>
          <w:spacing w:val="2"/>
          <w:sz w:val="20"/>
          <w:szCs w:val="20"/>
          <w:lang w:val="en-GB"/>
        </w:rPr>
        <w:t>s</w:t>
      </w:r>
      <w:r w:rsidRPr="005640E4">
        <w:rPr>
          <w:sz w:val="20"/>
          <w:szCs w:val="20"/>
          <w:lang w:val="en-GB"/>
        </w:rPr>
        <w:t>trike</w:t>
      </w:r>
      <w:r w:rsidRPr="005640E4">
        <w:rPr>
          <w:spacing w:val="2"/>
          <w:sz w:val="20"/>
          <w:szCs w:val="20"/>
          <w:lang w:val="en-GB"/>
        </w:rPr>
        <w:t>t</w:t>
      </w:r>
      <w:r w:rsidRPr="005640E4">
        <w:rPr>
          <w:sz w:val="20"/>
          <w:szCs w:val="20"/>
          <w:lang w:val="en-GB"/>
        </w:rPr>
        <w:t>h</w:t>
      </w:r>
      <w:r w:rsidRPr="005640E4">
        <w:rPr>
          <w:spacing w:val="1"/>
          <w:sz w:val="20"/>
          <w:szCs w:val="20"/>
          <w:lang w:val="en-GB"/>
        </w:rPr>
        <w:t>rou</w:t>
      </w:r>
      <w:r w:rsidRPr="005640E4">
        <w:rPr>
          <w:sz w:val="20"/>
          <w:szCs w:val="20"/>
          <w:lang w:val="en-GB"/>
        </w:rPr>
        <w:t>gh</w:t>
      </w:r>
      <w:r w:rsidRPr="005640E4">
        <w:rPr>
          <w:spacing w:val="17"/>
          <w:sz w:val="20"/>
          <w:szCs w:val="20"/>
          <w:lang w:val="en-GB"/>
        </w:rPr>
        <w:t xml:space="preserve"> </w:t>
      </w:r>
      <w:r w:rsidRPr="005640E4">
        <w:rPr>
          <w:sz w:val="20"/>
          <w:szCs w:val="20"/>
          <w:lang w:val="en-GB"/>
        </w:rPr>
        <w:t>f</w:t>
      </w:r>
      <w:r w:rsidRPr="005640E4">
        <w:rPr>
          <w:spacing w:val="1"/>
          <w:sz w:val="20"/>
          <w:szCs w:val="20"/>
          <w:lang w:val="en-GB"/>
        </w:rPr>
        <w:t>o</w:t>
      </w:r>
      <w:r w:rsidRPr="005640E4">
        <w:rPr>
          <w:sz w:val="20"/>
          <w:szCs w:val="20"/>
          <w:lang w:val="en-GB"/>
        </w:rPr>
        <w:t>r</w:t>
      </w:r>
      <w:r w:rsidRPr="005640E4">
        <w:rPr>
          <w:spacing w:val="25"/>
          <w:sz w:val="20"/>
          <w:szCs w:val="20"/>
          <w:lang w:val="en-GB"/>
        </w:rPr>
        <w:t xml:space="preserve"> </w:t>
      </w:r>
      <w:r w:rsidRPr="005640E4">
        <w:rPr>
          <w:spacing w:val="1"/>
          <w:sz w:val="20"/>
          <w:szCs w:val="20"/>
          <w:lang w:val="en-GB"/>
        </w:rPr>
        <w:t>d</w:t>
      </w:r>
      <w:r w:rsidRPr="005640E4">
        <w:rPr>
          <w:sz w:val="20"/>
          <w:szCs w:val="20"/>
          <w:lang w:val="en-GB"/>
        </w:rPr>
        <w:t>elet</w:t>
      </w:r>
      <w:r w:rsidRPr="005640E4">
        <w:rPr>
          <w:spacing w:val="3"/>
          <w:sz w:val="20"/>
          <w:szCs w:val="20"/>
          <w:lang w:val="en-GB"/>
        </w:rPr>
        <w:t>e</w:t>
      </w:r>
      <w:r w:rsidRPr="005640E4">
        <w:rPr>
          <w:sz w:val="20"/>
          <w:szCs w:val="20"/>
          <w:lang w:val="en-GB"/>
        </w:rPr>
        <w:t>d cha</w:t>
      </w:r>
      <w:r w:rsidRPr="005640E4">
        <w:rPr>
          <w:spacing w:val="1"/>
          <w:sz w:val="20"/>
          <w:szCs w:val="20"/>
          <w:lang w:val="en-GB"/>
        </w:rPr>
        <w:t>r</w:t>
      </w:r>
      <w:r w:rsidRPr="005640E4">
        <w:rPr>
          <w:sz w:val="20"/>
          <w:szCs w:val="20"/>
          <w:lang w:val="en-GB"/>
        </w:rPr>
        <w:t>a</w:t>
      </w:r>
      <w:r w:rsidRPr="005640E4">
        <w:rPr>
          <w:spacing w:val="1"/>
          <w:sz w:val="20"/>
          <w:szCs w:val="20"/>
          <w:lang w:val="en-GB"/>
        </w:rPr>
        <w:t>c</w:t>
      </w:r>
      <w:r w:rsidRPr="005640E4">
        <w:rPr>
          <w:sz w:val="20"/>
          <w:szCs w:val="20"/>
          <w:lang w:val="en-GB"/>
        </w:rPr>
        <w:t>te</w:t>
      </w:r>
      <w:r w:rsidRPr="005640E4">
        <w:rPr>
          <w:spacing w:val="1"/>
          <w:sz w:val="20"/>
          <w:szCs w:val="20"/>
          <w:lang w:val="en-GB"/>
        </w:rPr>
        <w:t>r</w:t>
      </w:r>
      <w:r w:rsidRPr="005640E4">
        <w:rPr>
          <w:sz w:val="20"/>
          <w:szCs w:val="20"/>
          <w:lang w:val="en-GB"/>
        </w:rPr>
        <w:t>s.</w:t>
      </w:r>
    </w:p>
    <w:p w:rsidR="002949A0" w:rsidRPr="00A00013" w:rsidRDefault="002949A0" w:rsidP="002949A0">
      <w:pPr>
        <w:spacing w:line="200" w:lineRule="exact"/>
        <w:rPr>
          <w:sz w:val="20"/>
          <w:szCs w:val="20"/>
          <w:lang w:val="en-GB"/>
        </w:rPr>
      </w:pPr>
    </w:p>
    <w:p w:rsidR="002949A0" w:rsidRPr="00492CEA" w:rsidRDefault="005640E4" w:rsidP="002949A0">
      <w:pPr>
        <w:tabs>
          <w:tab w:val="left" w:pos="680"/>
        </w:tabs>
        <w:spacing w:before="24"/>
        <w:ind w:left="1276"/>
      </w:pPr>
      <w:r>
        <w:rPr>
          <w:b/>
          <w:bCs/>
          <w:spacing w:val="1"/>
        </w:rPr>
        <w:t>Corrigendum</w:t>
      </w:r>
    </w:p>
    <w:p w:rsidR="002949A0" w:rsidRPr="00492CEA" w:rsidRDefault="002949A0" w:rsidP="002949A0">
      <w:pPr>
        <w:spacing w:before="7" w:line="240" w:lineRule="exact"/>
      </w:pPr>
    </w:p>
    <w:p w:rsidR="005640E4" w:rsidRPr="00766AAA" w:rsidRDefault="005640E4" w:rsidP="00C726FB">
      <w:pPr>
        <w:spacing w:after="120"/>
        <w:ind w:left="414" w:right="1134" w:firstLine="862"/>
        <w:jc w:val="both"/>
        <w:rPr>
          <w:sz w:val="20"/>
          <w:szCs w:val="20"/>
        </w:rPr>
      </w:pPr>
      <w:r w:rsidRPr="00766AAA">
        <w:rPr>
          <w:i/>
          <w:sz w:val="20"/>
          <w:szCs w:val="20"/>
        </w:rPr>
        <w:t>Paragraph</w:t>
      </w:r>
      <w:r w:rsidR="00766AAA">
        <w:rPr>
          <w:i/>
          <w:sz w:val="20"/>
          <w:szCs w:val="20"/>
        </w:rPr>
        <w:t xml:space="preserve">s </w:t>
      </w:r>
      <w:r w:rsidR="00203457">
        <w:rPr>
          <w:i/>
          <w:sz w:val="20"/>
          <w:szCs w:val="20"/>
        </w:rPr>
        <w:t>2.4 and 5.5.1.4</w:t>
      </w:r>
      <w:r w:rsidRPr="00203457">
        <w:rPr>
          <w:sz w:val="20"/>
          <w:szCs w:val="20"/>
        </w:rPr>
        <w:t>, correct</w:t>
      </w:r>
      <w:r w:rsidR="00C022B0" w:rsidRPr="00203457">
        <w:rPr>
          <w:sz w:val="20"/>
          <w:szCs w:val="20"/>
        </w:rPr>
        <w:t xml:space="preserve"> to read</w:t>
      </w:r>
      <w:r w:rsidRPr="00203457">
        <w:rPr>
          <w:sz w:val="20"/>
          <w:szCs w:val="20"/>
        </w:rPr>
        <w:t>:</w:t>
      </w:r>
    </w:p>
    <w:p w:rsidR="00C022B0" w:rsidRDefault="00C022B0" w:rsidP="00766AAA">
      <w:pPr>
        <w:pStyle w:val="SingleTxtG"/>
        <w:ind w:left="2268" w:hanging="992"/>
        <w:rPr>
          <w:lang w:val="ru-RU"/>
        </w:rPr>
      </w:pPr>
      <w:r>
        <w:rPr>
          <w:i/>
          <w:lang w:val="ru-RU"/>
        </w:rPr>
        <w:t>Пункт 2.4</w:t>
      </w:r>
      <w:r>
        <w:rPr>
          <w:lang w:val="ru-RU"/>
        </w:rPr>
        <w:t xml:space="preserve"> изменить следующим образом:</w:t>
      </w:r>
    </w:p>
    <w:p w:rsidR="00C022B0" w:rsidRDefault="00C022B0" w:rsidP="00766AAA">
      <w:pPr>
        <w:pStyle w:val="SingleTxtG"/>
        <w:ind w:left="2268" w:right="43" w:hanging="992"/>
        <w:rPr>
          <w:lang w:val="ru-RU"/>
        </w:rPr>
      </w:pPr>
      <w:r>
        <w:rPr>
          <w:lang w:val="ru-RU"/>
        </w:rPr>
        <w:t>"2.4</w:t>
      </w:r>
      <w:r>
        <w:rPr>
          <w:lang w:val="ru-RU"/>
        </w:rPr>
        <w:tab/>
      </w:r>
      <w:r>
        <w:rPr>
          <w:spacing w:val="4"/>
          <w:w w:val="103"/>
          <w:kern w:val="14"/>
          <w:lang w:val="ru-RU"/>
        </w:rPr>
        <w:t xml:space="preserve">«Общее пространство» означает участок, на котором могут отображаться, но не </w:t>
      </w:r>
      <w:r>
        <w:rPr>
          <w:strike/>
          <w:spacing w:val="4"/>
          <w:w w:val="103"/>
          <w:kern w:val="14"/>
          <w:lang w:val="ru-RU"/>
        </w:rPr>
        <w:t>совмещаться</w:t>
      </w:r>
      <w:r>
        <w:rPr>
          <w:spacing w:val="4"/>
          <w:w w:val="103"/>
          <w:kern w:val="14"/>
          <w:lang w:val="ru-RU"/>
        </w:rPr>
        <w:t xml:space="preserve"> </w:t>
      </w:r>
      <w:r>
        <w:rPr>
          <w:b/>
          <w:spacing w:val="4"/>
          <w:w w:val="103"/>
          <w:kern w:val="14"/>
          <w:lang w:val="ru-RU"/>
        </w:rPr>
        <w:t>одновременно</w:t>
      </w:r>
      <w:r>
        <w:rPr>
          <w:spacing w:val="4"/>
          <w:w w:val="103"/>
          <w:kern w:val="14"/>
          <w:lang w:val="ru-RU"/>
        </w:rPr>
        <w:t xml:space="preserve">, не менее двух информационных функций (например, </w:t>
      </w:r>
      <w:r w:rsidRPr="003D3B32">
        <w:rPr>
          <w:spacing w:val="4"/>
          <w:w w:val="103"/>
          <w:kern w:val="14"/>
          <w:lang w:val="ru-RU"/>
        </w:rPr>
        <w:t>условных обозначений</w:t>
      </w:r>
      <w:r>
        <w:rPr>
          <w:spacing w:val="4"/>
          <w:w w:val="103"/>
          <w:kern w:val="14"/>
          <w:lang w:val="ru-RU"/>
        </w:rPr>
        <w:t>)</w:t>
      </w:r>
      <w:proofErr w:type="gramStart"/>
      <w:r>
        <w:rPr>
          <w:spacing w:val="4"/>
          <w:w w:val="103"/>
          <w:kern w:val="14"/>
          <w:lang w:val="ru-RU"/>
        </w:rPr>
        <w:t>.</w:t>
      </w:r>
      <w:r>
        <w:rPr>
          <w:lang w:val="ru-RU"/>
        </w:rPr>
        <w:t xml:space="preserve"> "</w:t>
      </w:r>
      <w:proofErr w:type="gramEnd"/>
    </w:p>
    <w:p w:rsidR="00C022B0" w:rsidRDefault="00C022B0" w:rsidP="00766AAA">
      <w:pPr>
        <w:pStyle w:val="SingleTxtG"/>
        <w:ind w:left="2268" w:hanging="992"/>
        <w:rPr>
          <w:lang w:val="ru-RU"/>
        </w:rPr>
      </w:pPr>
    </w:p>
    <w:p w:rsidR="00C022B0" w:rsidRDefault="00C022B0" w:rsidP="00766AAA">
      <w:pPr>
        <w:pStyle w:val="SingleTxtG"/>
        <w:ind w:left="2268" w:hanging="992"/>
        <w:rPr>
          <w:lang w:val="ru-RU"/>
        </w:rPr>
      </w:pPr>
      <w:r>
        <w:rPr>
          <w:i/>
          <w:lang w:val="ru-RU"/>
        </w:rPr>
        <w:t>Пункт 5.5.1.4</w:t>
      </w:r>
      <w:r>
        <w:rPr>
          <w:lang w:val="ru-RU"/>
        </w:rPr>
        <w:t xml:space="preserve"> изменить следующим образом:</w:t>
      </w:r>
    </w:p>
    <w:p w:rsidR="00C022B0" w:rsidRDefault="00C022B0" w:rsidP="00766AAA">
      <w:pPr>
        <w:pStyle w:val="SingleTxtG"/>
        <w:ind w:left="2268" w:right="43" w:hanging="992"/>
        <w:rPr>
          <w:lang w:val="ru-RU"/>
        </w:rPr>
      </w:pPr>
      <w:proofErr w:type="gramStart"/>
      <w:r>
        <w:rPr>
          <w:lang w:val="ru-RU"/>
        </w:rPr>
        <w:t>"5.5.1.4</w:t>
      </w:r>
      <w:r>
        <w:rPr>
          <w:lang w:val="ru-RU"/>
        </w:rPr>
        <w:tab/>
        <w:t xml:space="preserve">если контрольный сигнал, </w:t>
      </w:r>
      <w:r w:rsidRPr="003D3B32">
        <w:rPr>
          <w:lang w:val="ru-RU"/>
        </w:rPr>
        <w:t xml:space="preserve">указывающий на неисправность </w:t>
      </w:r>
      <w:r>
        <w:rPr>
          <w:lang w:val="ru-RU"/>
        </w:rPr>
        <w:t xml:space="preserve">тормозной системы, </w:t>
      </w:r>
      <w:r>
        <w:rPr>
          <w:strike/>
          <w:lang w:val="ru-RU"/>
        </w:rPr>
        <w:t>или контрольные сигналы</w:t>
      </w:r>
      <w:r>
        <w:rPr>
          <w:lang w:val="ru-RU"/>
        </w:rPr>
        <w:t xml:space="preserve"> дальнего света, указателей поворота или ремней безопасности</w:t>
      </w:r>
      <w:r>
        <w:rPr>
          <w:strike/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отобража</w:t>
      </w:r>
      <w:r>
        <w:rPr>
          <w:strike/>
          <w:lang w:val="ru-RU"/>
        </w:rPr>
        <w:t>ю</w:t>
      </w:r>
      <w:r>
        <w:rPr>
          <w:b/>
          <w:lang w:val="ru-RU"/>
        </w:rPr>
        <w:t>е</w:t>
      </w:r>
      <w:r>
        <w:rPr>
          <w:lang w:val="ru-RU"/>
        </w:rPr>
        <w:t>тся</w:t>
      </w:r>
      <w:proofErr w:type="spellEnd"/>
      <w:r>
        <w:rPr>
          <w:lang w:val="ru-RU"/>
        </w:rPr>
        <w:t xml:space="preserve"> в </w:t>
      </w:r>
      <w:r w:rsidRPr="003D3B32">
        <w:rPr>
          <w:lang w:val="ru-RU"/>
        </w:rPr>
        <w:t>каком-либо</w:t>
      </w:r>
      <w:r>
        <w:rPr>
          <w:lang w:val="ru-RU"/>
        </w:rPr>
        <w:t xml:space="preserve"> общем пространстве, то </w:t>
      </w:r>
      <w:r>
        <w:rPr>
          <w:b/>
          <w:lang w:val="ru-RU"/>
        </w:rPr>
        <w:t>он</w:t>
      </w:r>
      <w:r>
        <w:rPr>
          <w:lang w:val="ru-RU"/>
        </w:rPr>
        <w:t xml:space="preserve"> </w:t>
      </w:r>
      <w:r>
        <w:rPr>
          <w:b/>
          <w:lang w:val="ru-RU"/>
        </w:rPr>
        <w:t>должен замещать любо</w:t>
      </w:r>
      <w:r w:rsidR="00492CEA">
        <w:rPr>
          <w:b/>
          <w:lang w:val="ru-RU"/>
        </w:rPr>
        <w:t>е другое условное обозначение</w:t>
      </w:r>
      <w:r>
        <w:rPr>
          <w:b/>
          <w:lang w:val="ru-RU"/>
        </w:rPr>
        <w:t xml:space="preserve"> в данном общем пространстве,</w:t>
      </w:r>
      <w:r>
        <w:rPr>
          <w:lang w:val="ru-RU"/>
        </w:rPr>
        <w:t xml:space="preserve"> в случае возникновения базового условия для </w:t>
      </w:r>
      <w:r>
        <w:rPr>
          <w:strike/>
          <w:lang w:val="ru-RU"/>
        </w:rPr>
        <w:t>их</w:t>
      </w:r>
      <w:r>
        <w:rPr>
          <w:lang w:val="ru-RU"/>
        </w:rPr>
        <w:t xml:space="preserve">  </w:t>
      </w:r>
      <w:r>
        <w:rPr>
          <w:b/>
          <w:lang w:val="ru-RU"/>
        </w:rPr>
        <w:t>его</w:t>
      </w:r>
      <w:r>
        <w:rPr>
          <w:lang w:val="ru-RU"/>
        </w:rPr>
        <w:t xml:space="preserve"> включения</w:t>
      </w:r>
      <w:r>
        <w:rPr>
          <w:strike/>
          <w:lang w:val="ru-RU"/>
        </w:rPr>
        <w:t>, яркость этих сигналов должна значительно превышать яркость любого другого условного обозначения в таком общем пространстве</w:t>
      </w:r>
      <w:r>
        <w:rPr>
          <w:lang w:val="ru-RU"/>
        </w:rPr>
        <w:t>;"</w:t>
      </w:r>
      <w:proofErr w:type="gramEnd"/>
    </w:p>
    <w:p w:rsidR="00956A1C" w:rsidRPr="00C022B0" w:rsidRDefault="00956A1C" w:rsidP="007E0DB8">
      <w:pPr>
        <w:pStyle w:val="ListParagraph"/>
        <w:spacing w:after="120"/>
        <w:ind w:left="1134" w:right="1134"/>
        <w:jc w:val="center"/>
        <w:rPr>
          <w:rFonts w:ascii="Times New Roman" w:hAnsi="Times New Roman"/>
          <w:lang w:val="ru-RU"/>
        </w:rPr>
      </w:pPr>
    </w:p>
    <w:p w:rsidR="009A3E21" w:rsidRPr="00F85524" w:rsidRDefault="009A3E21" w:rsidP="007E0DB8">
      <w:pPr>
        <w:pStyle w:val="ListParagraph"/>
        <w:spacing w:after="120"/>
        <w:ind w:left="1134" w:right="1134"/>
        <w:jc w:val="center"/>
        <w:rPr>
          <w:rFonts w:ascii="Times New Roman" w:hAnsi="Times New Roman"/>
          <w:color w:val="FF0000"/>
          <w:sz w:val="24"/>
          <w:szCs w:val="24"/>
        </w:rPr>
      </w:pPr>
      <w:r w:rsidRPr="00F85524">
        <w:rPr>
          <w:rFonts w:ascii="Times New Roman" w:hAnsi="Times New Roman"/>
        </w:rPr>
        <w:t>_____________________</w:t>
      </w:r>
    </w:p>
    <w:sectPr w:rsidR="009A3E21" w:rsidRPr="00F85524" w:rsidSect="00DF63D1">
      <w:footerReference w:type="default" r:id="rId9"/>
      <w:footerReference w:type="first" r:id="rId10"/>
      <w:pgSz w:w="12240" w:h="15840"/>
      <w:pgMar w:top="1347" w:right="1892" w:bottom="1440" w:left="1800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BC" w:rsidRDefault="00C337BC">
      <w:r>
        <w:separator/>
      </w:r>
    </w:p>
  </w:endnote>
  <w:endnote w:type="continuationSeparator" w:id="0">
    <w:p w:rsidR="00C337BC" w:rsidRDefault="00C3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E2" w:rsidRDefault="00445F3D">
    <w:pPr>
      <w:pStyle w:val="Footer"/>
      <w:jc w:val="center"/>
    </w:pPr>
    <w:r>
      <w:fldChar w:fldCharType="begin"/>
    </w:r>
    <w:r w:rsidR="00E94DE2">
      <w:instrText xml:space="preserve"> PAGE   \* MERGEFORMAT </w:instrText>
    </w:r>
    <w:r>
      <w:fldChar w:fldCharType="separate"/>
    </w:r>
    <w:r w:rsidR="00B75276">
      <w:rPr>
        <w:noProof/>
      </w:rPr>
      <w:t>1</w:t>
    </w:r>
    <w:r>
      <w:rPr>
        <w:noProof/>
      </w:rPr>
      <w:fldChar w:fldCharType="end"/>
    </w:r>
  </w:p>
  <w:p w:rsidR="00E94DE2" w:rsidRDefault="00E94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E2" w:rsidRDefault="00445F3D">
    <w:pPr>
      <w:pStyle w:val="Footer"/>
      <w:jc w:val="center"/>
    </w:pPr>
    <w:r>
      <w:fldChar w:fldCharType="begin"/>
    </w:r>
    <w:r w:rsidR="00E94DE2">
      <w:instrText xml:space="preserve"> PAGE   \* MERGEFORMAT </w:instrText>
    </w:r>
    <w:r>
      <w:fldChar w:fldCharType="separate"/>
    </w:r>
    <w:r w:rsidR="00B75276">
      <w:rPr>
        <w:noProof/>
      </w:rPr>
      <w:t>1</w:t>
    </w:r>
    <w:r>
      <w:rPr>
        <w:noProof/>
      </w:rPr>
      <w:fldChar w:fldCharType="end"/>
    </w:r>
  </w:p>
  <w:p w:rsidR="00E94DE2" w:rsidRDefault="00E94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BC" w:rsidRDefault="00C337BC">
      <w:r>
        <w:separator/>
      </w:r>
    </w:p>
  </w:footnote>
  <w:footnote w:type="continuationSeparator" w:id="0">
    <w:p w:rsidR="00C337BC" w:rsidRDefault="00C3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ED9"/>
    <w:multiLevelType w:val="hybridMultilevel"/>
    <w:tmpl w:val="0E005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2878"/>
    <w:multiLevelType w:val="hybridMultilevel"/>
    <w:tmpl w:val="4FBE8BA6"/>
    <w:lvl w:ilvl="0" w:tplc="C7A6D9A6">
      <w:start w:val="1"/>
      <w:numFmt w:val="lowerRoman"/>
      <w:lvlText w:val="(%1)"/>
      <w:lvlJc w:val="left"/>
      <w:pPr>
        <w:ind w:left="1080" w:hanging="72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D45"/>
    <w:multiLevelType w:val="hybridMultilevel"/>
    <w:tmpl w:val="FB907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71BE"/>
    <w:multiLevelType w:val="hybridMultilevel"/>
    <w:tmpl w:val="C6CE810A"/>
    <w:lvl w:ilvl="0" w:tplc="73D4119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800EDE"/>
    <w:multiLevelType w:val="hybridMultilevel"/>
    <w:tmpl w:val="7EF8636A"/>
    <w:lvl w:ilvl="0" w:tplc="E4E85C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B32CD"/>
    <w:multiLevelType w:val="hybridMultilevel"/>
    <w:tmpl w:val="4C2A5592"/>
    <w:lvl w:ilvl="0" w:tplc="69A2F1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844EF2"/>
    <w:multiLevelType w:val="hybridMultilevel"/>
    <w:tmpl w:val="95986572"/>
    <w:lvl w:ilvl="0" w:tplc="22AEF52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00022"/>
    <w:multiLevelType w:val="hybridMultilevel"/>
    <w:tmpl w:val="5BA0A630"/>
    <w:lvl w:ilvl="0" w:tplc="0FDA6C6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21513"/>
    <w:multiLevelType w:val="hybridMultilevel"/>
    <w:tmpl w:val="4FEE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21914"/>
    <w:multiLevelType w:val="hybridMultilevel"/>
    <w:tmpl w:val="9D04505A"/>
    <w:lvl w:ilvl="0" w:tplc="79D44BE0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C5470D"/>
    <w:multiLevelType w:val="hybridMultilevel"/>
    <w:tmpl w:val="2666791A"/>
    <w:lvl w:ilvl="0" w:tplc="783E5A6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F58C0"/>
    <w:multiLevelType w:val="hybridMultilevel"/>
    <w:tmpl w:val="0442A7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AD35D3"/>
    <w:multiLevelType w:val="hybridMultilevel"/>
    <w:tmpl w:val="60B2F8CC"/>
    <w:lvl w:ilvl="0" w:tplc="8CA2A9B4">
      <w:start w:val="2"/>
      <w:numFmt w:val="lowerRoman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5ED105E"/>
    <w:multiLevelType w:val="hybridMultilevel"/>
    <w:tmpl w:val="39A8655E"/>
    <w:lvl w:ilvl="0" w:tplc="FFE0DB12">
      <w:start w:val="1"/>
      <w:numFmt w:val="decimal"/>
      <w:lvlText w:val="%1."/>
      <w:lvlJc w:val="left"/>
      <w:pPr>
        <w:ind w:left="1069" w:hanging="360"/>
      </w:pPr>
      <w:rPr>
        <w:rFonts w:ascii="Times New Roman" w:eastAsia="MS Mincho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EB128F"/>
    <w:multiLevelType w:val="hybridMultilevel"/>
    <w:tmpl w:val="598247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0554F36"/>
    <w:multiLevelType w:val="hybridMultilevel"/>
    <w:tmpl w:val="01CE7F62"/>
    <w:lvl w:ilvl="0" w:tplc="C7A6D9A6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34162AB"/>
    <w:multiLevelType w:val="hybridMultilevel"/>
    <w:tmpl w:val="1AD8502C"/>
    <w:lvl w:ilvl="0" w:tplc="4D0881A4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64D2B"/>
    <w:multiLevelType w:val="hybridMultilevel"/>
    <w:tmpl w:val="69D809A0"/>
    <w:lvl w:ilvl="0" w:tplc="D64E10DA">
      <w:start w:val="1"/>
      <w:numFmt w:val="lowerRoman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5"/>
  </w:num>
  <w:num w:numId="12">
    <w:abstractNumId w:val="10"/>
  </w:num>
  <w:num w:numId="13">
    <w:abstractNumId w:val="3"/>
  </w:num>
  <w:num w:numId="14">
    <w:abstractNumId w:val="16"/>
  </w:num>
  <w:num w:numId="15">
    <w:abstractNumId w:val="13"/>
  </w:num>
  <w:num w:numId="16">
    <w:abstractNumId w:val="1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4A"/>
    <w:rsid w:val="000043FE"/>
    <w:rsid w:val="00021554"/>
    <w:rsid w:val="0003235B"/>
    <w:rsid w:val="00033514"/>
    <w:rsid w:val="00036C39"/>
    <w:rsid w:val="0005054C"/>
    <w:rsid w:val="000522C0"/>
    <w:rsid w:val="00056A18"/>
    <w:rsid w:val="00064114"/>
    <w:rsid w:val="00070EE6"/>
    <w:rsid w:val="000A3E18"/>
    <w:rsid w:val="000B631D"/>
    <w:rsid w:val="000E05E5"/>
    <w:rsid w:val="000E1E57"/>
    <w:rsid w:val="000E25C4"/>
    <w:rsid w:val="000E271A"/>
    <w:rsid w:val="000E727E"/>
    <w:rsid w:val="0010267B"/>
    <w:rsid w:val="001053C0"/>
    <w:rsid w:val="0011458B"/>
    <w:rsid w:val="0012442B"/>
    <w:rsid w:val="0012716F"/>
    <w:rsid w:val="00137F22"/>
    <w:rsid w:val="001475A7"/>
    <w:rsid w:val="00147D8A"/>
    <w:rsid w:val="0015784F"/>
    <w:rsid w:val="00164218"/>
    <w:rsid w:val="00165491"/>
    <w:rsid w:val="00187F84"/>
    <w:rsid w:val="001A0CF3"/>
    <w:rsid w:val="001A0E48"/>
    <w:rsid w:val="001A48AF"/>
    <w:rsid w:val="001A6093"/>
    <w:rsid w:val="001B04F8"/>
    <w:rsid w:val="001C4665"/>
    <w:rsid w:val="001E51D8"/>
    <w:rsid w:val="00203457"/>
    <w:rsid w:val="00210872"/>
    <w:rsid w:val="0021783C"/>
    <w:rsid w:val="002209F1"/>
    <w:rsid w:val="002226D3"/>
    <w:rsid w:val="002258C1"/>
    <w:rsid w:val="00232192"/>
    <w:rsid w:val="002334F2"/>
    <w:rsid w:val="00244529"/>
    <w:rsid w:val="0025188B"/>
    <w:rsid w:val="002615D1"/>
    <w:rsid w:val="00270DB3"/>
    <w:rsid w:val="002739C0"/>
    <w:rsid w:val="00277A9C"/>
    <w:rsid w:val="002800D8"/>
    <w:rsid w:val="002913F3"/>
    <w:rsid w:val="00294299"/>
    <w:rsid w:val="002949A0"/>
    <w:rsid w:val="002E47F3"/>
    <w:rsid w:val="002E7284"/>
    <w:rsid w:val="002F6D64"/>
    <w:rsid w:val="00302E04"/>
    <w:rsid w:val="00303CB9"/>
    <w:rsid w:val="003317C3"/>
    <w:rsid w:val="0033503D"/>
    <w:rsid w:val="00341ECE"/>
    <w:rsid w:val="00350E4A"/>
    <w:rsid w:val="0036585D"/>
    <w:rsid w:val="00390AC0"/>
    <w:rsid w:val="003A072F"/>
    <w:rsid w:val="003A3032"/>
    <w:rsid w:val="003A594A"/>
    <w:rsid w:val="003B4AA1"/>
    <w:rsid w:val="003B66F1"/>
    <w:rsid w:val="003D3B32"/>
    <w:rsid w:val="003D7259"/>
    <w:rsid w:val="003E211E"/>
    <w:rsid w:val="003E5E06"/>
    <w:rsid w:val="003F37A5"/>
    <w:rsid w:val="0040534C"/>
    <w:rsid w:val="004066F9"/>
    <w:rsid w:val="00414485"/>
    <w:rsid w:val="004145B2"/>
    <w:rsid w:val="00445F3D"/>
    <w:rsid w:val="004461F8"/>
    <w:rsid w:val="0044689F"/>
    <w:rsid w:val="0045471F"/>
    <w:rsid w:val="0046001E"/>
    <w:rsid w:val="00460BF7"/>
    <w:rsid w:val="0046596D"/>
    <w:rsid w:val="004713CC"/>
    <w:rsid w:val="00486F9E"/>
    <w:rsid w:val="004905F7"/>
    <w:rsid w:val="00492CEA"/>
    <w:rsid w:val="00496FB3"/>
    <w:rsid w:val="004C2EDC"/>
    <w:rsid w:val="005134CA"/>
    <w:rsid w:val="005468EE"/>
    <w:rsid w:val="00551965"/>
    <w:rsid w:val="005640E4"/>
    <w:rsid w:val="00572E15"/>
    <w:rsid w:val="0057798C"/>
    <w:rsid w:val="005A05C9"/>
    <w:rsid w:val="005C2A6A"/>
    <w:rsid w:val="005C4622"/>
    <w:rsid w:val="005D6790"/>
    <w:rsid w:val="005E46D0"/>
    <w:rsid w:val="00601B6D"/>
    <w:rsid w:val="00603473"/>
    <w:rsid w:val="00606EA8"/>
    <w:rsid w:val="00616C3B"/>
    <w:rsid w:val="00620295"/>
    <w:rsid w:val="00624CF9"/>
    <w:rsid w:val="00633C77"/>
    <w:rsid w:val="0064770D"/>
    <w:rsid w:val="006574A0"/>
    <w:rsid w:val="00675884"/>
    <w:rsid w:val="006908E8"/>
    <w:rsid w:val="00695C93"/>
    <w:rsid w:val="006C31BC"/>
    <w:rsid w:val="006D6875"/>
    <w:rsid w:val="006E48E5"/>
    <w:rsid w:val="006E692A"/>
    <w:rsid w:val="007015C2"/>
    <w:rsid w:val="00707C89"/>
    <w:rsid w:val="00713758"/>
    <w:rsid w:val="00717770"/>
    <w:rsid w:val="00766AAA"/>
    <w:rsid w:val="007755AE"/>
    <w:rsid w:val="0077562E"/>
    <w:rsid w:val="007852AA"/>
    <w:rsid w:val="007860BF"/>
    <w:rsid w:val="00786107"/>
    <w:rsid w:val="00797828"/>
    <w:rsid w:val="007B3A62"/>
    <w:rsid w:val="007B6313"/>
    <w:rsid w:val="007C585E"/>
    <w:rsid w:val="007D62C8"/>
    <w:rsid w:val="007E0DB8"/>
    <w:rsid w:val="007F4EF2"/>
    <w:rsid w:val="007F668F"/>
    <w:rsid w:val="00800542"/>
    <w:rsid w:val="0080171E"/>
    <w:rsid w:val="008109E0"/>
    <w:rsid w:val="00810D93"/>
    <w:rsid w:val="00830B8A"/>
    <w:rsid w:val="00846FBB"/>
    <w:rsid w:val="008560BB"/>
    <w:rsid w:val="00866D01"/>
    <w:rsid w:val="008A3F79"/>
    <w:rsid w:val="008B0301"/>
    <w:rsid w:val="009164B9"/>
    <w:rsid w:val="00924F40"/>
    <w:rsid w:val="009358A2"/>
    <w:rsid w:val="00956A1C"/>
    <w:rsid w:val="009734BE"/>
    <w:rsid w:val="00980FF3"/>
    <w:rsid w:val="00981470"/>
    <w:rsid w:val="009A2170"/>
    <w:rsid w:val="009A3E21"/>
    <w:rsid w:val="009A43D7"/>
    <w:rsid w:val="009D0561"/>
    <w:rsid w:val="009D0E90"/>
    <w:rsid w:val="009E500B"/>
    <w:rsid w:val="009E5C09"/>
    <w:rsid w:val="009E5D62"/>
    <w:rsid w:val="00A16B6F"/>
    <w:rsid w:val="00A25253"/>
    <w:rsid w:val="00A27151"/>
    <w:rsid w:val="00A3635F"/>
    <w:rsid w:val="00A46620"/>
    <w:rsid w:val="00A5441F"/>
    <w:rsid w:val="00A8526F"/>
    <w:rsid w:val="00A90C13"/>
    <w:rsid w:val="00A9709F"/>
    <w:rsid w:val="00AA3C92"/>
    <w:rsid w:val="00AA591B"/>
    <w:rsid w:val="00AD30E9"/>
    <w:rsid w:val="00AF1593"/>
    <w:rsid w:val="00B03461"/>
    <w:rsid w:val="00B11753"/>
    <w:rsid w:val="00B452C1"/>
    <w:rsid w:val="00B4719B"/>
    <w:rsid w:val="00B75276"/>
    <w:rsid w:val="00B86E75"/>
    <w:rsid w:val="00B95719"/>
    <w:rsid w:val="00BA544A"/>
    <w:rsid w:val="00BA6DD1"/>
    <w:rsid w:val="00BC0209"/>
    <w:rsid w:val="00BC1F70"/>
    <w:rsid w:val="00BC6EA0"/>
    <w:rsid w:val="00BD4738"/>
    <w:rsid w:val="00BD537B"/>
    <w:rsid w:val="00BE3B29"/>
    <w:rsid w:val="00BF78B2"/>
    <w:rsid w:val="00C022B0"/>
    <w:rsid w:val="00C13471"/>
    <w:rsid w:val="00C16E15"/>
    <w:rsid w:val="00C16F0C"/>
    <w:rsid w:val="00C26D6E"/>
    <w:rsid w:val="00C337BC"/>
    <w:rsid w:val="00C54187"/>
    <w:rsid w:val="00C631C8"/>
    <w:rsid w:val="00C64C07"/>
    <w:rsid w:val="00C71C95"/>
    <w:rsid w:val="00C726FB"/>
    <w:rsid w:val="00CA663C"/>
    <w:rsid w:val="00CB79ED"/>
    <w:rsid w:val="00CD056A"/>
    <w:rsid w:val="00CD434E"/>
    <w:rsid w:val="00CD4CBE"/>
    <w:rsid w:val="00CE228F"/>
    <w:rsid w:val="00CF11EB"/>
    <w:rsid w:val="00D00538"/>
    <w:rsid w:val="00D2380D"/>
    <w:rsid w:val="00D247F1"/>
    <w:rsid w:val="00D26534"/>
    <w:rsid w:val="00D3044D"/>
    <w:rsid w:val="00D366FC"/>
    <w:rsid w:val="00D51F74"/>
    <w:rsid w:val="00D52C6D"/>
    <w:rsid w:val="00D67406"/>
    <w:rsid w:val="00D67637"/>
    <w:rsid w:val="00D71C71"/>
    <w:rsid w:val="00D75A85"/>
    <w:rsid w:val="00D77FCE"/>
    <w:rsid w:val="00D908E5"/>
    <w:rsid w:val="00DC3642"/>
    <w:rsid w:val="00DD58A5"/>
    <w:rsid w:val="00DD7B58"/>
    <w:rsid w:val="00DF63D1"/>
    <w:rsid w:val="00E161B1"/>
    <w:rsid w:val="00E20269"/>
    <w:rsid w:val="00E40645"/>
    <w:rsid w:val="00E4665F"/>
    <w:rsid w:val="00E55518"/>
    <w:rsid w:val="00E80B9B"/>
    <w:rsid w:val="00E94DE2"/>
    <w:rsid w:val="00EA24BF"/>
    <w:rsid w:val="00EB3776"/>
    <w:rsid w:val="00ED6FF0"/>
    <w:rsid w:val="00EE7DCE"/>
    <w:rsid w:val="00EF7C35"/>
    <w:rsid w:val="00F07BD5"/>
    <w:rsid w:val="00F11BC8"/>
    <w:rsid w:val="00F37A7E"/>
    <w:rsid w:val="00F40F0E"/>
    <w:rsid w:val="00F52D4A"/>
    <w:rsid w:val="00F64600"/>
    <w:rsid w:val="00F81CF8"/>
    <w:rsid w:val="00F85524"/>
    <w:rsid w:val="00F86E67"/>
    <w:rsid w:val="00F9033A"/>
    <w:rsid w:val="00F93301"/>
    <w:rsid w:val="00FC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70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aliases w:val="5_G,PP"/>
    <w:basedOn w:val="Normal"/>
    <w:link w:val="FootnoteTextChar"/>
    <w:uiPriority w:val="99"/>
    <w:unhideWhenUsed/>
    <w:rsid w:val="0005054C"/>
    <w:rPr>
      <w:sz w:val="20"/>
      <w:szCs w:val="20"/>
    </w:rPr>
  </w:style>
  <w:style w:type="character" w:customStyle="1" w:styleId="FootnoteTextChar">
    <w:name w:val="Footnote Text Char"/>
    <w:aliases w:val="5_G Char,PP Char"/>
    <w:link w:val="FootnoteText"/>
    <w:uiPriority w:val="99"/>
    <w:rsid w:val="0005054C"/>
    <w:rPr>
      <w:lang w:eastAsia="ja-JP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unhideWhenUsed/>
    <w:rsid w:val="000505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0B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EA24B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2334F2"/>
    <w:rPr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9A3E21"/>
    <w:rPr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DF63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63D1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6D01"/>
    <w:rPr>
      <w:lang w:val="en-US" w:eastAsia="ja-JP"/>
    </w:rPr>
  </w:style>
  <w:style w:type="character" w:styleId="CommentReference">
    <w:name w:val="annotation reference"/>
    <w:uiPriority w:val="99"/>
    <w:rsid w:val="00866D01"/>
    <w:rPr>
      <w:sz w:val="16"/>
      <w:szCs w:val="16"/>
    </w:rPr>
  </w:style>
  <w:style w:type="character" w:customStyle="1" w:styleId="HChGChar">
    <w:name w:val="_ H _Ch_G Char"/>
    <w:link w:val="HChG"/>
    <w:uiPriority w:val="99"/>
    <w:locked/>
    <w:rsid w:val="00064114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11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277A9C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277A9C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EE7DC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Cs w:val="20"/>
      <w:lang w:val="en-GB" w:eastAsia="en-US"/>
    </w:rPr>
  </w:style>
  <w:style w:type="paragraph" w:customStyle="1" w:styleId="En-tte">
    <w:name w:val="En-tête"/>
    <w:basedOn w:val="Normal"/>
    <w:rsid w:val="002949A0"/>
    <w:pPr>
      <w:tabs>
        <w:tab w:val="center" w:pos="4677"/>
        <w:tab w:val="right" w:pos="9355"/>
      </w:tabs>
      <w:suppressAutoHyphens/>
    </w:pPr>
    <w:rPr>
      <w:rFonts w:eastAsia="Times New Roman"/>
      <w:color w:val="00000A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70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aliases w:val="5_G,PP"/>
    <w:basedOn w:val="Normal"/>
    <w:link w:val="FootnoteTextChar"/>
    <w:uiPriority w:val="99"/>
    <w:unhideWhenUsed/>
    <w:rsid w:val="0005054C"/>
    <w:rPr>
      <w:sz w:val="20"/>
      <w:szCs w:val="20"/>
    </w:rPr>
  </w:style>
  <w:style w:type="character" w:customStyle="1" w:styleId="FootnoteTextChar">
    <w:name w:val="Footnote Text Char"/>
    <w:aliases w:val="5_G Char,PP Char"/>
    <w:link w:val="FootnoteText"/>
    <w:uiPriority w:val="99"/>
    <w:rsid w:val="0005054C"/>
    <w:rPr>
      <w:lang w:eastAsia="ja-JP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unhideWhenUsed/>
    <w:rsid w:val="000505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0B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EA24B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2334F2"/>
    <w:rPr>
      <w:sz w:val="24"/>
      <w:szCs w:val="24"/>
      <w:lang w:eastAsia="ja-JP"/>
    </w:rPr>
  </w:style>
  <w:style w:type="character" w:customStyle="1" w:styleId="FooterChar">
    <w:name w:val="Footer Char"/>
    <w:link w:val="Footer"/>
    <w:uiPriority w:val="99"/>
    <w:rsid w:val="009A3E21"/>
    <w:rPr>
      <w:sz w:val="24"/>
      <w:szCs w:val="24"/>
      <w:lang w:val="en-US" w:eastAsia="ja-JP"/>
    </w:rPr>
  </w:style>
  <w:style w:type="character" w:styleId="Hyperlink">
    <w:name w:val="Hyperlink"/>
    <w:uiPriority w:val="99"/>
    <w:unhideWhenUsed/>
    <w:rsid w:val="00DF63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63D1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6D01"/>
    <w:rPr>
      <w:lang w:val="en-US" w:eastAsia="ja-JP"/>
    </w:rPr>
  </w:style>
  <w:style w:type="character" w:styleId="CommentReference">
    <w:name w:val="annotation reference"/>
    <w:uiPriority w:val="99"/>
    <w:rsid w:val="00866D01"/>
    <w:rPr>
      <w:sz w:val="16"/>
      <w:szCs w:val="16"/>
    </w:rPr>
  </w:style>
  <w:style w:type="character" w:customStyle="1" w:styleId="HChGChar">
    <w:name w:val="_ H _Ch_G Char"/>
    <w:link w:val="HChG"/>
    <w:uiPriority w:val="99"/>
    <w:locked/>
    <w:rsid w:val="00064114"/>
    <w:rPr>
      <w:b/>
      <w:sz w:val="28"/>
      <w:lang w:eastAsia="en-US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11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277A9C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277A9C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EE7DC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Cs w:val="20"/>
      <w:lang w:val="en-GB" w:eastAsia="en-US"/>
    </w:rPr>
  </w:style>
  <w:style w:type="paragraph" w:customStyle="1" w:styleId="En-tte">
    <w:name w:val="En-tête"/>
    <w:basedOn w:val="Normal"/>
    <w:rsid w:val="002949A0"/>
    <w:pPr>
      <w:tabs>
        <w:tab w:val="center" w:pos="4677"/>
        <w:tab w:val="right" w:pos="9355"/>
      </w:tabs>
      <w:suppressAutoHyphens/>
    </w:pPr>
    <w:rPr>
      <w:rFonts w:eastAsia="Times New Roman"/>
      <w:color w:val="00000A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B426-F240-4CB9-BB32-CE396FBC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1200</Characters>
  <Application>Microsoft Office Word</Application>
  <DocSecurity>0</DocSecurity>
  <Lines>10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>GRSG-107-02</vt:lpstr>
      <vt:lpstr>GRSG-107-02</vt:lpstr>
      <vt:lpstr>GRSG-107-02</vt:lpstr>
      <vt:lpstr>GRSG-107-02</vt:lpstr>
    </vt:vector>
  </TitlesOfParts>
  <Company>Clepa</Company>
  <LinksUpToDate>false</LinksUpToDate>
  <CharactersWithSpaces>1386</CharactersWithSpaces>
  <SharedDoc>false</SharedDoc>
  <HLinks>
    <vt:vector size="6" baseType="variant"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http://www.unece.org/trans/main/wp29/wp29wgs/wp29gen/acronyms_definitions.html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GRSG-107-02</dc:title>
  <dc:creator>GRSG</dc:creator>
  <cp:lastModifiedBy>Hubert Romain</cp:lastModifiedBy>
  <cp:revision>4</cp:revision>
  <cp:lastPrinted>2018-04-05T09:33:00Z</cp:lastPrinted>
  <dcterms:created xsi:type="dcterms:W3CDTF">2018-04-05T09:33:00Z</dcterms:created>
  <dcterms:modified xsi:type="dcterms:W3CDTF">2018-04-05T09:34:00Z</dcterms:modified>
</cp:coreProperties>
</file>