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395"/>
        <w:gridCol w:w="5528"/>
      </w:tblGrid>
      <w:tr w:rsidR="005F35B5" w:rsidRPr="00B8365C" w:rsidTr="00FA0ABD">
        <w:tc>
          <w:tcPr>
            <w:tcW w:w="4395" w:type="dxa"/>
            <w:vAlign w:val="center"/>
          </w:tcPr>
          <w:p w:rsidR="005F35B5" w:rsidRPr="00B8365C" w:rsidRDefault="00AE5D9E" w:rsidP="00CF0259">
            <w:pPr>
              <w:pStyle w:val="Header"/>
              <w:rPr>
                <w:lang w:val="en-TT"/>
              </w:rPr>
            </w:pPr>
            <w:r>
              <w:rPr>
                <w:lang w:val="en-US"/>
              </w:rPr>
              <w:t>T</w:t>
            </w:r>
            <w:r w:rsidRPr="00AF1B33">
              <w:rPr>
                <w:lang w:val="en-US"/>
              </w:rPr>
              <w:t xml:space="preserve">ransmitted by the </w:t>
            </w:r>
            <w:r>
              <w:rPr>
                <w:lang w:val="en-US"/>
              </w:rPr>
              <w:t xml:space="preserve">expert </w:t>
            </w:r>
            <w:r w:rsidRPr="00BA5CCB">
              <w:rPr>
                <w:lang w:val="en-US"/>
              </w:rPr>
              <w:t xml:space="preserve">from </w:t>
            </w:r>
            <w:r w:rsidR="007909D3">
              <w:rPr>
                <w:lang w:val="en-US"/>
              </w:rPr>
              <w:t>OICA</w:t>
            </w:r>
          </w:p>
        </w:tc>
        <w:tc>
          <w:tcPr>
            <w:tcW w:w="5528" w:type="dxa"/>
          </w:tcPr>
          <w:p w:rsidR="005F35B5" w:rsidRPr="00B8365C" w:rsidRDefault="005F35B5" w:rsidP="00791FFE">
            <w:pPr>
              <w:ind w:left="884"/>
              <w:rPr>
                <w:b/>
                <w:bCs/>
                <w:color w:val="000000"/>
                <w:sz w:val="32"/>
                <w:lang w:val="en-TT"/>
              </w:rPr>
            </w:pPr>
            <w:r w:rsidRPr="00B8365C">
              <w:rPr>
                <w:u w:val="single"/>
                <w:lang w:val="en-TT"/>
              </w:rPr>
              <w:t>Informal document No</w:t>
            </w:r>
            <w:r w:rsidRPr="00B8365C">
              <w:rPr>
                <w:lang w:val="en-TT"/>
              </w:rPr>
              <w:t xml:space="preserve">. </w:t>
            </w:r>
            <w:r w:rsidRPr="00AC0278">
              <w:rPr>
                <w:b/>
                <w:bCs/>
                <w:lang w:val="en-TT"/>
              </w:rPr>
              <w:t>GRSG-</w:t>
            </w:r>
            <w:r w:rsidR="00FA0ABD" w:rsidRPr="00AC0278">
              <w:rPr>
                <w:b/>
                <w:bCs/>
                <w:lang w:val="en-TT"/>
              </w:rPr>
              <w:t>114</w:t>
            </w:r>
            <w:r w:rsidR="00D9477C" w:rsidRPr="00AC0278">
              <w:rPr>
                <w:b/>
                <w:bCs/>
                <w:color w:val="000000"/>
                <w:lang w:val="en-TT"/>
              </w:rPr>
              <w:t>-</w:t>
            </w:r>
            <w:r w:rsidR="00AC0278">
              <w:rPr>
                <w:b/>
                <w:bCs/>
                <w:color w:val="000000"/>
                <w:lang w:val="en-TT"/>
              </w:rPr>
              <w:t>31</w:t>
            </w:r>
          </w:p>
          <w:p w:rsidR="005F35B5" w:rsidRPr="00B8365C" w:rsidRDefault="005F35B5" w:rsidP="00791FFE">
            <w:pPr>
              <w:pStyle w:val="Header"/>
              <w:ind w:left="884"/>
              <w:rPr>
                <w:lang w:val="en-TT"/>
              </w:rPr>
            </w:pPr>
            <w:r w:rsidRPr="00B8365C">
              <w:rPr>
                <w:lang w:val="en-TT"/>
              </w:rPr>
              <w:t>(</w:t>
            </w:r>
            <w:r w:rsidR="00FA0ABD">
              <w:rPr>
                <w:lang w:val="en-TT"/>
              </w:rPr>
              <w:t>114</w:t>
            </w:r>
            <w:r w:rsidRPr="00B8365C">
              <w:rPr>
                <w:vertAlign w:val="superscript"/>
                <w:lang w:val="en-TT"/>
              </w:rPr>
              <w:t>th</w:t>
            </w:r>
            <w:r w:rsidRPr="00B8365C">
              <w:rPr>
                <w:lang w:val="en-TT"/>
              </w:rPr>
              <w:t xml:space="preserve"> GRSG, </w:t>
            </w:r>
            <w:r w:rsidR="00AE5D9E">
              <w:rPr>
                <w:lang w:val="en-TT"/>
              </w:rPr>
              <w:t>3</w:t>
            </w:r>
            <w:r w:rsidRPr="00B8365C">
              <w:rPr>
                <w:lang w:val="en-TT"/>
              </w:rPr>
              <w:t>-</w:t>
            </w:r>
            <w:r w:rsidR="00FA0ABD" w:rsidRPr="001E28B5">
              <w:rPr>
                <w:lang w:val="en-TT"/>
              </w:rPr>
              <w:t>09-13 April 2018</w:t>
            </w:r>
          </w:p>
          <w:p w:rsidR="005F35B5" w:rsidRPr="00B8365C" w:rsidRDefault="005F35B5" w:rsidP="00FA0ABD">
            <w:pPr>
              <w:pStyle w:val="Header"/>
              <w:ind w:left="884"/>
              <w:rPr>
                <w:lang w:val="en-TT"/>
              </w:rPr>
            </w:pPr>
            <w:r w:rsidRPr="00B8365C">
              <w:rPr>
                <w:lang w:val="en-TT"/>
              </w:rPr>
              <w:t xml:space="preserve">agenda item </w:t>
            </w:r>
            <w:r w:rsidR="00FA0ABD">
              <w:rPr>
                <w:lang w:val="en-TT"/>
              </w:rPr>
              <w:t>13</w:t>
            </w:r>
            <w:r w:rsidR="00AC0278">
              <w:rPr>
                <w:lang w:val="en-TT"/>
              </w:rPr>
              <w:t>.(b)</w:t>
            </w:r>
            <w:r w:rsidR="00E44978">
              <w:rPr>
                <w:lang w:val="en-TT"/>
              </w:rPr>
              <w:t>)</w:t>
            </w:r>
          </w:p>
        </w:tc>
      </w:tr>
    </w:tbl>
    <w:p w:rsidR="00053FEA" w:rsidRPr="00B8365C" w:rsidRDefault="00053FEA" w:rsidP="007909D3">
      <w:pPr>
        <w:rPr>
          <w:lang w:val="en-TT"/>
        </w:rPr>
      </w:pPr>
    </w:p>
    <w:p w:rsidR="00FA0ABD" w:rsidRDefault="00FA0ABD" w:rsidP="00FA0ABD">
      <w:pPr>
        <w:pStyle w:val="HChG"/>
        <w:tabs>
          <w:tab w:val="left" w:pos="708"/>
          <w:tab w:val="left" w:pos="9072"/>
          <w:tab w:val="left" w:pos="9637"/>
        </w:tabs>
        <w:spacing w:before="0" w:after="0" w:line="240" w:lineRule="auto"/>
        <w:ind w:left="0" w:right="-2" w:firstLine="0"/>
        <w:rPr>
          <w:sz w:val="26"/>
          <w:szCs w:val="26"/>
        </w:rPr>
      </w:pPr>
      <w:r>
        <w:rPr>
          <w:sz w:val="26"/>
          <w:szCs w:val="26"/>
        </w:rPr>
        <w:t xml:space="preserve">Proposal for Supplement 1 to 06 series of amendment of UN Regulation No. 105 </w:t>
      </w:r>
    </w:p>
    <w:p w:rsidR="00FA0ABD" w:rsidRPr="00AC0278" w:rsidRDefault="00FA0ABD" w:rsidP="00FA0ABD">
      <w:pPr>
        <w:tabs>
          <w:tab w:val="left" w:pos="1980"/>
        </w:tabs>
        <w:spacing w:line="240" w:lineRule="atLeast"/>
        <w:jc w:val="both"/>
        <w:rPr>
          <w:color w:val="000000"/>
          <w:u w:val="single"/>
          <w:lang w:val="en-GB" w:eastAsia="ja-JP"/>
        </w:rPr>
      </w:pPr>
    </w:p>
    <w:p w:rsidR="00FA0ABD" w:rsidRPr="001934A4" w:rsidRDefault="00FA0ABD" w:rsidP="00FA0ABD">
      <w:pPr>
        <w:ind w:right="-2"/>
        <w:jc w:val="both"/>
        <w:rPr>
          <w:lang w:val="en-GB"/>
        </w:rPr>
      </w:pPr>
      <w:r w:rsidRPr="001934A4">
        <w:rPr>
          <w:lang w:val="en-GB"/>
        </w:rPr>
        <w:t>The text reproduced below was prepared by the expert from the International Organization of Motor Vehicle Manufacturers (OICA) to align the text of the UN Regulation with that adopted by the Working Party on the Transport of Dangerous Goods (WP.15) on the European Agreement concerning the International Carriage of Dangerous Goods by Road (ADR), edition 201</w:t>
      </w:r>
      <w:r w:rsidRPr="00FA0ABD">
        <w:rPr>
          <w:lang w:val="en-US"/>
        </w:rPr>
        <w:t>9</w:t>
      </w:r>
      <w:r w:rsidRPr="001934A4">
        <w:rPr>
          <w:lang w:val="en-GB"/>
        </w:rPr>
        <w:t>. The modifications to the current text of UN Regulation No. 105 are marked in bold for new or strikethrough for deleted characters</w:t>
      </w:r>
      <w:r w:rsidRPr="00972ECE">
        <w:rPr>
          <w:lang w:val="en-US"/>
        </w:rPr>
        <w:t>.</w:t>
      </w:r>
    </w:p>
    <w:p w:rsidR="00FA0ABD" w:rsidRPr="001934A4" w:rsidRDefault="00FA0ABD" w:rsidP="00FA0ABD">
      <w:pPr>
        <w:tabs>
          <w:tab w:val="left" w:pos="1980"/>
        </w:tabs>
        <w:spacing w:line="240" w:lineRule="atLeast"/>
        <w:jc w:val="both"/>
        <w:rPr>
          <w:lang w:val="en-GB"/>
        </w:rPr>
      </w:pPr>
    </w:p>
    <w:p w:rsidR="004E6BC5" w:rsidRDefault="00FA0ABD" w:rsidP="00FA0ABD">
      <w:pPr>
        <w:tabs>
          <w:tab w:val="left" w:pos="709"/>
          <w:tab w:val="left" w:pos="2655"/>
        </w:tabs>
        <w:spacing w:line="240" w:lineRule="atLeast"/>
        <w:jc w:val="both"/>
        <w:rPr>
          <w:b/>
          <w:sz w:val="28"/>
          <w:szCs w:val="28"/>
          <w:lang w:val="en-US"/>
        </w:rPr>
      </w:pPr>
      <w:r>
        <w:rPr>
          <w:b/>
          <w:sz w:val="28"/>
          <w:szCs w:val="28"/>
          <w:lang w:val="en-US"/>
        </w:rPr>
        <w:t xml:space="preserve">A. </w:t>
      </w:r>
      <w:r>
        <w:rPr>
          <w:b/>
          <w:sz w:val="28"/>
          <w:szCs w:val="28"/>
          <w:lang w:val="en-US"/>
        </w:rPr>
        <w:tab/>
      </w:r>
      <w:r w:rsidR="007909D3" w:rsidRPr="007909D3">
        <w:rPr>
          <w:b/>
          <w:sz w:val="28"/>
          <w:szCs w:val="28"/>
          <w:lang w:val="en-US"/>
        </w:rPr>
        <w:t>Proposal</w:t>
      </w:r>
    </w:p>
    <w:p w:rsidR="00182DA2" w:rsidRDefault="00182DA2" w:rsidP="00FA0ABD">
      <w:pPr>
        <w:tabs>
          <w:tab w:val="left" w:pos="709"/>
          <w:tab w:val="left" w:pos="2655"/>
        </w:tabs>
        <w:spacing w:line="240" w:lineRule="atLeast"/>
        <w:jc w:val="both"/>
        <w:rPr>
          <w:b/>
          <w:sz w:val="28"/>
          <w:szCs w:val="28"/>
          <w:lang w:val="en-US"/>
        </w:rPr>
      </w:pPr>
    </w:p>
    <w:p w:rsidR="00AC0278" w:rsidRDefault="00AC0278" w:rsidP="00182DA2">
      <w:pPr>
        <w:spacing w:after="120"/>
        <w:ind w:right="299"/>
        <w:jc w:val="both"/>
        <w:rPr>
          <w:lang w:val="en-US"/>
        </w:rPr>
      </w:pPr>
      <w:r>
        <w:rPr>
          <w:lang w:val="en-US"/>
        </w:rPr>
        <w:t>Paragraph 5.1.1.2.1., amend to read:</w:t>
      </w:r>
    </w:p>
    <w:p w:rsidR="00182DA2" w:rsidRPr="00345AFB" w:rsidRDefault="00AC0278" w:rsidP="00182DA2">
      <w:pPr>
        <w:spacing w:after="120"/>
        <w:ind w:right="299"/>
        <w:jc w:val="both"/>
        <w:rPr>
          <w:lang w:val="en-US"/>
        </w:rPr>
      </w:pPr>
      <w:r>
        <w:rPr>
          <w:lang w:val="en-US"/>
        </w:rPr>
        <w:t>"</w:t>
      </w:r>
      <w:r w:rsidR="00182DA2" w:rsidRPr="00345AFB">
        <w:rPr>
          <w:lang w:val="en-US"/>
        </w:rPr>
        <w:t>5.1.1.2.1.</w:t>
      </w:r>
      <w:r w:rsidR="00182DA2" w:rsidRPr="00345AFB">
        <w:rPr>
          <w:lang w:val="en-US"/>
        </w:rPr>
        <w:tab/>
        <w:t>Cables</w:t>
      </w:r>
    </w:p>
    <w:p w:rsidR="00182DA2" w:rsidRPr="001934A4" w:rsidRDefault="00182DA2" w:rsidP="00AC0278">
      <w:pPr>
        <w:suppressAutoHyphens w:val="0"/>
        <w:autoSpaceDE w:val="0"/>
        <w:autoSpaceDN w:val="0"/>
        <w:adjustRightInd w:val="0"/>
        <w:spacing w:after="120"/>
        <w:ind w:left="1418" w:right="-2"/>
        <w:jc w:val="both"/>
        <w:rPr>
          <w:lang w:val="en-GB" w:eastAsia="en-GB"/>
        </w:rPr>
      </w:pPr>
      <w:r w:rsidRPr="00AC0278">
        <w:rPr>
          <w:lang w:val="en-GB" w:eastAsia="en-GB"/>
        </w:rPr>
        <w:t xml:space="preserve">No cable in an electrical circuit shall carry a current in excess of that for which the </w:t>
      </w:r>
      <w:r w:rsidRPr="001934A4">
        <w:rPr>
          <w:lang w:val="en-GB" w:eastAsia="en-GB"/>
        </w:rPr>
        <w:t>cable is designed. Conductors shall be adequately insulated.</w:t>
      </w:r>
    </w:p>
    <w:p w:rsidR="00182DA2" w:rsidRPr="001934A4" w:rsidRDefault="00182DA2" w:rsidP="00AC0278">
      <w:pPr>
        <w:suppressAutoHyphens w:val="0"/>
        <w:autoSpaceDE w:val="0"/>
        <w:autoSpaceDN w:val="0"/>
        <w:adjustRightInd w:val="0"/>
        <w:spacing w:after="120"/>
        <w:ind w:left="1418" w:right="-2"/>
        <w:jc w:val="both"/>
        <w:rPr>
          <w:lang w:val="en-GB" w:eastAsia="en-GB"/>
        </w:rPr>
      </w:pPr>
      <w:r w:rsidRPr="001934A4">
        <w:rPr>
          <w:lang w:val="en-GB" w:eastAsia="en-GB"/>
        </w:rPr>
        <w:t xml:space="preserve">The cables shall be suitable for the conditions in the area of the vehicle, such as temperature range and fluid compatibility conditions as </w:t>
      </w:r>
      <w:r w:rsidRPr="001934A4">
        <w:rPr>
          <w:strike/>
          <w:lang w:val="en-GB" w:eastAsia="en-GB"/>
        </w:rPr>
        <w:t xml:space="preserve">given in ISO 16750-4:2010 and ISO 16750-5:2010, </w:t>
      </w:r>
      <w:r w:rsidRPr="001934A4">
        <w:rPr>
          <w:lang w:val="en-GB" w:eastAsia="en-GB"/>
        </w:rPr>
        <w:t>they are intended to be used.</w:t>
      </w:r>
    </w:p>
    <w:p w:rsidR="00182DA2" w:rsidRPr="001934A4" w:rsidRDefault="00182DA2" w:rsidP="00AC0278">
      <w:pPr>
        <w:suppressAutoHyphens w:val="0"/>
        <w:autoSpaceDE w:val="0"/>
        <w:autoSpaceDN w:val="0"/>
        <w:adjustRightInd w:val="0"/>
        <w:spacing w:after="120"/>
        <w:ind w:left="1418" w:right="-2"/>
        <w:jc w:val="both"/>
        <w:rPr>
          <w:lang w:val="en-GB" w:eastAsia="en-GB"/>
        </w:rPr>
      </w:pPr>
      <w:r w:rsidRPr="001934A4">
        <w:rPr>
          <w:lang w:val="en-GB" w:eastAsia="en-GB"/>
        </w:rPr>
        <w:t>The cables shall be in conformity with standard ISO 6722-1:2011 including its Corr. 01:2012 or ISO 6722-2:2013.</w:t>
      </w:r>
    </w:p>
    <w:p w:rsidR="00FA0ABD" w:rsidRPr="00AC0278" w:rsidRDefault="00182DA2" w:rsidP="00AC0278">
      <w:pPr>
        <w:suppressAutoHyphens w:val="0"/>
        <w:autoSpaceDE w:val="0"/>
        <w:autoSpaceDN w:val="0"/>
        <w:adjustRightInd w:val="0"/>
        <w:spacing w:after="120"/>
        <w:ind w:left="1418" w:right="-2"/>
        <w:jc w:val="both"/>
        <w:rPr>
          <w:lang w:val="en-GB" w:eastAsia="en-GB"/>
        </w:rPr>
      </w:pPr>
      <w:r w:rsidRPr="00AC0278">
        <w:rPr>
          <w:lang w:val="en-GB" w:eastAsia="en-GB"/>
        </w:rPr>
        <w:t>Cables shall be securely fastened and positioned to be protected against mechanical and thermal stresses.</w:t>
      </w:r>
      <w:r w:rsidR="00AC0278">
        <w:rPr>
          <w:lang w:val="en-GB" w:eastAsia="en-GB"/>
        </w:rPr>
        <w:t>"</w:t>
      </w:r>
    </w:p>
    <w:p w:rsidR="00AC0278" w:rsidRDefault="00AC0278" w:rsidP="00182DA2">
      <w:pPr>
        <w:tabs>
          <w:tab w:val="left" w:pos="1309"/>
        </w:tabs>
        <w:spacing w:line="240" w:lineRule="atLeast"/>
        <w:ind w:right="299"/>
        <w:jc w:val="both"/>
        <w:rPr>
          <w:lang w:val="sv-SE"/>
        </w:rPr>
      </w:pPr>
    </w:p>
    <w:p w:rsidR="00FA0ABD" w:rsidRPr="001E28B5" w:rsidRDefault="00AC0278" w:rsidP="00182DA2">
      <w:pPr>
        <w:tabs>
          <w:tab w:val="left" w:pos="1309"/>
        </w:tabs>
        <w:spacing w:line="240" w:lineRule="atLeast"/>
        <w:ind w:right="299"/>
        <w:jc w:val="both"/>
        <w:rPr>
          <w:lang w:val="sv-SE"/>
        </w:rPr>
      </w:pPr>
      <w:r w:rsidRPr="00AC0278">
        <w:rPr>
          <w:lang w:val="sv-SE"/>
        </w:rPr>
        <w:t>Paragraph 5.1.1.</w:t>
      </w:r>
      <w:r w:rsidR="001934A4">
        <w:rPr>
          <w:lang w:val="sv-SE"/>
        </w:rPr>
        <w:t>9</w:t>
      </w:r>
      <w:bookmarkStart w:id="0" w:name="_GoBack"/>
      <w:bookmarkEnd w:id="0"/>
      <w:r w:rsidRPr="00AC0278">
        <w:rPr>
          <w:lang w:val="sv-SE"/>
        </w:rPr>
        <w:t>.1., amend to read:</w:t>
      </w:r>
    </w:p>
    <w:p w:rsidR="001E28B5" w:rsidRDefault="00AC0278" w:rsidP="00AC0278">
      <w:pPr>
        <w:tabs>
          <w:tab w:val="left" w:pos="1418"/>
          <w:tab w:val="left" w:pos="1985"/>
          <w:tab w:val="left" w:pos="2835"/>
        </w:tabs>
        <w:spacing w:after="120"/>
        <w:ind w:left="1985" w:right="-2" w:hanging="1985"/>
        <w:jc w:val="both"/>
        <w:rPr>
          <w:lang w:val="en-US"/>
        </w:rPr>
      </w:pPr>
      <w:r>
        <w:rPr>
          <w:lang w:val="en-US"/>
        </w:rPr>
        <w:t>"</w:t>
      </w:r>
      <w:r w:rsidR="00182DA2" w:rsidRPr="00345AFB">
        <w:rPr>
          <w:lang w:val="en-US"/>
        </w:rPr>
        <w:t>5.1.1.9.1.</w:t>
      </w:r>
      <w:r>
        <w:rPr>
          <w:lang w:val="en-US"/>
        </w:rPr>
        <w:tab/>
      </w:r>
      <w:r w:rsidR="00182DA2" w:rsidRPr="00345AFB">
        <w:rPr>
          <w:lang w:val="en-US"/>
        </w:rPr>
        <w:t>(a)</w:t>
      </w:r>
      <w:r>
        <w:rPr>
          <w:lang w:val="en-US"/>
        </w:rPr>
        <w:tab/>
      </w:r>
      <w:r w:rsidR="00182DA2" w:rsidRPr="00345AFB">
        <w:rPr>
          <w:lang w:val="en-US"/>
        </w:rPr>
        <w:t xml:space="preserve">Those parts of the electrical installation, including the leads which shall remain energized when the battery master switch is open, shall be suitable for use in hazardous areas. </w:t>
      </w:r>
    </w:p>
    <w:p w:rsidR="00182DA2" w:rsidRPr="00345AFB" w:rsidRDefault="00182DA2" w:rsidP="00AC0278">
      <w:pPr>
        <w:tabs>
          <w:tab w:val="left" w:pos="1134"/>
          <w:tab w:val="left" w:pos="2268"/>
          <w:tab w:val="left" w:pos="2835"/>
        </w:tabs>
        <w:spacing w:after="120"/>
        <w:ind w:left="1985" w:right="-2"/>
        <w:jc w:val="both"/>
        <w:rPr>
          <w:strike/>
          <w:lang w:val="en-US"/>
        </w:rPr>
      </w:pPr>
      <w:r w:rsidRPr="00345AFB">
        <w:rPr>
          <w:lang w:val="en-US"/>
        </w:rPr>
        <w:t>Such equipment shall meet the general requirements of IEC 60079</w:t>
      </w:r>
      <w:r w:rsidRPr="00345AFB">
        <w:rPr>
          <w:vertAlign w:val="superscript"/>
          <w:lang w:val="en-US"/>
        </w:rPr>
        <w:t>4</w:t>
      </w:r>
      <w:r w:rsidRPr="00345AFB">
        <w:rPr>
          <w:lang w:val="en-US"/>
        </w:rPr>
        <w:t>, parts 0 and 14 and the additional requirements applicable from IEC 60079, parts 1, 2, 5, 6, 7, 11, 15</w:t>
      </w:r>
      <w:r w:rsidR="001E28B5" w:rsidRPr="001E28B5">
        <w:rPr>
          <w:b/>
          <w:lang w:val="en-US"/>
        </w:rPr>
        <w:t>,</w:t>
      </w:r>
      <w:r w:rsidRPr="00345AFB">
        <w:rPr>
          <w:lang w:val="en-US"/>
        </w:rPr>
        <w:t xml:space="preserve"> </w:t>
      </w:r>
      <w:r w:rsidRPr="001E28B5">
        <w:rPr>
          <w:strike/>
          <w:lang w:val="en-US"/>
        </w:rPr>
        <w:t xml:space="preserve">or </w:t>
      </w:r>
      <w:r w:rsidRPr="00345AFB">
        <w:rPr>
          <w:lang w:val="en-US"/>
        </w:rPr>
        <w:t>18</w:t>
      </w:r>
      <w:r w:rsidR="001E28B5" w:rsidRPr="001E28B5">
        <w:rPr>
          <w:b/>
          <w:lang w:val="en-US"/>
        </w:rPr>
        <w:t>,</w:t>
      </w:r>
      <w:r w:rsidR="001E28B5">
        <w:rPr>
          <w:lang w:val="en-US"/>
        </w:rPr>
        <w:t xml:space="preserve"> </w:t>
      </w:r>
      <w:r w:rsidR="001E28B5" w:rsidRPr="00AC0278">
        <w:rPr>
          <w:b/>
          <w:lang w:val="en-GB"/>
        </w:rPr>
        <w:t>26 or 28</w:t>
      </w:r>
      <w:r w:rsidRPr="00345AFB">
        <w:rPr>
          <w:lang w:val="en-US"/>
        </w:rPr>
        <w:t>.</w:t>
      </w:r>
      <w:r w:rsidR="00AC0278">
        <w:rPr>
          <w:lang w:val="en-US"/>
        </w:rPr>
        <w:t>"</w:t>
      </w:r>
    </w:p>
    <w:p w:rsidR="00FD34E3" w:rsidRPr="00FD34E3" w:rsidRDefault="00FD34E3" w:rsidP="00F162EB">
      <w:pPr>
        <w:autoSpaceDE w:val="0"/>
        <w:autoSpaceDN w:val="0"/>
        <w:adjustRightInd w:val="0"/>
        <w:spacing w:line="240" w:lineRule="atLeast"/>
        <w:jc w:val="both"/>
        <w:rPr>
          <w:sz w:val="20"/>
          <w:szCs w:val="20"/>
          <w:lang w:val="en-US" w:eastAsia="ja-JP"/>
        </w:rPr>
      </w:pPr>
    </w:p>
    <w:p w:rsidR="004E6BC5" w:rsidRPr="00081EE9" w:rsidRDefault="004E6BC5" w:rsidP="00F162EB">
      <w:pPr>
        <w:tabs>
          <w:tab w:val="left" w:pos="709"/>
        </w:tabs>
        <w:autoSpaceDE w:val="0"/>
        <w:autoSpaceDN w:val="0"/>
        <w:adjustRightInd w:val="0"/>
        <w:spacing w:line="240" w:lineRule="atLeast"/>
        <w:ind w:firstLine="1"/>
        <w:jc w:val="both"/>
        <w:rPr>
          <w:b/>
          <w:i/>
          <w:lang w:val="en-US"/>
        </w:rPr>
      </w:pPr>
      <w:r w:rsidRPr="007909D3">
        <w:rPr>
          <w:b/>
          <w:sz w:val="28"/>
          <w:szCs w:val="28"/>
          <w:lang w:val="en-US"/>
        </w:rPr>
        <w:t>B.</w:t>
      </w:r>
      <w:r w:rsidRPr="007909D3">
        <w:rPr>
          <w:b/>
          <w:sz w:val="28"/>
          <w:szCs w:val="28"/>
          <w:lang w:val="en-US"/>
        </w:rPr>
        <w:tab/>
      </w:r>
      <w:r w:rsidR="007909D3" w:rsidRPr="007909D3">
        <w:rPr>
          <w:b/>
          <w:sz w:val="28"/>
          <w:szCs w:val="28"/>
          <w:lang w:val="en-US"/>
        </w:rPr>
        <w:t>Justification</w:t>
      </w:r>
      <w:r w:rsidR="00081EE9">
        <w:rPr>
          <w:b/>
          <w:sz w:val="28"/>
          <w:szCs w:val="28"/>
          <w:lang w:val="en-US"/>
        </w:rPr>
        <w:t xml:space="preserve"> </w:t>
      </w:r>
    </w:p>
    <w:p w:rsidR="00FA0ABD" w:rsidRDefault="00FA0ABD" w:rsidP="00F162EB">
      <w:pPr>
        <w:tabs>
          <w:tab w:val="left" w:pos="1309"/>
        </w:tabs>
        <w:spacing w:line="240" w:lineRule="atLeast"/>
        <w:jc w:val="both"/>
        <w:rPr>
          <w:lang w:val="en-US" w:eastAsia="ja-JP"/>
        </w:rPr>
      </w:pPr>
    </w:p>
    <w:p w:rsidR="001E28B5" w:rsidRDefault="00FA0ABD" w:rsidP="001637F7">
      <w:pPr>
        <w:pStyle w:val="SingleTxtG"/>
        <w:ind w:left="0" w:right="-2"/>
        <w:rPr>
          <w:rFonts w:eastAsia="Times New Roman"/>
          <w:sz w:val="24"/>
          <w:szCs w:val="24"/>
          <w:lang w:val="en-US" w:eastAsia="ar-SA"/>
        </w:rPr>
      </w:pPr>
      <w:r w:rsidRPr="001E28B5">
        <w:rPr>
          <w:rFonts w:eastAsia="Times New Roman"/>
          <w:sz w:val="24"/>
          <w:szCs w:val="24"/>
          <w:lang w:val="en-US" w:eastAsia="ar-SA"/>
        </w:rPr>
        <w:t>UN Regulation No.</w:t>
      </w:r>
      <w:r w:rsidR="00AC0278">
        <w:rPr>
          <w:rFonts w:eastAsia="Times New Roman"/>
          <w:sz w:val="24"/>
          <w:szCs w:val="24"/>
          <w:lang w:val="en-US" w:eastAsia="ar-SA"/>
        </w:rPr>
        <w:t xml:space="preserve"> </w:t>
      </w:r>
      <w:r w:rsidRPr="001E28B5">
        <w:rPr>
          <w:rFonts w:eastAsia="Times New Roman"/>
          <w:sz w:val="24"/>
          <w:szCs w:val="24"/>
          <w:lang w:val="en-US" w:eastAsia="ar-SA"/>
        </w:rPr>
        <w:t>105 needs to be updated in accordance with the amendments agreed on by WP.15 for the ADR 2019 edition</w:t>
      </w:r>
      <w:r w:rsidR="001637F7" w:rsidRPr="001E28B5">
        <w:rPr>
          <w:rFonts w:eastAsia="Times New Roman"/>
          <w:sz w:val="24"/>
          <w:szCs w:val="24"/>
          <w:lang w:val="en-US" w:eastAsia="ar-SA"/>
        </w:rPr>
        <w:t xml:space="preserve">. </w:t>
      </w:r>
    </w:p>
    <w:p w:rsidR="001637F7" w:rsidRPr="001E28B5" w:rsidRDefault="001637F7" w:rsidP="001637F7">
      <w:pPr>
        <w:pStyle w:val="SingleTxtG"/>
        <w:ind w:left="0" w:right="-2"/>
        <w:rPr>
          <w:rFonts w:eastAsia="Times New Roman"/>
          <w:sz w:val="24"/>
          <w:szCs w:val="24"/>
          <w:lang w:val="en-US" w:eastAsia="ar-SA"/>
        </w:rPr>
      </w:pPr>
      <w:r w:rsidRPr="001E28B5">
        <w:rPr>
          <w:rFonts w:eastAsia="Times New Roman"/>
          <w:sz w:val="24"/>
          <w:szCs w:val="24"/>
          <w:lang w:val="en-US" w:eastAsia="ar-SA"/>
        </w:rPr>
        <w:t>Document ECE/TRANS/WP.15/240, contains the requested consolidated list of amendments adopted by the Working Party at its 100th, 101st, 102nd and 103rd sessions, see detail amendments for Chapter 9.2</w:t>
      </w:r>
      <w:r w:rsidR="00FA0ABD" w:rsidRPr="001E28B5">
        <w:rPr>
          <w:rFonts w:eastAsia="Times New Roman"/>
          <w:sz w:val="24"/>
          <w:szCs w:val="24"/>
          <w:lang w:val="en-US" w:eastAsia="ar-SA"/>
        </w:rPr>
        <w:t>.</w:t>
      </w:r>
    </w:p>
    <w:p w:rsidR="00FA0ABD" w:rsidRPr="001E28B5" w:rsidRDefault="00FA0ABD" w:rsidP="001E28B5">
      <w:pPr>
        <w:pStyle w:val="SingleTxtG"/>
        <w:ind w:left="0" w:right="-2"/>
        <w:rPr>
          <w:rFonts w:eastAsia="Times New Roman"/>
          <w:sz w:val="24"/>
          <w:szCs w:val="24"/>
          <w:lang w:val="en-US" w:eastAsia="ar-SA"/>
        </w:rPr>
      </w:pPr>
      <w:r w:rsidRPr="001E28B5">
        <w:rPr>
          <w:rFonts w:eastAsia="Times New Roman"/>
          <w:sz w:val="24"/>
          <w:szCs w:val="24"/>
          <w:lang w:val="en-US" w:eastAsia="ar-SA"/>
        </w:rPr>
        <w:t xml:space="preserve">This needs to be considered at the forthcoming session of GRSG to align, in due time, the provisions of the UN Regulation </w:t>
      </w:r>
      <w:r w:rsidR="001637F7" w:rsidRPr="001E28B5">
        <w:rPr>
          <w:rFonts w:eastAsia="Times New Roman"/>
          <w:sz w:val="24"/>
          <w:szCs w:val="24"/>
          <w:lang w:val="en-US" w:eastAsia="ar-SA"/>
        </w:rPr>
        <w:t xml:space="preserve">105 </w:t>
      </w:r>
      <w:r w:rsidRPr="001E28B5">
        <w:rPr>
          <w:rFonts w:eastAsia="Times New Roman"/>
          <w:sz w:val="24"/>
          <w:szCs w:val="24"/>
          <w:lang w:val="en-US" w:eastAsia="ar-SA"/>
        </w:rPr>
        <w:t>with those of ADR 2019.</w:t>
      </w:r>
    </w:p>
    <w:p w:rsidR="00FA0ABD" w:rsidRPr="001934A4" w:rsidRDefault="00FA0ABD" w:rsidP="00F162EB">
      <w:pPr>
        <w:tabs>
          <w:tab w:val="left" w:pos="1309"/>
        </w:tabs>
        <w:spacing w:line="240" w:lineRule="atLeast"/>
        <w:jc w:val="both"/>
        <w:rPr>
          <w:lang w:val="en-GB" w:eastAsia="ja-JP"/>
        </w:rPr>
      </w:pPr>
    </w:p>
    <w:p w:rsidR="000202EC" w:rsidRPr="000202EC" w:rsidRDefault="000202EC" w:rsidP="00AC0278">
      <w:pPr>
        <w:tabs>
          <w:tab w:val="left" w:pos="1309"/>
        </w:tabs>
        <w:spacing w:line="240" w:lineRule="atLeast"/>
        <w:jc w:val="center"/>
        <w:rPr>
          <w:sz w:val="20"/>
          <w:szCs w:val="20"/>
          <w:lang w:val="en-GB" w:eastAsia="ja-JP"/>
        </w:rPr>
      </w:pPr>
      <w:r>
        <w:rPr>
          <w:sz w:val="20"/>
          <w:szCs w:val="20"/>
          <w:lang w:val="en-GB" w:eastAsia="ja-JP"/>
        </w:rPr>
        <w:t>____________</w:t>
      </w:r>
    </w:p>
    <w:sectPr w:rsidR="000202EC" w:rsidRPr="000202EC" w:rsidSect="001E28B5">
      <w:headerReference w:type="default" r:id="rId8"/>
      <w:footerReference w:type="even" r:id="rId9"/>
      <w:footerReference w:type="default" r:id="rId10"/>
      <w:footnotePr>
        <w:pos w:val="beneathText"/>
      </w:footnotePr>
      <w:pgSz w:w="11905" w:h="16837" w:code="9"/>
      <w:pgMar w:top="1134" w:right="1134" w:bottom="851" w:left="1134" w:header="567"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C0" w:rsidRDefault="007B38C0">
      <w:r>
        <w:separator/>
      </w:r>
    </w:p>
  </w:endnote>
  <w:endnote w:type="continuationSeparator" w:id="0">
    <w:p w:rsidR="007B38C0" w:rsidRDefault="007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03" w:rsidRDefault="000C5C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03" w:rsidRDefault="000C5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4AC">
      <w:rPr>
        <w:rStyle w:val="PageNumber"/>
        <w:noProof/>
      </w:rPr>
      <w:t>1</w:t>
    </w:r>
    <w:r>
      <w:rPr>
        <w:rStyle w:val="PageNumber"/>
      </w:rPr>
      <w:fldChar w:fldCharType="end"/>
    </w:r>
  </w:p>
  <w:p w:rsidR="000C5C03" w:rsidRDefault="000C5C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C0" w:rsidRDefault="007B38C0">
      <w:r>
        <w:separator/>
      </w:r>
    </w:p>
  </w:footnote>
  <w:footnote w:type="continuationSeparator" w:id="0">
    <w:p w:rsidR="007B38C0" w:rsidRDefault="007B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03" w:rsidRDefault="000C5C03" w:rsidP="001E3F85">
    <w:pPr>
      <w:pStyle w:val="Header"/>
      <w:jc w:val="right"/>
      <w:rPr>
        <w:lang w:val="fr-CH"/>
      </w:rPr>
    </w:pPr>
    <w:proofErr w:type="gramStart"/>
    <w:r>
      <w:rPr>
        <w:lang w:val="fr-CH"/>
      </w:rPr>
      <w:t>page</w:t>
    </w:r>
    <w:proofErr w:type="gramEnd"/>
    <w:r>
      <w:rPr>
        <w:lang w:val="fr-CH"/>
      </w:rPr>
      <w:t xml:space="preserve"> 3</w:t>
    </w:r>
  </w:p>
  <w:p w:rsidR="000C5C03" w:rsidRPr="001E3F85" w:rsidRDefault="000C5C03"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EF23BE"/>
    <w:multiLevelType w:val="hybridMultilevel"/>
    <w:tmpl w:val="B2FE26D0"/>
    <w:lvl w:ilvl="0" w:tplc="040C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7">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9">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9951BF1"/>
    <w:multiLevelType w:val="hybridMultilevel"/>
    <w:tmpl w:val="3114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CF17BD"/>
    <w:multiLevelType w:val="hybridMultilevel"/>
    <w:tmpl w:val="D8806422"/>
    <w:lvl w:ilvl="0" w:tplc="0186EAF8">
      <w:start w:val="1"/>
      <w:numFmt w:val="lowerLetter"/>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3">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233833"/>
    <w:multiLevelType w:val="hybridMultilevel"/>
    <w:tmpl w:val="383EF97C"/>
    <w:lvl w:ilvl="0" w:tplc="DC928072">
      <w:start w:val="1"/>
      <w:numFmt w:val="lowerLetter"/>
      <w:lvlText w:val="(%1)"/>
      <w:lvlJc w:val="left"/>
      <w:pPr>
        <w:ind w:left="1351" w:hanging="360"/>
      </w:pPr>
      <w:rPr>
        <w:rFonts w:hint="default"/>
      </w:rPr>
    </w:lvl>
    <w:lvl w:ilvl="1" w:tplc="040C0019" w:tentative="1">
      <w:start w:val="1"/>
      <w:numFmt w:val="lowerLetter"/>
      <w:lvlText w:val="%2."/>
      <w:lvlJc w:val="left"/>
      <w:pPr>
        <w:ind w:left="2071" w:hanging="360"/>
      </w:pPr>
    </w:lvl>
    <w:lvl w:ilvl="2" w:tplc="040C001B" w:tentative="1">
      <w:start w:val="1"/>
      <w:numFmt w:val="lowerRoman"/>
      <w:lvlText w:val="%3."/>
      <w:lvlJc w:val="right"/>
      <w:pPr>
        <w:ind w:left="2791" w:hanging="180"/>
      </w:pPr>
    </w:lvl>
    <w:lvl w:ilvl="3" w:tplc="040C000F" w:tentative="1">
      <w:start w:val="1"/>
      <w:numFmt w:val="decimal"/>
      <w:lvlText w:val="%4."/>
      <w:lvlJc w:val="left"/>
      <w:pPr>
        <w:ind w:left="3511" w:hanging="360"/>
      </w:pPr>
    </w:lvl>
    <w:lvl w:ilvl="4" w:tplc="040C0019" w:tentative="1">
      <w:start w:val="1"/>
      <w:numFmt w:val="lowerLetter"/>
      <w:lvlText w:val="%5."/>
      <w:lvlJc w:val="left"/>
      <w:pPr>
        <w:ind w:left="4231" w:hanging="360"/>
      </w:pPr>
    </w:lvl>
    <w:lvl w:ilvl="5" w:tplc="040C001B" w:tentative="1">
      <w:start w:val="1"/>
      <w:numFmt w:val="lowerRoman"/>
      <w:lvlText w:val="%6."/>
      <w:lvlJc w:val="right"/>
      <w:pPr>
        <w:ind w:left="4951" w:hanging="180"/>
      </w:pPr>
    </w:lvl>
    <w:lvl w:ilvl="6" w:tplc="040C000F" w:tentative="1">
      <w:start w:val="1"/>
      <w:numFmt w:val="decimal"/>
      <w:lvlText w:val="%7."/>
      <w:lvlJc w:val="left"/>
      <w:pPr>
        <w:ind w:left="5671" w:hanging="360"/>
      </w:pPr>
    </w:lvl>
    <w:lvl w:ilvl="7" w:tplc="040C0019" w:tentative="1">
      <w:start w:val="1"/>
      <w:numFmt w:val="lowerLetter"/>
      <w:lvlText w:val="%8."/>
      <w:lvlJc w:val="left"/>
      <w:pPr>
        <w:ind w:left="6391" w:hanging="360"/>
      </w:pPr>
    </w:lvl>
    <w:lvl w:ilvl="8" w:tplc="040C001B" w:tentative="1">
      <w:start w:val="1"/>
      <w:numFmt w:val="lowerRoman"/>
      <w:lvlText w:val="%9."/>
      <w:lvlJc w:val="right"/>
      <w:pPr>
        <w:ind w:left="7111" w:hanging="180"/>
      </w:pPr>
    </w:lvl>
  </w:abstractNum>
  <w:abstractNum w:abstractNumId="18">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37881C0C"/>
    <w:multiLevelType w:val="hybridMultilevel"/>
    <w:tmpl w:val="B9F68336"/>
    <w:lvl w:ilvl="0" w:tplc="C7DE1A2E">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8"/>
  </w:num>
  <w:num w:numId="9">
    <w:abstractNumId w:val="6"/>
  </w:num>
  <w:num w:numId="10">
    <w:abstractNumId w:val="9"/>
  </w:num>
  <w:num w:numId="11">
    <w:abstractNumId w:val="7"/>
  </w:num>
  <w:num w:numId="12">
    <w:abstractNumId w:val="18"/>
  </w:num>
  <w:num w:numId="13">
    <w:abstractNumId w:val="3"/>
  </w:num>
  <w:num w:numId="14">
    <w:abstractNumId w:val="26"/>
  </w:num>
  <w:num w:numId="15">
    <w:abstractNumId w:val="21"/>
  </w:num>
  <w:num w:numId="16">
    <w:abstractNumId w:val="24"/>
  </w:num>
  <w:num w:numId="17">
    <w:abstractNumId w:val="22"/>
  </w:num>
  <w:num w:numId="18">
    <w:abstractNumId w:val="15"/>
  </w:num>
  <w:num w:numId="19">
    <w:abstractNumId w:val="20"/>
  </w:num>
  <w:num w:numId="20">
    <w:abstractNumId w:val="25"/>
  </w:num>
  <w:num w:numId="21">
    <w:abstractNumId w:val="14"/>
  </w:num>
  <w:num w:numId="22">
    <w:abstractNumId w:val="10"/>
  </w:num>
  <w:num w:numId="23">
    <w:abstractNumId w:val="13"/>
  </w:num>
  <w:num w:numId="24">
    <w:abstractNumId w:val="27"/>
  </w:num>
  <w:num w:numId="25">
    <w:abstractNumId w:val="28"/>
  </w:num>
  <w:num w:numId="26">
    <w:abstractNumId w:val="11"/>
  </w:num>
  <w:num w:numId="27">
    <w:abstractNumId w:val="5"/>
  </w:num>
  <w:num w:numId="28">
    <w:abstractNumId w:val="12"/>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082"/>
    <w:rsid w:val="000015EA"/>
    <w:rsid w:val="000018D3"/>
    <w:rsid w:val="00001E26"/>
    <w:rsid w:val="00010DB4"/>
    <w:rsid w:val="000135C4"/>
    <w:rsid w:val="00014281"/>
    <w:rsid w:val="000202EC"/>
    <w:rsid w:val="00036291"/>
    <w:rsid w:val="000369BF"/>
    <w:rsid w:val="000421E4"/>
    <w:rsid w:val="00052E5C"/>
    <w:rsid w:val="00053FEA"/>
    <w:rsid w:val="000602DD"/>
    <w:rsid w:val="000614B9"/>
    <w:rsid w:val="00065399"/>
    <w:rsid w:val="00073D36"/>
    <w:rsid w:val="00081149"/>
    <w:rsid w:val="000816D1"/>
    <w:rsid w:val="00081E4F"/>
    <w:rsid w:val="00081EE9"/>
    <w:rsid w:val="00083220"/>
    <w:rsid w:val="00083EC2"/>
    <w:rsid w:val="00092E11"/>
    <w:rsid w:val="0009401D"/>
    <w:rsid w:val="00096040"/>
    <w:rsid w:val="0009739A"/>
    <w:rsid w:val="00097C59"/>
    <w:rsid w:val="000A1E69"/>
    <w:rsid w:val="000A2EE3"/>
    <w:rsid w:val="000B16DF"/>
    <w:rsid w:val="000B61D8"/>
    <w:rsid w:val="000C0CD6"/>
    <w:rsid w:val="000C5C03"/>
    <w:rsid w:val="000C690D"/>
    <w:rsid w:val="000C717B"/>
    <w:rsid w:val="000C75C9"/>
    <w:rsid w:val="000D3C09"/>
    <w:rsid w:val="000D4DC2"/>
    <w:rsid w:val="000D6C0A"/>
    <w:rsid w:val="000E4CC4"/>
    <w:rsid w:val="000F1E85"/>
    <w:rsid w:val="000F4E58"/>
    <w:rsid w:val="000F791C"/>
    <w:rsid w:val="001078B6"/>
    <w:rsid w:val="0012023F"/>
    <w:rsid w:val="00125426"/>
    <w:rsid w:val="00136437"/>
    <w:rsid w:val="00137ACC"/>
    <w:rsid w:val="00144004"/>
    <w:rsid w:val="001637F7"/>
    <w:rsid w:val="00170411"/>
    <w:rsid w:val="001736EF"/>
    <w:rsid w:val="00182DA2"/>
    <w:rsid w:val="001848B1"/>
    <w:rsid w:val="001934A4"/>
    <w:rsid w:val="001A6D43"/>
    <w:rsid w:val="001A79AF"/>
    <w:rsid w:val="001B3CC4"/>
    <w:rsid w:val="001B75B6"/>
    <w:rsid w:val="001D2149"/>
    <w:rsid w:val="001D2E01"/>
    <w:rsid w:val="001E0059"/>
    <w:rsid w:val="001E1C6B"/>
    <w:rsid w:val="001E28B5"/>
    <w:rsid w:val="001E38C7"/>
    <w:rsid w:val="001E3F85"/>
    <w:rsid w:val="002057A9"/>
    <w:rsid w:val="0022125F"/>
    <w:rsid w:val="002277BD"/>
    <w:rsid w:val="00230E7E"/>
    <w:rsid w:val="00232C41"/>
    <w:rsid w:val="00232C46"/>
    <w:rsid w:val="00242A1E"/>
    <w:rsid w:val="00245FBE"/>
    <w:rsid w:val="00256BD5"/>
    <w:rsid w:val="002613B5"/>
    <w:rsid w:val="00281F58"/>
    <w:rsid w:val="002A65C7"/>
    <w:rsid w:val="002A6C04"/>
    <w:rsid w:val="002B1665"/>
    <w:rsid w:val="002C3A4E"/>
    <w:rsid w:val="002D290D"/>
    <w:rsid w:val="002E32FD"/>
    <w:rsid w:val="002E3D9C"/>
    <w:rsid w:val="002F0049"/>
    <w:rsid w:val="002F68DB"/>
    <w:rsid w:val="002F6A73"/>
    <w:rsid w:val="003048E4"/>
    <w:rsid w:val="00305A3B"/>
    <w:rsid w:val="00316103"/>
    <w:rsid w:val="003334AC"/>
    <w:rsid w:val="00351B21"/>
    <w:rsid w:val="003560DB"/>
    <w:rsid w:val="00374B18"/>
    <w:rsid w:val="00375080"/>
    <w:rsid w:val="003A089F"/>
    <w:rsid w:val="003A1AE8"/>
    <w:rsid w:val="003C1BBD"/>
    <w:rsid w:val="003C2029"/>
    <w:rsid w:val="003E54E8"/>
    <w:rsid w:val="003E6B23"/>
    <w:rsid w:val="003F50B9"/>
    <w:rsid w:val="003F7593"/>
    <w:rsid w:val="003F78D7"/>
    <w:rsid w:val="00404BE3"/>
    <w:rsid w:val="004129B6"/>
    <w:rsid w:val="00415C22"/>
    <w:rsid w:val="00416394"/>
    <w:rsid w:val="0042492E"/>
    <w:rsid w:val="0042635B"/>
    <w:rsid w:val="00437575"/>
    <w:rsid w:val="00437B2F"/>
    <w:rsid w:val="00444B6B"/>
    <w:rsid w:val="00444D70"/>
    <w:rsid w:val="0044709F"/>
    <w:rsid w:val="004504AC"/>
    <w:rsid w:val="00450C45"/>
    <w:rsid w:val="00452EAA"/>
    <w:rsid w:val="00456EB7"/>
    <w:rsid w:val="00460672"/>
    <w:rsid w:val="004637F5"/>
    <w:rsid w:val="00473EF1"/>
    <w:rsid w:val="00481FA0"/>
    <w:rsid w:val="00482A16"/>
    <w:rsid w:val="00486322"/>
    <w:rsid w:val="004911B5"/>
    <w:rsid w:val="00493048"/>
    <w:rsid w:val="004A1494"/>
    <w:rsid w:val="004A7A6D"/>
    <w:rsid w:val="004B252D"/>
    <w:rsid w:val="004C6990"/>
    <w:rsid w:val="004E0975"/>
    <w:rsid w:val="004E0E53"/>
    <w:rsid w:val="004E6BC5"/>
    <w:rsid w:val="004F6610"/>
    <w:rsid w:val="0050433B"/>
    <w:rsid w:val="005102B6"/>
    <w:rsid w:val="00515E4C"/>
    <w:rsid w:val="005239CF"/>
    <w:rsid w:val="005250E7"/>
    <w:rsid w:val="0052790F"/>
    <w:rsid w:val="005338B6"/>
    <w:rsid w:val="00534329"/>
    <w:rsid w:val="00556B08"/>
    <w:rsid w:val="0056562D"/>
    <w:rsid w:val="005748FC"/>
    <w:rsid w:val="00576233"/>
    <w:rsid w:val="00582E6C"/>
    <w:rsid w:val="005918CE"/>
    <w:rsid w:val="005A0E54"/>
    <w:rsid w:val="005A17E0"/>
    <w:rsid w:val="005A3782"/>
    <w:rsid w:val="005A4D77"/>
    <w:rsid w:val="005B6123"/>
    <w:rsid w:val="005D484A"/>
    <w:rsid w:val="005F1BB2"/>
    <w:rsid w:val="005F3064"/>
    <w:rsid w:val="005F35B5"/>
    <w:rsid w:val="005F7ECB"/>
    <w:rsid w:val="00602033"/>
    <w:rsid w:val="00605C17"/>
    <w:rsid w:val="0061147B"/>
    <w:rsid w:val="00614DEF"/>
    <w:rsid w:val="00620D33"/>
    <w:rsid w:val="00636865"/>
    <w:rsid w:val="00640A3A"/>
    <w:rsid w:val="00680109"/>
    <w:rsid w:val="0068778F"/>
    <w:rsid w:val="006930A7"/>
    <w:rsid w:val="006A6045"/>
    <w:rsid w:val="006A6AEF"/>
    <w:rsid w:val="006A73A1"/>
    <w:rsid w:val="006B18D3"/>
    <w:rsid w:val="006D098C"/>
    <w:rsid w:val="006D0D04"/>
    <w:rsid w:val="006D1D02"/>
    <w:rsid w:val="006D7606"/>
    <w:rsid w:val="006F06DE"/>
    <w:rsid w:val="00712940"/>
    <w:rsid w:val="00715A09"/>
    <w:rsid w:val="0072251C"/>
    <w:rsid w:val="00731607"/>
    <w:rsid w:val="00734CCD"/>
    <w:rsid w:val="00742A78"/>
    <w:rsid w:val="007552E8"/>
    <w:rsid w:val="00767E89"/>
    <w:rsid w:val="00782057"/>
    <w:rsid w:val="00783C92"/>
    <w:rsid w:val="007909D3"/>
    <w:rsid w:val="00790F47"/>
    <w:rsid w:val="00791FFE"/>
    <w:rsid w:val="007933B7"/>
    <w:rsid w:val="007947D6"/>
    <w:rsid w:val="00794A96"/>
    <w:rsid w:val="00796E35"/>
    <w:rsid w:val="007A410D"/>
    <w:rsid w:val="007A5B10"/>
    <w:rsid w:val="007B38C0"/>
    <w:rsid w:val="007B5AF5"/>
    <w:rsid w:val="007B7DFD"/>
    <w:rsid w:val="007C6A2B"/>
    <w:rsid w:val="007D4F7D"/>
    <w:rsid w:val="007D57FE"/>
    <w:rsid w:val="007D5F5F"/>
    <w:rsid w:val="007D7FBB"/>
    <w:rsid w:val="007E6C4A"/>
    <w:rsid w:val="007E71AF"/>
    <w:rsid w:val="007F0082"/>
    <w:rsid w:val="007F59D9"/>
    <w:rsid w:val="0080406F"/>
    <w:rsid w:val="00805B9C"/>
    <w:rsid w:val="0081093F"/>
    <w:rsid w:val="00816D88"/>
    <w:rsid w:val="008205DC"/>
    <w:rsid w:val="0082155F"/>
    <w:rsid w:val="00833FD8"/>
    <w:rsid w:val="00836447"/>
    <w:rsid w:val="00836D55"/>
    <w:rsid w:val="00840080"/>
    <w:rsid w:val="00846D57"/>
    <w:rsid w:val="008604C8"/>
    <w:rsid w:val="008605C0"/>
    <w:rsid w:val="00864BEB"/>
    <w:rsid w:val="00866AFA"/>
    <w:rsid w:val="0086787A"/>
    <w:rsid w:val="00870EFA"/>
    <w:rsid w:val="0087705D"/>
    <w:rsid w:val="00885090"/>
    <w:rsid w:val="008877AA"/>
    <w:rsid w:val="008921A6"/>
    <w:rsid w:val="008D6031"/>
    <w:rsid w:val="008D6A1E"/>
    <w:rsid w:val="008F52A2"/>
    <w:rsid w:val="008F5AC7"/>
    <w:rsid w:val="008F76BE"/>
    <w:rsid w:val="00912D70"/>
    <w:rsid w:val="009221F9"/>
    <w:rsid w:val="00926CEC"/>
    <w:rsid w:val="0092779B"/>
    <w:rsid w:val="009328E7"/>
    <w:rsid w:val="00932976"/>
    <w:rsid w:val="0093586E"/>
    <w:rsid w:val="0094158B"/>
    <w:rsid w:val="00943E15"/>
    <w:rsid w:val="00944900"/>
    <w:rsid w:val="00954217"/>
    <w:rsid w:val="00955E60"/>
    <w:rsid w:val="009562DD"/>
    <w:rsid w:val="00956598"/>
    <w:rsid w:val="009618DA"/>
    <w:rsid w:val="009635EA"/>
    <w:rsid w:val="00967032"/>
    <w:rsid w:val="00970577"/>
    <w:rsid w:val="00975DB2"/>
    <w:rsid w:val="0098081B"/>
    <w:rsid w:val="00987FF3"/>
    <w:rsid w:val="00991396"/>
    <w:rsid w:val="00997061"/>
    <w:rsid w:val="009978F5"/>
    <w:rsid w:val="009A7450"/>
    <w:rsid w:val="009C0389"/>
    <w:rsid w:val="009C68F7"/>
    <w:rsid w:val="009D0703"/>
    <w:rsid w:val="009D2DBB"/>
    <w:rsid w:val="009D3AD0"/>
    <w:rsid w:val="009E2EFD"/>
    <w:rsid w:val="009F16CA"/>
    <w:rsid w:val="009F1C85"/>
    <w:rsid w:val="009F65E7"/>
    <w:rsid w:val="00A0040F"/>
    <w:rsid w:val="00A079BD"/>
    <w:rsid w:val="00A1550E"/>
    <w:rsid w:val="00A202DD"/>
    <w:rsid w:val="00A4012D"/>
    <w:rsid w:val="00A501C4"/>
    <w:rsid w:val="00A50B2B"/>
    <w:rsid w:val="00A62BA9"/>
    <w:rsid w:val="00A741FE"/>
    <w:rsid w:val="00A74AE7"/>
    <w:rsid w:val="00A91060"/>
    <w:rsid w:val="00A914AA"/>
    <w:rsid w:val="00A96B20"/>
    <w:rsid w:val="00AA438B"/>
    <w:rsid w:val="00AA57E1"/>
    <w:rsid w:val="00AB1066"/>
    <w:rsid w:val="00AB4F8F"/>
    <w:rsid w:val="00AC0278"/>
    <w:rsid w:val="00AC3561"/>
    <w:rsid w:val="00AC4A16"/>
    <w:rsid w:val="00AE5082"/>
    <w:rsid w:val="00AE5D9E"/>
    <w:rsid w:val="00AF7934"/>
    <w:rsid w:val="00B03A34"/>
    <w:rsid w:val="00B04B88"/>
    <w:rsid w:val="00B07174"/>
    <w:rsid w:val="00B24692"/>
    <w:rsid w:val="00B25B4B"/>
    <w:rsid w:val="00B37796"/>
    <w:rsid w:val="00B6357F"/>
    <w:rsid w:val="00B76B02"/>
    <w:rsid w:val="00B81F76"/>
    <w:rsid w:val="00B8365C"/>
    <w:rsid w:val="00B851E3"/>
    <w:rsid w:val="00B91EF5"/>
    <w:rsid w:val="00B93757"/>
    <w:rsid w:val="00B97BE0"/>
    <w:rsid w:val="00BA03F4"/>
    <w:rsid w:val="00BA4018"/>
    <w:rsid w:val="00BA5D1D"/>
    <w:rsid w:val="00BC600B"/>
    <w:rsid w:val="00BD1C4E"/>
    <w:rsid w:val="00BD461D"/>
    <w:rsid w:val="00BE1CD6"/>
    <w:rsid w:val="00BE6446"/>
    <w:rsid w:val="00BF4FDD"/>
    <w:rsid w:val="00BF5816"/>
    <w:rsid w:val="00BF6D67"/>
    <w:rsid w:val="00C03B07"/>
    <w:rsid w:val="00C202CA"/>
    <w:rsid w:val="00C21B91"/>
    <w:rsid w:val="00C22BDE"/>
    <w:rsid w:val="00C26749"/>
    <w:rsid w:val="00C32ADE"/>
    <w:rsid w:val="00C37AF9"/>
    <w:rsid w:val="00C42B55"/>
    <w:rsid w:val="00C465AF"/>
    <w:rsid w:val="00C50643"/>
    <w:rsid w:val="00C53C53"/>
    <w:rsid w:val="00C614AD"/>
    <w:rsid w:val="00C62FB4"/>
    <w:rsid w:val="00C756A5"/>
    <w:rsid w:val="00C80F8A"/>
    <w:rsid w:val="00C92FE9"/>
    <w:rsid w:val="00C9588B"/>
    <w:rsid w:val="00CA0119"/>
    <w:rsid w:val="00CA0EE0"/>
    <w:rsid w:val="00CA470E"/>
    <w:rsid w:val="00CB5632"/>
    <w:rsid w:val="00CB64B2"/>
    <w:rsid w:val="00CC26EB"/>
    <w:rsid w:val="00CC3E40"/>
    <w:rsid w:val="00CD0CB4"/>
    <w:rsid w:val="00CD2BAB"/>
    <w:rsid w:val="00CD489E"/>
    <w:rsid w:val="00CF0259"/>
    <w:rsid w:val="00CF506C"/>
    <w:rsid w:val="00D00AD1"/>
    <w:rsid w:val="00D02E19"/>
    <w:rsid w:val="00D0384E"/>
    <w:rsid w:val="00D05082"/>
    <w:rsid w:val="00D10CC3"/>
    <w:rsid w:val="00D1213B"/>
    <w:rsid w:val="00D12925"/>
    <w:rsid w:val="00D14E45"/>
    <w:rsid w:val="00D22A70"/>
    <w:rsid w:val="00D40ADD"/>
    <w:rsid w:val="00D40D2D"/>
    <w:rsid w:val="00D42200"/>
    <w:rsid w:val="00D51F01"/>
    <w:rsid w:val="00D655D6"/>
    <w:rsid w:val="00D70150"/>
    <w:rsid w:val="00D710BA"/>
    <w:rsid w:val="00D81D02"/>
    <w:rsid w:val="00D823FF"/>
    <w:rsid w:val="00D82EFB"/>
    <w:rsid w:val="00D84648"/>
    <w:rsid w:val="00D8666F"/>
    <w:rsid w:val="00D87F21"/>
    <w:rsid w:val="00D90A07"/>
    <w:rsid w:val="00D93392"/>
    <w:rsid w:val="00D9409B"/>
    <w:rsid w:val="00D9477C"/>
    <w:rsid w:val="00DA097D"/>
    <w:rsid w:val="00DA41CC"/>
    <w:rsid w:val="00DB6B60"/>
    <w:rsid w:val="00DD0297"/>
    <w:rsid w:val="00DD3E23"/>
    <w:rsid w:val="00DD6AC1"/>
    <w:rsid w:val="00DE5D2D"/>
    <w:rsid w:val="00DF3539"/>
    <w:rsid w:val="00DF3FB4"/>
    <w:rsid w:val="00DF5836"/>
    <w:rsid w:val="00DF6EA4"/>
    <w:rsid w:val="00E11EE8"/>
    <w:rsid w:val="00E169DA"/>
    <w:rsid w:val="00E20EE4"/>
    <w:rsid w:val="00E21952"/>
    <w:rsid w:val="00E25BE8"/>
    <w:rsid w:val="00E3115F"/>
    <w:rsid w:val="00E31B04"/>
    <w:rsid w:val="00E4417A"/>
    <w:rsid w:val="00E44978"/>
    <w:rsid w:val="00E5795B"/>
    <w:rsid w:val="00E81451"/>
    <w:rsid w:val="00E819E3"/>
    <w:rsid w:val="00E84AA3"/>
    <w:rsid w:val="00E949F9"/>
    <w:rsid w:val="00E956F6"/>
    <w:rsid w:val="00E96F44"/>
    <w:rsid w:val="00EA20A0"/>
    <w:rsid w:val="00EA29E8"/>
    <w:rsid w:val="00EB238A"/>
    <w:rsid w:val="00EB3281"/>
    <w:rsid w:val="00EB5A58"/>
    <w:rsid w:val="00ED4D30"/>
    <w:rsid w:val="00EF2CC5"/>
    <w:rsid w:val="00EF3830"/>
    <w:rsid w:val="00EF50B1"/>
    <w:rsid w:val="00F0017C"/>
    <w:rsid w:val="00F052E0"/>
    <w:rsid w:val="00F11314"/>
    <w:rsid w:val="00F12567"/>
    <w:rsid w:val="00F162EB"/>
    <w:rsid w:val="00F16AB6"/>
    <w:rsid w:val="00F213A7"/>
    <w:rsid w:val="00F22262"/>
    <w:rsid w:val="00F25961"/>
    <w:rsid w:val="00F25F01"/>
    <w:rsid w:val="00F27FFA"/>
    <w:rsid w:val="00F32C8B"/>
    <w:rsid w:val="00F41D56"/>
    <w:rsid w:val="00F42F88"/>
    <w:rsid w:val="00F43728"/>
    <w:rsid w:val="00F501D8"/>
    <w:rsid w:val="00F61A46"/>
    <w:rsid w:val="00F66AB8"/>
    <w:rsid w:val="00F72FCC"/>
    <w:rsid w:val="00F73AE6"/>
    <w:rsid w:val="00F81883"/>
    <w:rsid w:val="00F81F12"/>
    <w:rsid w:val="00F8252C"/>
    <w:rsid w:val="00F84586"/>
    <w:rsid w:val="00F8750E"/>
    <w:rsid w:val="00F91C8C"/>
    <w:rsid w:val="00F97C2E"/>
    <w:rsid w:val="00FA0ABD"/>
    <w:rsid w:val="00FA0D55"/>
    <w:rsid w:val="00FB0FC7"/>
    <w:rsid w:val="00FB47A4"/>
    <w:rsid w:val="00FD258D"/>
    <w:rsid w:val="00FD34E3"/>
    <w:rsid w:val="00FD44F8"/>
    <w:rsid w:val="00FD465E"/>
    <w:rsid w:val="00FD6745"/>
    <w:rsid w:val="00FE1388"/>
    <w:rsid w:val="00FE521A"/>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link w:val="FooterChar"/>
    <w:uiPriority w:val="99"/>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4_GR"/>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character" w:customStyle="1" w:styleId="FooterChar">
    <w:name w:val="Footer Char"/>
    <w:link w:val="Footer"/>
    <w:uiPriority w:val="99"/>
    <w:rsid w:val="00081EE9"/>
    <w:rPr>
      <w:sz w:val="24"/>
      <w:szCs w:val="24"/>
      <w:lang w:val="ru-RU" w:eastAsia="ar-SA"/>
    </w:rPr>
  </w:style>
  <w:style w:type="paragraph" w:customStyle="1" w:styleId="SingleTxtG">
    <w:name w:val="_ Single Txt_G"/>
    <w:basedOn w:val="Normal"/>
    <w:link w:val="SingleTxtGZchnZchn"/>
    <w:qFormat/>
    <w:rsid w:val="00FD34E3"/>
    <w:pPr>
      <w:spacing w:after="120" w:line="240" w:lineRule="atLeast"/>
      <w:ind w:left="1134" w:right="1134"/>
      <w:jc w:val="both"/>
    </w:pPr>
    <w:rPr>
      <w:rFonts w:eastAsia="MS Mincho"/>
      <w:sz w:val="20"/>
      <w:szCs w:val="20"/>
      <w:lang w:val="fr-CH" w:eastAsia="en-US"/>
    </w:rPr>
  </w:style>
  <w:style w:type="paragraph" w:customStyle="1" w:styleId="HChG">
    <w:name w:val="_ H _Ch_G"/>
    <w:basedOn w:val="Normal"/>
    <w:qFormat/>
    <w:rsid w:val="00FA0ABD"/>
    <w:pPr>
      <w:keepNext/>
      <w:keepLines/>
      <w:tabs>
        <w:tab w:val="right" w:pos="851"/>
      </w:tabs>
      <w:spacing w:before="360" w:after="240" w:line="300" w:lineRule="exact"/>
      <w:ind w:left="1134" w:right="1134" w:hanging="1134"/>
    </w:pPr>
    <w:rPr>
      <w:b/>
      <w:color w:val="00000A"/>
      <w:sz w:val="28"/>
      <w:szCs w:val="20"/>
      <w:lang w:val="en-GB" w:eastAsia="en-US"/>
    </w:rPr>
  </w:style>
  <w:style w:type="character" w:customStyle="1" w:styleId="SingleTxtGZchnZchn">
    <w:name w:val="_ Single Txt_G Zchn Zchn"/>
    <w:link w:val="SingleTxtG"/>
    <w:rsid w:val="001637F7"/>
    <w:rPr>
      <w:rFonts w:eastAsia="MS Mincho"/>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78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1930</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Transmitted by the experts from OICA</vt:lpstr>
    </vt:vector>
  </TitlesOfParts>
  <Company>НАМИ</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Transmitted by the experts from OICA</dc:title>
  <dc:creator>OICA</dc:creator>
  <cp:lastModifiedBy>Hubert Romain</cp:lastModifiedBy>
  <cp:revision>6</cp:revision>
  <cp:lastPrinted>2018-04-09T17:03:00Z</cp:lastPrinted>
  <dcterms:created xsi:type="dcterms:W3CDTF">2018-04-09T16:50:00Z</dcterms:created>
  <dcterms:modified xsi:type="dcterms:W3CDTF">2018-04-09T17:04:00Z</dcterms:modified>
</cp:coreProperties>
</file>