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7A4229">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7A4229" w:rsidP="007A4229">
            <w:pPr>
              <w:jc w:val="right"/>
            </w:pPr>
            <w:r w:rsidRPr="007A4229">
              <w:rPr>
                <w:sz w:val="40"/>
              </w:rPr>
              <w:t>ECE</w:t>
            </w:r>
            <w:r>
              <w:t>/TRANS/WP.29/GRSP/2018/4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7A4229" w:rsidP="00C97039">
            <w:pPr>
              <w:spacing w:before="240"/>
            </w:pPr>
            <w:r>
              <w:t>Distr. générale</w:t>
            </w:r>
          </w:p>
          <w:p w:rsidR="007A4229" w:rsidRDefault="007A4229" w:rsidP="007A4229">
            <w:pPr>
              <w:spacing w:line="240" w:lineRule="exact"/>
            </w:pPr>
            <w:r>
              <w:t>27 février 2018</w:t>
            </w:r>
          </w:p>
          <w:p w:rsidR="007A4229" w:rsidRDefault="007A4229" w:rsidP="007A4229">
            <w:pPr>
              <w:spacing w:line="240" w:lineRule="exact"/>
            </w:pPr>
            <w:r>
              <w:t>Français</w:t>
            </w:r>
          </w:p>
          <w:p w:rsidR="007A4229" w:rsidRPr="00DB58B5" w:rsidRDefault="007A4229" w:rsidP="007A4229">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59677E" w:rsidRPr="0059677E" w:rsidRDefault="007A4229" w:rsidP="007A4229">
      <w:pPr>
        <w:spacing w:before="120" w:after="120"/>
        <w:rPr>
          <w:b/>
          <w:sz w:val="24"/>
          <w:szCs w:val="24"/>
        </w:rPr>
      </w:pPr>
      <w:r w:rsidRPr="0059677E">
        <w:rPr>
          <w:b/>
          <w:sz w:val="24"/>
          <w:szCs w:val="24"/>
        </w:rPr>
        <w:t xml:space="preserve">Forum mondial de l’harmonisation des Règlements </w:t>
      </w:r>
      <w:r w:rsidR="0059677E">
        <w:rPr>
          <w:b/>
          <w:sz w:val="24"/>
          <w:szCs w:val="24"/>
        </w:rPr>
        <w:br/>
      </w:r>
      <w:r w:rsidRPr="0059677E">
        <w:rPr>
          <w:b/>
          <w:sz w:val="24"/>
          <w:szCs w:val="24"/>
        </w:rPr>
        <w:t>concernant les véhicules</w:t>
      </w:r>
    </w:p>
    <w:p w:rsidR="007A4229" w:rsidRDefault="007A4229" w:rsidP="007A4229">
      <w:pPr>
        <w:spacing w:before="120" w:after="120"/>
        <w:rPr>
          <w:b/>
        </w:rPr>
      </w:pPr>
      <w:r>
        <w:rPr>
          <w:b/>
        </w:rPr>
        <w:t>Groupe de travail de la sécurité passive</w:t>
      </w:r>
    </w:p>
    <w:p w:rsidR="007A4229" w:rsidRDefault="007A4229" w:rsidP="007A4229">
      <w:pPr>
        <w:rPr>
          <w:b/>
        </w:rPr>
      </w:pPr>
      <w:r>
        <w:rPr>
          <w:b/>
        </w:rPr>
        <w:t>Soixante-trois</w:t>
      </w:r>
      <w:r w:rsidRPr="0027232B">
        <w:rPr>
          <w:b/>
        </w:rPr>
        <w:t>ième</w:t>
      </w:r>
      <w:r>
        <w:rPr>
          <w:b/>
        </w:rPr>
        <w:t xml:space="preserve"> session</w:t>
      </w:r>
    </w:p>
    <w:p w:rsidR="007A4229" w:rsidRPr="0027232B" w:rsidRDefault="007A4229" w:rsidP="007A4229">
      <w:r>
        <w:t>Genève, 14-18 mai 2018</w:t>
      </w:r>
    </w:p>
    <w:p w:rsidR="007A4229" w:rsidRDefault="007A4229" w:rsidP="007A4229">
      <w:r>
        <w:t>Point 10 de l’ordre du jour</w:t>
      </w:r>
    </w:p>
    <w:p w:rsidR="007A4229" w:rsidRDefault="007A4229" w:rsidP="007A4229">
      <w:r>
        <w:rPr>
          <w:b/>
        </w:rPr>
        <w:t xml:space="preserve">Règlement </w:t>
      </w:r>
      <w:r w:rsidRPr="0027232B">
        <w:rPr>
          <w:rFonts w:eastAsia="MS Mincho"/>
          <w:b/>
          <w:szCs w:val="22"/>
        </w:rPr>
        <w:t>n</w:t>
      </w:r>
      <w:r w:rsidRPr="0027232B">
        <w:rPr>
          <w:rFonts w:eastAsia="MS Mincho"/>
          <w:b/>
          <w:szCs w:val="22"/>
          <w:vertAlign w:val="superscript"/>
        </w:rPr>
        <w:t>o</w:t>
      </w:r>
      <w:r>
        <w:rPr>
          <w:b/>
        </w:rPr>
        <w:t> </w:t>
      </w:r>
      <w:r w:rsidRPr="0027232B">
        <w:rPr>
          <w:b/>
        </w:rPr>
        <w:t>17 (Résistance des sièges)</w:t>
      </w:r>
    </w:p>
    <w:p w:rsidR="007A4229" w:rsidRPr="00750CCD" w:rsidRDefault="007A4229" w:rsidP="007A4229">
      <w:pPr>
        <w:pStyle w:val="HChG"/>
      </w:pPr>
      <w:r>
        <w:tab/>
      </w:r>
      <w:r>
        <w:tab/>
        <w:t xml:space="preserve">Proposition de série 09 d’amendements </w:t>
      </w:r>
      <w:r w:rsidRPr="00750CCD">
        <w:t>au</w:t>
      </w:r>
      <w:r>
        <w:t xml:space="preserve"> Règlement </w:t>
      </w:r>
      <w:r w:rsidRPr="002D76F4">
        <w:rPr>
          <w:rFonts w:eastAsia="MS Mincho"/>
          <w:szCs w:val="22"/>
        </w:rPr>
        <w:t>n</w:t>
      </w:r>
      <w:r w:rsidRPr="002D76F4">
        <w:rPr>
          <w:rFonts w:eastAsia="MS Mincho"/>
          <w:szCs w:val="22"/>
          <w:vertAlign w:val="superscript"/>
        </w:rPr>
        <w:t>o</w:t>
      </w:r>
      <w:r>
        <w:t> 17</w:t>
      </w:r>
      <w:r w:rsidRPr="00750CCD">
        <w:t xml:space="preserve"> (</w:t>
      </w:r>
      <w:r>
        <w:t>Résistance mécanique des sièges</w:t>
      </w:r>
      <w:r w:rsidRPr="00750CCD">
        <w:t>)</w:t>
      </w:r>
    </w:p>
    <w:p w:rsidR="007A4229" w:rsidRPr="00750CCD" w:rsidRDefault="007A4229" w:rsidP="007A4229">
      <w:pPr>
        <w:pStyle w:val="H1G"/>
      </w:pPr>
      <w:r>
        <w:tab/>
      </w:r>
      <w:r>
        <w:tab/>
      </w:r>
      <w:r w:rsidRPr="00750CCD">
        <w:t>Communication de l</w:t>
      </w:r>
      <w:r>
        <w:t>’</w:t>
      </w:r>
      <w:r w:rsidRPr="00750CCD">
        <w:t>expert de l</w:t>
      </w:r>
      <w:r>
        <w:t>’</w:t>
      </w:r>
      <w:r w:rsidRPr="00750CCD">
        <w:t>Allemagne</w:t>
      </w:r>
      <w:r w:rsidRPr="00D13EF0">
        <w:rPr>
          <w:rStyle w:val="FootnoteReference"/>
          <w:b w:val="0"/>
          <w:sz w:val="20"/>
          <w:vertAlign w:val="baseline"/>
        </w:rPr>
        <w:footnoteReference w:customMarkFollows="1" w:id="2"/>
        <w:t>*</w:t>
      </w:r>
    </w:p>
    <w:p w:rsidR="007A4229" w:rsidRDefault="007A4229" w:rsidP="007A4229">
      <w:pPr>
        <w:pStyle w:val="SingleTxtG"/>
      </w:pPr>
      <w:r>
        <w:tab/>
      </w:r>
      <w:r w:rsidRPr="00750CCD">
        <w:t>Le texte reproduit ci-dessous, qui a été établi par l</w:t>
      </w:r>
      <w:r>
        <w:t>’</w:t>
      </w:r>
      <w:r w:rsidRPr="00750CCD">
        <w:t>expert de l</w:t>
      </w:r>
      <w:r>
        <w:t>’</w:t>
      </w:r>
      <w:r w:rsidRPr="00750CCD">
        <w:t>Allemagne, vise à préciser que les ceintures de sécurité et leurs éléments devraient être encore en état de fonctionnement ap</w:t>
      </w:r>
      <w:r>
        <w:t>rès l’essai de rétention</w:t>
      </w:r>
      <w:r w:rsidRPr="00750CCD">
        <w:t xml:space="preserve">. Il </w:t>
      </w:r>
      <w:r>
        <w:t xml:space="preserve">annule et remplace le document </w:t>
      </w:r>
      <w:r w:rsidRPr="00755CCC">
        <w:t xml:space="preserve">ECE/TRANS/WP.29/GRSP/2017/25 </w:t>
      </w:r>
      <w:r>
        <w:t xml:space="preserve">et le document informel GRSP-62-37, distribués à la soixante-deuxième session </w:t>
      </w:r>
      <w:r w:rsidRPr="00750CCD">
        <w:t xml:space="preserve">du Groupe de travail de la sécurité passive (GRSP) </w:t>
      </w:r>
      <w:r>
        <w:t>(ECE/TRANS/WP.29/GRSP/62</w:t>
      </w:r>
      <w:r w:rsidRPr="00750CCD">
        <w:t>, par.</w:t>
      </w:r>
      <w:r>
        <w:t> 17</w:t>
      </w:r>
      <w:r w:rsidRPr="00750CCD">
        <w:t>)</w:t>
      </w:r>
      <w:r>
        <w:t xml:space="preserve">, et s’inspire du document informel </w:t>
      </w:r>
      <w:r w:rsidR="00D13EF0">
        <w:t>GRSP</w:t>
      </w:r>
      <w:r w:rsidR="00D13EF0">
        <w:noBreakHyphen/>
        <w:t>61</w:t>
      </w:r>
      <w:r w:rsidR="00D13EF0">
        <w:noBreakHyphen/>
        <w:t>19</w:t>
      </w:r>
      <w:r w:rsidR="00D13EF0">
        <w:noBreakHyphen/>
      </w:r>
      <w:r>
        <w:t xml:space="preserve">Rev.1, distribué à la soixante et </w:t>
      </w:r>
      <w:r w:rsidRPr="00750CCD">
        <w:t>unième session du GRSP (ECE/TRANS/WP.29/GRSP/61, par.</w:t>
      </w:r>
      <w:r>
        <w:t> 22</w:t>
      </w:r>
      <w:r w:rsidRPr="00750CCD">
        <w:t xml:space="preserve">). Les modifications </w:t>
      </w:r>
      <w:r>
        <w:t xml:space="preserve">qu’il est proposé d’apporter au texte actuel du Règlement </w:t>
      </w:r>
      <w:r w:rsidRPr="002D76F4">
        <w:rPr>
          <w:rFonts w:eastAsia="MS Mincho"/>
          <w:szCs w:val="22"/>
        </w:rPr>
        <w:t>n</w:t>
      </w:r>
      <w:r w:rsidRPr="002D76F4">
        <w:rPr>
          <w:rFonts w:eastAsia="MS Mincho"/>
          <w:szCs w:val="22"/>
          <w:vertAlign w:val="superscript"/>
        </w:rPr>
        <w:t>o</w:t>
      </w:r>
      <w:r>
        <w:t xml:space="preserve"> 17 figurent en caractères </w:t>
      </w:r>
      <w:r w:rsidRPr="00750CCD">
        <w:t xml:space="preserve">gras pour les ajouts </w:t>
      </w:r>
      <w:r>
        <w:t>et</w:t>
      </w:r>
      <w:r w:rsidRPr="00750CCD">
        <w:t xml:space="preserve"> biffés pour les </w:t>
      </w:r>
      <w:r>
        <w:t>suppressions.</w:t>
      </w:r>
    </w:p>
    <w:p w:rsidR="007A4229" w:rsidRPr="0027232B" w:rsidRDefault="007A4229" w:rsidP="007A4229">
      <w:pPr>
        <w:pStyle w:val="HChG"/>
      </w:pPr>
      <w:r>
        <w:br w:type="page"/>
      </w:r>
      <w:r>
        <w:lastRenderedPageBreak/>
        <w:tab/>
        <w:t>I.</w:t>
      </w:r>
      <w:r>
        <w:tab/>
      </w:r>
      <w:r w:rsidRPr="0027232B">
        <w:t>Proposition</w:t>
      </w:r>
    </w:p>
    <w:p w:rsidR="007A4229" w:rsidRPr="00F221FC" w:rsidRDefault="007A4229" w:rsidP="007A4229">
      <w:pPr>
        <w:pStyle w:val="SingleTxtG"/>
      </w:pPr>
      <w:r w:rsidRPr="00F221FC">
        <w:rPr>
          <w:i/>
        </w:rPr>
        <w:t>Paragraphe 4.2</w:t>
      </w:r>
      <w:r w:rsidRPr="00F221FC">
        <w:t>,</w:t>
      </w:r>
      <w:r w:rsidRPr="00F221FC">
        <w:rPr>
          <w:i/>
        </w:rPr>
        <w:t xml:space="preserve"> </w:t>
      </w:r>
      <w:r w:rsidRPr="00F221FC">
        <w:t>modifier comme suit :</w:t>
      </w:r>
    </w:p>
    <w:p w:rsidR="007A4229" w:rsidRPr="00F221FC" w:rsidRDefault="007A4229" w:rsidP="007A4229">
      <w:pPr>
        <w:pStyle w:val="SingleTxtG"/>
        <w:ind w:left="2268" w:hanging="1134"/>
        <w:rPr>
          <w:color w:val="333333"/>
          <w:shd w:val="clear" w:color="auto" w:fill="FFFFFF"/>
        </w:rPr>
      </w:pPr>
      <w:r w:rsidRPr="00F221FC">
        <w:t>« 4.2</w:t>
      </w:r>
      <w:r w:rsidRPr="00F221FC">
        <w:tab/>
      </w:r>
      <w:r w:rsidRPr="00F221FC">
        <w:tab/>
      </w:r>
      <w:r w:rsidRPr="00F221FC">
        <w:rPr>
          <w:color w:val="333333"/>
          <w:shd w:val="clear" w:color="auto" w:fill="FFFFFF"/>
        </w:rPr>
        <w:t>Chaque homologation comporte l’attribution d’un numéro d’homologation dont les deux premiers chiffres (actuellement 0</w:t>
      </w:r>
      <w:r w:rsidRPr="00F221FC">
        <w:rPr>
          <w:b/>
          <w:color w:val="333333"/>
          <w:shd w:val="clear" w:color="auto" w:fill="FFFFFF"/>
        </w:rPr>
        <w:t>9</w:t>
      </w:r>
      <w:r w:rsidRPr="00F221FC">
        <w:rPr>
          <w:color w:val="333333"/>
          <w:shd w:val="clear" w:color="auto" w:fill="FFFFFF"/>
        </w:rPr>
        <w:t xml:space="preserve"> correspondant à la série 0</w:t>
      </w:r>
      <w:r w:rsidRPr="00F221FC">
        <w:rPr>
          <w:b/>
          <w:color w:val="333333"/>
          <w:shd w:val="clear" w:color="auto" w:fill="FFFFFF"/>
        </w:rPr>
        <w:t>9</w:t>
      </w:r>
      <w:r w:rsidRPr="00F221FC">
        <w:rPr>
          <w:color w:val="333333"/>
          <w:shd w:val="clear" w:color="auto" w:fill="FFFFFF"/>
        </w:rPr>
        <w:t xml:space="preserve"> d’amendements)… ».</w:t>
      </w:r>
    </w:p>
    <w:p w:rsidR="007A4229" w:rsidRPr="00F221FC" w:rsidRDefault="007A4229" w:rsidP="007A4229">
      <w:pPr>
        <w:pStyle w:val="SingleTxtG"/>
      </w:pPr>
      <w:r w:rsidRPr="00F221FC">
        <w:rPr>
          <w:i/>
        </w:rPr>
        <w:t>Paragraphes 5.16.1 et 5.16.2</w:t>
      </w:r>
      <w:r w:rsidRPr="00F221FC">
        <w:t>,</w:t>
      </w:r>
      <w:r w:rsidRPr="00F221FC">
        <w:rPr>
          <w:i/>
        </w:rPr>
        <w:t xml:space="preserve"> </w:t>
      </w:r>
      <w:r w:rsidRPr="00F221FC">
        <w:t>modifier comme suit :</w:t>
      </w:r>
    </w:p>
    <w:p w:rsidR="007A4229" w:rsidRPr="00F221FC" w:rsidRDefault="007A4229" w:rsidP="007A4229">
      <w:pPr>
        <w:pStyle w:val="SingleTxtG"/>
        <w:ind w:left="2268" w:hanging="1134"/>
        <w:rPr>
          <w:lang w:val="fr-FR"/>
        </w:rPr>
      </w:pPr>
      <w:r w:rsidRPr="00F221FC">
        <w:rPr>
          <w:b/>
        </w:rPr>
        <w:t>« </w:t>
      </w:r>
      <w:r w:rsidRPr="00F221FC">
        <w:rPr>
          <w:lang w:val="fr-FR"/>
        </w:rPr>
        <w:t>5.16.1</w:t>
      </w:r>
      <w:r w:rsidRPr="00F221FC">
        <w:rPr>
          <w:lang w:val="fr-FR"/>
        </w:rPr>
        <w:tab/>
        <w:t>Dossiers de siège</w:t>
      </w:r>
    </w:p>
    <w:p w:rsidR="007A4229" w:rsidRPr="00F221FC" w:rsidRDefault="007A4229" w:rsidP="00F221FC">
      <w:pPr>
        <w:pStyle w:val="SingleTxtG"/>
        <w:ind w:left="2268"/>
        <w:rPr>
          <w:lang w:val="fr-FR"/>
        </w:rPr>
      </w:pPr>
      <w:r w:rsidRPr="00F221FC">
        <w:rPr>
          <w:lang w:val="fr-FR"/>
        </w:rPr>
        <w:t xml:space="preserve">Les dossiers de siège et/ou appuie-tête situés de façon à constituer la limite avant du compartiment à bagages, tous les sièges étant en place et dans leur position d’utilisation normale selon les indications du constructeur, doivent être suffisamment résistants pour protéger les occupants contre les déplacements de bagages en cas de choc frontal. Cette condition est considérée comme remplie si, pendant et après l’exécution de l’essai décrit à l’annexe 9, les dossiers de siège restent dans leur position et les mécanismes de verrouillage sont toujours en place. La déformation des dossiers de siège et de leurs fixations pendant l’essai est toutefois autorisée à condition que le profil avant des parties du dossier de siège et/ou des </w:t>
      </w:r>
      <w:r w:rsidRPr="00F221FC">
        <w:rPr>
          <w:spacing w:val="-2"/>
          <w:lang w:val="fr-FR"/>
        </w:rPr>
        <w:t>appuie-tête à l’essai, dont la dureté est supérieure</w:t>
      </w:r>
      <w:r w:rsidRPr="00F221FC">
        <w:rPr>
          <w:lang w:val="fr-FR"/>
        </w:rPr>
        <w:t xml:space="preserve"> à 50 Shore A, ne s’avance pas au-delà d’un plan vertical transversal passant par :</w:t>
      </w:r>
    </w:p>
    <w:p w:rsidR="007A4229" w:rsidRPr="00F221FC" w:rsidRDefault="007A4229" w:rsidP="00F221FC">
      <w:pPr>
        <w:pStyle w:val="SingleTxtG"/>
        <w:ind w:left="2835" w:hanging="567"/>
      </w:pPr>
      <w:r w:rsidRPr="00F221FC">
        <w:rPr>
          <w:lang w:val="fr-FR"/>
        </w:rPr>
        <w:t>a)</w:t>
      </w:r>
      <w:r w:rsidRPr="00F221FC">
        <w:rPr>
          <w:lang w:val="fr-FR"/>
        </w:rPr>
        <w:tab/>
        <w:t xml:space="preserve">Un point situé 150 mm devant le point R du siège en question, pour les parties de </w:t>
      </w:r>
      <w:r w:rsidRPr="00F221FC">
        <w:t>l’appuie-tête ;</w:t>
      </w:r>
    </w:p>
    <w:p w:rsidR="007A4229" w:rsidRPr="00F221FC" w:rsidRDefault="007A4229" w:rsidP="00F221FC">
      <w:pPr>
        <w:pStyle w:val="SingleTxtG"/>
        <w:ind w:left="2835" w:hanging="567"/>
        <w:rPr>
          <w:lang w:val="fr-FR"/>
        </w:rPr>
      </w:pPr>
      <w:r w:rsidRPr="00F221FC">
        <w:rPr>
          <w:lang w:val="fr-FR"/>
        </w:rPr>
        <w:t>b)</w:t>
      </w:r>
      <w:r w:rsidRPr="00F221FC">
        <w:rPr>
          <w:lang w:val="fr-FR"/>
        </w:rPr>
        <w:tab/>
        <w:t>Un point situé 100 mm devant le point R du siège en question, pour les parties du dossier du siège ;</w:t>
      </w:r>
    </w:p>
    <w:p w:rsidR="007A4229" w:rsidRPr="00F221FC" w:rsidRDefault="007A4229" w:rsidP="00F221FC">
      <w:pPr>
        <w:pStyle w:val="SingleTxtG"/>
        <w:ind w:left="2268"/>
        <w:rPr>
          <w:lang w:val="fr-FR"/>
        </w:rPr>
      </w:pPr>
      <w:r w:rsidRPr="00F221FC">
        <w:rPr>
          <w:lang w:val="fr-FR"/>
        </w:rPr>
        <w:t xml:space="preserve">à </w:t>
      </w:r>
      <w:r w:rsidRPr="00F221FC">
        <w:t>l’exclusion</w:t>
      </w:r>
      <w:r w:rsidRPr="00F221FC">
        <w:rPr>
          <w:lang w:val="fr-FR"/>
        </w:rPr>
        <w:t xml:space="preserve"> des phases de rebond des masses d’essai.</w:t>
      </w:r>
    </w:p>
    <w:p w:rsidR="007A4229" w:rsidRPr="00F221FC" w:rsidRDefault="007A4229" w:rsidP="00F221FC">
      <w:pPr>
        <w:pStyle w:val="SingleTxtG"/>
        <w:ind w:left="2268"/>
        <w:rPr>
          <w:lang w:val="fr-FR"/>
        </w:rPr>
      </w:pPr>
      <w:r w:rsidRPr="00F221FC">
        <w:t>Pour</w:t>
      </w:r>
      <w:r w:rsidRPr="00F221FC">
        <w:rPr>
          <w:lang w:val="fr-FR"/>
        </w:rPr>
        <w:t xml:space="preserve"> les appuie-tête intégrés, la limite entre l’appuie-tête et le dossier de siège est définie par le plan perpendiculaire à la ligne de référence à 540 mm du point R.</w:t>
      </w:r>
    </w:p>
    <w:p w:rsidR="007A4229" w:rsidRPr="00F221FC" w:rsidRDefault="007A4229" w:rsidP="00F221FC">
      <w:pPr>
        <w:pStyle w:val="SingleTxtG"/>
        <w:ind w:left="2268"/>
        <w:rPr>
          <w:lang w:val="fr-FR"/>
        </w:rPr>
      </w:pPr>
      <w:r w:rsidRPr="00F221FC">
        <w:t>Toutes</w:t>
      </w:r>
      <w:r w:rsidRPr="00F221FC">
        <w:rPr>
          <w:lang w:val="fr-FR"/>
        </w:rPr>
        <w:t xml:space="preserve"> les mesures doivent être effectuées dans le plan longitudinal médian du siège correspondant ou de la place assise pour chacune de celles qui constituent la limite avant du compartiment à bagages.</w:t>
      </w:r>
    </w:p>
    <w:p w:rsidR="007A4229" w:rsidRPr="00F221FC" w:rsidRDefault="007A4229" w:rsidP="00F221FC">
      <w:pPr>
        <w:pStyle w:val="SingleTxtG"/>
        <w:ind w:left="2268"/>
        <w:rPr>
          <w:lang w:val="fr-FR"/>
        </w:rPr>
      </w:pPr>
      <w:r w:rsidRPr="00F221FC">
        <w:rPr>
          <w:lang w:val="fr-FR"/>
        </w:rPr>
        <w:t xml:space="preserve">Au cours de l’essai décrit dans l’annexe 9, les masses d’essai doivent rester derrière le ou les dossiers de siège en question. </w:t>
      </w:r>
      <w:r w:rsidRPr="00F221FC">
        <w:rPr>
          <w:b/>
          <w:lang w:val="fr-FR"/>
        </w:rPr>
        <w:t>En cas de dommages causés à un enrouleur, il faut s’assurer que celui-ci est déjà verrouillé ou qu’il peut l’être par une traction manuelle de la sangle.</w:t>
      </w:r>
      <w:r w:rsidRPr="00F221FC">
        <w:rPr>
          <w:lang w:val="fr-FR"/>
        </w:rPr>
        <w:t xml:space="preserve"> </w:t>
      </w:r>
    </w:p>
    <w:p w:rsidR="007A4229" w:rsidRPr="00F221FC" w:rsidRDefault="007A4229" w:rsidP="007A4229">
      <w:pPr>
        <w:pStyle w:val="SingleTxtG"/>
        <w:ind w:left="2268" w:hanging="1134"/>
        <w:rPr>
          <w:lang w:val="fr-FR"/>
        </w:rPr>
      </w:pPr>
      <w:r w:rsidRPr="00F221FC">
        <w:rPr>
          <w:lang w:val="fr-FR"/>
        </w:rPr>
        <w:t>5.16.2</w:t>
      </w:r>
      <w:r w:rsidRPr="00F221FC">
        <w:rPr>
          <w:lang w:val="fr-FR"/>
        </w:rPr>
        <w:tab/>
      </w:r>
      <w:r w:rsidRPr="00F221FC">
        <w:rPr>
          <w:lang w:val="fr-FR"/>
        </w:rPr>
        <w:tab/>
        <w:t>Systèmes de cloisonnement</w:t>
      </w:r>
    </w:p>
    <w:p w:rsidR="007A4229" w:rsidRPr="00F221FC" w:rsidRDefault="007A4229" w:rsidP="00F221FC">
      <w:pPr>
        <w:pStyle w:val="SingleTxtG"/>
        <w:ind w:left="2268"/>
        <w:rPr>
          <w:lang w:val="fr-FR"/>
        </w:rPr>
      </w:pPr>
      <w:r w:rsidRPr="00F221FC">
        <w:rPr>
          <w:lang w:val="fr-FR"/>
        </w:rPr>
        <w:t xml:space="preserve">À la </w:t>
      </w:r>
      <w:r w:rsidRPr="00F221FC">
        <w:t>demande</w:t>
      </w:r>
      <w:r w:rsidRPr="00F221FC">
        <w:rPr>
          <w:lang w:val="fr-FR"/>
        </w:rPr>
        <w:t xml:space="preserve"> du constructeur, l’essai décrit à l’annexe 9 peut être exécuté avec les systèmes de cloisonnement en place si ces systèmes sont montés en série dans le type de véhicule en question.</w:t>
      </w:r>
    </w:p>
    <w:p w:rsidR="007A4229" w:rsidRPr="00F221FC" w:rsidRDefault="007A4229" w:rsidP="00F221FC">
      <w:pPr>
        <w:pStyle w:val="SingleTxtG"/>
        <w:ind w:left="2268"/>
        <w:rPr>
          <w:lang w:val="fr-FR"/>
        </w:rPr>
      </w:pPr>
      <w:r w:rsidRPr="00F221FC">
        <w:rPr>
          <w:lang w:val="fr-FR"/>
        </w:rPr>
        <w:t xml:space="preserve">Les </w:t>
      </w:r>
      <w:r w:rsidRPr="00F221FC">
        <w:t>systèmes</w:t>
      </w:r>
      <w:r w:rsidRPr="00F221FC">
        <w:rPr>
          <w:lang w:val="fr-FR"/>
        </w:rPr>
        <w:t xml:space="preserve"> de cloisonnement, filets ou grillages, situés au-dessus des dossiers de siège dans leur position d’utilisation normale, doivent être ess</w:t>
      </w:r>
      <w:r w:rsidR="00D13EF0">
        <w:rPr>
          <w:lang w:val="fr-FR"/>
        </w:rPr>
        <w:t>ayés conformément au paragraphe </w:t>
      </w:r>
      <w:r w:rsidRPr="00F221FC">
        <w:rPr>
          <w:lang w:val="fr-FR"/>
        </w:rPr>
        <w:t>2.2 de l’</w:t>
      </w:r>
      <w:r w:rsidR="00D13EF0">
        <w:rPr>
          <w:lang w:val="fr-FR"/>
        </w:rPr>
        <w:t>annexe </w:t>
      </w:r>
      <w:r w:rsidRPr="00F221FC">
        <w:rPr>
          <w:lang w:val="fr-FR"/>
        </w:rPr>
        <w:t>9.</w:t>
      </w:r>
    </w:p>
    <w:p w:rsidR="007A4229" w:rsidRPr="00F221FC" w:rsidRDefault="007A4229" w:rsidP="00F221FC">
      <w:pPr>
        <w:pStyle w:val="SingleTxtG"/>
        <w:ind w:left="2268"/>
        <w:rPr>
          <w:lang w:val="fr-FR"/>
        </w:rPr>
      </w:pPr>
      <w:r w:rsidRPr="00F221FC">
        <w:rPr>
          <w:lang w:val="fr-FR"/>
        </w:rPr>
        <w:t xml:space="preserve">Cette </w:t>
      </w:r>
      <w:r w:rsidRPr="00F221FC">
        <w:t>condition</w:t>
      </w:r>
      <w:r w:rsidRPr="00F221FC">
        <w:rPr>
          <w:lang w:val="fr-FR"/>
        </w:rPr>
        <w:t xml:space="preserve"> est considérée comme remplie si, au cours de l’essai, les systèmes de cloisonnement restent dans leur position. La déformation des systèmes de cloisonnement au cours de l’essai est toutefois autorisée à condition que le profil avant des systèmes de cloisonnement (y compris les parties du ou des dossiers de siège et/ou du ou des appuie-tête à l’essai dont la dureté est supérieure à 50 Shore A) ne s’avance pas au-delà d’un plan vertical transversal passant par :</w:t>
      </w:r>
    </w:p>
    <w:p w:rsidR="007A4229" w:rsidRPr="00F221FC" w:rsidRDefault="007A4229" w:rsidP="00F221FC">
      <w:pPr>
        <w:pStyle w:val="SingleTxtG"/>
        <w:ind w:left="2835" w:hanging="567"/>
        <w:rPr>
          <w:lang w:val="fr-FR"/>
        </w:rPr>
      </w:pPr>
      <w:r w:rsidRPr="00F221FC">
        <w:rPr>
          <w:lang w:val="fr-FR"/>
        </w:rPr>
        <w:lastRenderedPageBreak/>
        <w:t>a)</w:t>
      </w:r>
      <w:r w:rsidRPr="00F221FC">
        <w:rPr>
          <w:lang w:val="fr-FR"/>
        </w:rPr>
        <w:tab/>
        <w:t>Un point situé 150 mm devant le point R du siège en question, pour les parties de l’appuie-tête ;</w:t>
      </w:r>
    </w:p>
    <w:p w:rsidR="007A4229" w:rsidRPr="00F221FC" w:rsidRDefault="007A4229" w:rsidP="00F221FC">
      <w:pPr>
        <w:pStyle w:val="SingleTxtG"/>
        <w:ind w:left="2835" w:hanging="567"/>
        <w:rPr>
          <w:lang w:val="fr-FR"/>
        </w:rPr>
      </w:pPr>
      <w:r w:rsidRPr="00F221FC">
        <w:rPr>
          <w:lang w:val="fr-FR"/>
        </w:rPr>
        <w:t>b)</w:t>
      </w:r>
      <w:r w:rsidRPr="00F221FC">
        <w:rPr>
          <w:lang w:val="fr-FR"/>
        </w:rPr>
        <w:tab/>
        <w:t xml:space="preserve">Un </w:t>
      </w:r>
      <w:r w:rsidRPr="00F221FC">
        <w:t>point</w:t>
      </w:r>
      <w:r w:rsidRPr="00F221FC">
        <w:rPr>
          <w:lang w:val="fr-FR"/>
        </w:rPr>
        <w:t xml:space="preserve"> situé 100 mm devant le point R du siège en question, pour les parties du dossier de siège et la partie du système de cloisonnement autres que l’appuie-tête.</w:t>
      </w:r>
    </w:p>
    <w:p w:rsidR="007A4229" w:rsidRPr="00F221FC" w:rsidRDefault="007A4229" w:rsidP="00F221FC">
      <w:pPr>
        <w:pStyle w:val="SingleTxtG"/>
        <w:ind w:left="2268"/>
        <w:rPr>
          <w:lang w:val="fr-FR"/>
        </w:rPr>
      </w:pPr>
      <w:r w:rsidRPr="00F221FC">
        <w:rPr>
          <w:lang w:val="fr-FR"/>
        </w:rPr>
        <w:t>S’agissant de l’appuie-tête intégré, la limite entre l’appuie-tête et le dossier de siège est celle définie au paragrap</w:t>
      </w:r>
      <w:r w:rsidR="00D13EF0">
        <w:rPr>
          <w:lang w:val="fr-FR"/>
        </w:rPr>
        <w:t>he </w:t>
      </w:r>
      <w:r w:rsidRPr="00F221FC">
        <w:rPr>
          <w:lang w:val="fr-FR"/>
        </w:rPr>
        <w:t>5.16.1.</w:t>
      </w:r>
    </w:p>
    <w:p w:rsidR="007A4229" w:rsidRPr="00F221FC" w:rsidRDefault="007A4229" w:rsidP="00F221FC">
      <w:pPr>
        <w:pStyle w:val="SingleTxtG"/>
        <w:ind w:left="2268"/>
        <w:rPr>
          <w:lang w:val="fr-FR"/>
        </w:rPr>
      </w:pPr>
      <w:r w:rsidRPr="00F221FC">
        <w:rPr>
          <w:lang w:val="fr-FR"/>
        </w:rPr>
        <w:t>Toutes les mesures doivent être effectuées dans le plan longitudinal médian du siège correspondant ou de la place assise pour chacune de celles qui constituent la limite avant du compartiment à bagages.</w:t>
      </w:r>
    </w:p>
    <w:p w:rsidR="007A4229" w:rsidRPr="00F221FC" w:rsidRDefault="007A4229" w:rsidP="00F221FC">
      <w:pPr>
        <w:pStyle w:val="SingleTxtG"/>
        <w:ind w:left="2268"/>
        <w:rPr>
          <w:lang w:val="fr-FR"/>
        </w:rPr>
      </w:pPr>
      <w:r w:rsidRPr="00F221FC">
        <w:rPr>
          <w:lang w:val="fr-FR"/>
        </w:rPr>
        <w:t>Après l’essai, il ne doit y avoir aucun angle aigu ou rugueux susceptible d’accroître le danger ou la gravité des blessures des occupants.</w:t>
      </w:r>
      <w:r w:rsidRPr="00F221FC">
        <w:rPr>
          <w:b/>
          <w:lang w:val="fr-FR"/>
        </w:rPr>
        <w:t xml:space="preserve"> En cas de dommages causés à un enrouleur, il faut s’assurer que celui-ci est déjà verrouillé ou qu’il peut l’être par une traction manuelle de la sangle.</w:t>
      </w:r>
      <w:r w:rsidR="00D13EF0">
        <w:rPr>
          <w:lang w:val="fr-FR"/>
        </w:rPr>
        <w:t> </w:t>
      </w:r>
      <w:r w:rsidRPr="00F221FC">
        <w:rPr>
          <w:lang w:val="fr-FR"/>
        </w:rPr>
        <w:t>».</w:t>
      </w:r>
    </w:p>
    <w:p w:rsidR="007A4229" w:rsidRPr="00F221FC" w:rsidRDefault="007A4229" w:rsidP="007A4229">
      <w:pPr>
        <w:pStyle w:val="SingleTxtG"/>
        <w:rPr>
          <w:lang w:val="fr-FR"/>
        </w:rPr>
      </w:pPr>
      <w:r w:rsidRPr="00F221FC">
        <w:rPr>
          <w:i/>
          <w:lang w:val="fr-FR"/>
        </w:rPr>
        <w:t>Paragraphe 7</w:t>
      </w:r>
      <w:r w:rsidRPr="00F221FC">
        <w:rPr>
          <w:lang w:val="fr-FR"/>
        </w:rPr>
        <w:t>, modifier comme suit :</w:t>
      </w:r>
    </w:p>
    <w:p w:rsidR="007A4229" w:rsidRPr="00F221FC" w:rsidRDefault="008E65D3" w:rsidP="008E65D3">
      <w:pPr>
        <w:pStyle w:val="HChG"/>
        <w:rPr>
          <w:sz w:val="20"/>
          <w:lang w:val="fr-FR"/>
        </w:rPr>
      </w:pPr>
      <w:r>
        <w:rPr>
          <w:sz w:val="20"/>
          <w:lang w:val="fr-FR"/>
        </w:rPr>
        <w:tab/>
      </w:r>
      <w:r>
        <w:rPr>
          <w:sz w:val="20"/>
          <w:lang w:val="fr-FR"/>
        </w:rPr>
        <w:tab/>
      </w:r>
      <w:r w:rsidR="007A4229" w:rsidRPr="00F221FC">
        <w:rPr>
          <w:sz w:val="20"/>
          <w:lang w:val="fr-FR"/>
        </w:rPr>
        <w:t>« </w:t>
      </w:r>
      <w:r w:rsidR="007A4229" w:rsidRPr="008E65D3">
        <w:rPr>
          <w:lang w:val="fr-FR"/>
        </w:rPr>
        <w:t>7.</w:t>
      </w:r>
      <w:r w:rsidR="007A4229" w:rsidRPr="008E65D3">
        <w:rPr>
          <w:lang w:val="fr-FR"/>
        </w:rPr>
        <w:tab/>
      </w:r>
      <w:r>
        <w:rPr>
          <w:lang w:val="fr-FR"/>
        </w:rPr>
        <w:tab/>
      </w:r>
      <w:r w:rsidR="007A4229" w:rsidRPr="008E65D3">
        <w:rPr>
          <w:lang w:val="fr-FR"/>
        </w:rPr>
        <w:t>Conformité de la production</w:t>
      </w:r>
    </w:p>
    <w:p w:rsidR="007A4229" w:rsidRPr="00F221FC" w:rsidRDefault="007A4229" w:rsidP="00F221FC">
      <w:pPr>
        <w:pStyle w:val="SingleTxtG"/>
        <w:ind w:left="2268"/>
        <w:rPr>
          <w:lang w:val="fr-FR"/>
        </w:rPr>
      </w:pPr>
      <w:r w:rsidRPr="00F221FC">
        <w:rPr>
          <w:lang w:val="fr-FR"/>
        </w:rPr>
        <w:t>Les procédures de contrôle de la conformité de la production doivent suivre celles qui sont énoncées à l’</w:t>
      </w:r>
      <w:r w:rsidRPr="00F221FC">
        <w:rPr>
          <w:strike/>
          <w:lang w:val="fr-FR"/>
        </w:rPr>
        <w:t>appendice 2</w:t>
      </w:r>
      <w:r w:rsidR="00D13EF0">
        <w:rPr>
          <w:b/>
          <w:lang w:val="fr-FR"/>
        </w:rPr>
        <w:t>annexe </w:t>
      </w:r>
      <w:r w:rsidRPr="00F221FC">
        <w:rPr>
          <w:b/>
          <w:lang w:val="fr-FR"/>
        </w:rPr>
        <w:t>1</w:t>
      </w:r>
      <w:r w:rsidRPr="00F221FC">
        <w:rPr>
          <w:lang w:val="fr-FR"/>
        </w:rPr>
        <w:t xml:space="preserve"> de l’Accord (E/ECE/TRANS/505/Rev.</w:t>
      </w:r>
      <w:r w:rsidRPr="00F221FC">
        <w:rPr>
          <w:b/>
          <w:lang w:val="fr-FR"/>
        </w:rPr>
        <w:t>3</w:t>
      </w:r>
      <w:r w:rsidRPr="00F221FC">
        <w:rPr>
          <w:lang w:val="fr-FR"/>
        </w:rPr>
        <w:t>) et respecter les prescriptions suivantes : ».</w:t>
      </w:r>
    </w:p>
    <w:p w:rsidR="007A4229" w:rsidRPr="00F221FC" w:rsidRDefault="007A4229" w:rsidP="007A4229">
      <w:pPr>
        <w:pStyle w:val="SingleTxtG"/>
        <w:rPr>
          <w:color w:val="333333"/>
          <w:shd w:val="clear" w:color="auto" w:fill="FFFFFF"/>
        </w:rPr>
      </w:pPr>
      <w:r w:rsidRPr="00F221FC">
        <w:rPr>
          <w:i/>
          <w:color w:val="333333"/>
          <w:shd w:val="clear" w:color="auto" w:fill="FFFFFF"/>
        </w:rPr>
        <w:t>Ajouter les nouveaux paragraphes 13.12 à 13.12.5</w:t>
      </w:r>
      <w:r w:rsidR="00D13EF0">
        <w:rPr>
          <w:color w:val="333333"/>
          <w:shd w:val="clear" w:color="auto" w:fill="FFFFFF"/>
        </w:rPr>
        <w:t>, libellés comme suit </w:t>
      </w:r>
      <w:r w:rsidRPr="00F221FC">
        <w:rPr>
          <w:color w:val="333333"/>
          <w:shd w:val="clear" w:color="auto" w:fill="FFFFFF"/>
        </w:rPr>
        <w:t>:</w:t>
      </w:r>
    </w:p>
    <w:p w:rsidR="007A4229" w:rsidRPr="00F221FC" w:rsidRDefault="007A4229" w:rsidP="007A4229">
      <w:pPr>
        <w:pStyle w:val="SingleTxtG"/>
        <w:ind w:left="2268" w:hanging="1134"/>
        <w:rPr>
          <w:b/>
          <w:color w:val="333333"/>
          <w:shd w:val="clear" w:color="auto" w:fill="FFFFFF"/>
        </w:rPr>
      </w:pPr>
      <w:r w:rsidRPr="00F221FC">
        <w:rPr>
          <w:b/>
          <w:color w:val="333333"/>
          <w:shd w:val="clear" w:color="auto" w:fill="FFFFFF"/>
        </w:rPr>
        <w:t>«</w:t>
      </w:r>
      <w:r w:rsidR="00D13EF0">
        <w:rPr>
          <w:b/>
          <w:color w:val="333333"/>
          <w:shd w:val="clear" w:color="auto" w:fill="FFFFFF"/>
        </w:rPr>
        <w:t> </w:t>
      </w:r>
      <w:r w:rsidRPr="00F221FC">
        <w:rPr>
          <w:b/>
          <w:color w:val="333333"/>
          <w:shd w:val="clear" w:color="auto" w:fill="FFFFFF"/>
        </w:rPr>
        <w:t>13.12</w:t>
      </w:r>
      <w:r w:rsidRPr="00F221FC">
        <w:rPr>
          <w:b/>
          <w:color w:val="333333"/>
          <w:shd w:val="clear" w:color="auto" w:fill="FFFFFF"/>
        </w:rPr>
        <w:tab/>
        <w:t>À compter de la date officielle d’</w:t>
      </w:r>
      <w:r w:rsidR="00D13EF0">
        <w:rPr>
          <w:b/>
          <w:color w:val="333333"/>
          <w:shd w:val="clear" w:color="auto" w:fill="FFFFFF"/>
        </w:rPr>
        <w:t>entrée en vigueur de la série </w:t>
      </w:r>
      <w:r w:rsidRPr="00F221FC">
        <w:rPr>
          <w:b/>
          <w:color w:val="333333"/>
          <w:shd w:val="clear" w:color="auto" w:fill="FFFFFF"/>
        </w:rPr>
        <w:t>09 d’amendements, aucune Partie contractante appliquant le présent Règlement ne pourra refuser d’accorder ou d’accepter une homologation de type en vertu du Règleme</w:t>
      </w:r>
      <w:r w:rsidR="00D13EF0">
        <w:rPr>
          <w:b/>
          <w:color w:val="333333"/>
          <w:shd w:val="clear" w:color="auto" w:fill="FFFFFF"/>
        </w:rPr>
        <w:t>nt tel que modifié par la série </w:t>
      </w:r>
      <w:r w:rsidRPr="00F221FC">
        <w:rPr>
          <w:b/>
          <w:color w:val="333333"/>
          <w:shd w:val="clear" w:color="auto" w:fill="FFFFFF"/>
        </w:rPr>
        <w:t>09 d’amendements.</w:t>
      </w:r>
    </w:p>
    <w:p w:rsidR="007A4229" w:rsidRPr="00F221FC" w:rsidRDefault="007A4229" w:rsidP="007A4229">
      <w:pPr>
        <w:pStyle w:val="SingleTxtG"/>
        <w:ind w:left="2268" w:hanging="1134"/>
        <w:rPr>
          <w:b/>
          <w:color w:val="333333"/>
          <w:shd w:val="clear" w:color="auto" w:fill="FFFFFF"/>
        </w:rPr>
      </w:pPr>
      <w:r w:rsidRPr="00F221FC">
        <w:rPr>
          <w:b/>
          <w:color w:val="333333"/>
          <w:shd w:val="clear" w:color="auto" w:fill="FFFFFF"/>
        </w:rPr>
        <w:t>13.12.1</w:t>
      </w:r>
      <w:r w:rsidRPr="00F221FC">
        <w:rPr>
          <w:b/>
          <w:color w:val="333333"/>
          <w:shd w:val="clear" w:color="auto" w:fill="FFFFFF"/>
        </w:rPr>
        <w:tab/>
        <w:t>À compter du 1</w:t>
      </w:r>
      <w:r w:rsidRPr="00F221FC">
        <w:rPr>
          <w:b/>
          <w:color w:val="333333"/>
          <w:shd w:val="clear" w:color="auto" w:fill="FFFFFF"/>
          <w:vertAlign w:val="superscript"/>
        </w:rPr>
        <w:t>er</w:t>
      </w:r>
      <w:r w:rsidRPr="00F221FC">
        <w:rPr>
          <w:b/>
          <w:color w:val="333333"/>
          <w:shd w:val="clear" w:color="auto" w:fill="FFFFFF"/>
        </w:rPr>
        <w:t xml:space="preserve"> septembre 2020, les Parties contractantes appliquant le présent Règlement ne seront plus tenues d’accepter les homologations de type délivrées au titre des précédentes séries d’amendements le 1</w:t>
      </w:r>
      <w:r w:rsidRPr="00F221FC">
        <w:rPr>
          <w:b/>
          <w:color w:val="333333"/>
          <w:shd w:val="clear" w:color="auto" w:fill="FFFFFF"/>
          <w:vertAlign w:val="superscript"/>
        </w:rPr>
        <w:t>er</w:t>
      </w:r>
      <w:r w:rsidR="00D13EF0">
        <w:rPr>
          <w:b/>
          <w:color w:val="333333"/>
          <w:shd w:val="clear" w:color="auto" w:fill="FFFFFF"/>
        </w:rPr>
        <w:t> </w:t>
      </w:r>
      <w:r w:rsidRPr="00F221FC">
        <w:rPr>
          <w:b/>
          <w:color w:val="333333"/>
          <w:shd w:val="clear" w:color="auto" w:fill="FFFFFF"/>
        </w:rPr>
        <w:t>septembre 2020 ou ultérieurement.</w:t>
      </w:r>
    </w:p>
    <w:p w:rsidR="007A4229" w:rsidRPr="00F221FC" w:rsidRDefault="007A4229" w:rsidP="007A4229">
      <w:pPr>
        <w:pStyle w:val="SingleTxtG"/>
        <w:ind w:left="2268" w:hanging="1134"/>
        <w:rPr>
          <w:b/>
          <w:color w:val="333333"/>
          <w:shd w:val="clear" w:color="auto" w:fill="FFFFFF"/>
        </w:rPr>
      </w:pPr>
      <w:r w:rsidRPr="00F221FC">
        <w:rPr>
          <w:b/>
          <w:color w:val="333333"/>
          <w:shd w:val="clear" w:color="auto" w:fill="FFFFFF"/>
        </w:rPr>
        <w:t>13.12.2</w:t>
      </w:r>
      <w:r w:rsidRPr="00F221FC">
        <w:rPr>
          <w:b/>
          <w:color w:val="333333"/>
          <w:shd w:val="clear" w:color="auto" w:fill="FFFFFF"/>
        </w:rPr>
        <w:tab/>
        <w:t>Jusqu’au 1</w:t>
      </w:r>
      <w:r w:rsidRPr="00F221FC">
        <w:rPr>
          <w:b/>
          <w:color w:val="333333"/>
          <w:shd w:val="clear" w:color="auto" w:fill="FFFFFF"/>
          <w:vertAlign w:val="superscript"/>
        </w:rPr>
        <w:t>er</w:t>
      </w:r>
      <w:r w:rsidR="00D13EF0">
        <w:rPr>
          <w:b/>
          <w:color w:val="333333"/>
          <w:shd w:val="clear" w:color="auto" w:fill="FFFFFF"/>
        </w:rPr>
        <w:t> </w:t>
      </w:r>
      <w:r w:rsidRPr="00F221FC">
        <w:rPr>
          <w:b/>
          <w:color w:val="333333"/>
          <w:shd w:val="clear" w:color="auto" w:fill="FFFFFF"/>
        </w:rPr>
        <w:t>septembre 2022, les Parties contractantes appliquant le présent Règlement accepteront les homologations de type délivrées au titre des précédentes séries d’amendements avant le 1</w:t>
      </w:r>
      <w:r w:rsidRPr="00F221FC">
        <w:rPr>
          <w:b/>
          <w:color w:val="333333"/>
          <w:shd w:val="clear" w:color="auto" w:fill="FFFFFF"/>
          <w:vertAlign w:val="superscript"/>
        </w:rPr>
        <w:t>er</w:t>
      </w:r>
      <w:r w:rsidR="00D13EF0">
        <w:rPr>
          <w:b/>
          <w:color w:val="333333"/>
          <w:shd w:val="clear" w:color="auto" w:fill="FFFFFF"/>
        </w:rPr>
        <w:t> </w:t>
      </w:r>
      <w:r w:rsidRPr="00F221FC">
        <w:rPr>
          <w:b/>
          <w:color w:val="333333"/>
          <w:shd w:val="clear" w:color="auto" w:fill="FFFFFF"/>
        </w:rPr>
        <w:t>septembre 2020.</w:t>
      </w:r>
    </w:p>
    <w:p w:rsidR="007A4229" w:rsidRPr="00F221FC" w:rsidRDefault="007A4229" w:rsidP="007A4229">
      <w:pPr>
        <w:pStyle w:val="SingleTxtG"/>
        <w:ind w:left="2268" w:hanging="1134"/>
        <w:rPr>
          <w:b/>
          <w:color w:val="333333"/>
          <w:shd w:val="clear" w:color="auto" w:fill="FFFFFF"/>
        </w:rPr>
      </w:pPr>
      <w:r w:rsidRPr="00F221FC">
        <w:rPr>
          <w:b/>
          <w:color w:val="333333"/>
          <w:shd w:val="clear" w:color="auto" w:fill="FFFFFF"/>
        </w:rPr>
        <w:t>13.12.3</w:t>
      </w:r>
      <w:r w:rsidRPr="00F221FC">
        <w:rPr>
          <w:b/>
          <w:color w:val="333333"/>
          <w:shd w:val="clear" w:color="auto" w:fill="FFFFFF"/>
        </w:rPr>
        <w:tab/>
        <w:t>À compter du 1</w:t>
      </w:r>
      <w:r w:rsidRPr="00F221FC">
        <w:rPr>
          <w:b/>
          <w:color w:val="333333"/>
          <w:shd w:val="clear" w:color="auto" w:fill="FFFFFF"/>
          <w:vertAlign w:val="superscript"/>
        </w:rPr>
        <w:t>er</w:t>
      </w:r>
      <w:r w:rsidR="00D13EF0">
        <w:rPr>
          <w:b/>
          <w:color w:val="333333"/>
          <w:shd w:val="clear" w:color="auto" w:fill="FFFFFF"/>
        </w:rPr>
        <w:t> </w:t>
      </w:r>
      <w:r w:rsidRPr="00F221FC">
        <w:rPr>
          <w:b/>
          <w:color w:val="333333"/>
          <w:shd w:val="clear" w:color="auto" w:fill="FFFFFF"/>
        </w:rPr>
        <w:t>septembre 2022, les Parties contractantes appliquant le présent Règlement ne seront plus tenues d’accepter les homologations de type délivrées au titre des précédentes séries d’amendements audit Règlement.</w:t>
      </w:r>
    </w:p>
    <w:p w:rsidR="007A4229" w:rsidRPr="00F221FC" w:rsidRDefault="007A4229" w:rsidP="007A4229">
      <w:pPr>
        <w:pStyle w:val="SingleTxtG"/>
        <w:ind w:left="2268" w:hanging="1134"/>
        <w:rPr>
          <w:b/>
          <w:color w:val="333333"/>
          <w:shd w:val="clear" w:color="auto" w:fill="FFFFFF"/>
        </w:rPr>
      </w:pPr>
      <w:r w:rsidRPr="00F221FC">
        <w:rPr>
          <w:b/>
          <w:color w:val="333333"/>
          <w:shd w:val="clear" w:color="auto" w:fill="FFFFFF"/>
        </w:rPr>
        <w:t>13.12.4</w:t>
      </w:r>
      <w:r w:rsidRPr="00F221FC">
        <w:rPr>
          <w:b/>
          <w:color w:val="333333"/>
          <w:shd w:val="clear" w:color="auto" w:fill="FFFFFF"/>
        </w:rPr>
        <w:tab/>
        <w:t>Nonobstant le paragraphe 13.12.3, les Parties contractantes appliquant le présent Règlement continueront d’accepter les homologations de type accordées au titre des précédentes séries d’amendements audit Règlement pour les véhicules qui ne sont pas concernés par les modifications apportées par la série 09 d’amendements.</w:t>
      </w:r>
    </w:p>
    <w:p w:rsidR="007A4229" w:rsidRPr="00F221FC" w:rsidRDefault="007A4229" w:rsidP="007A4229">
      <w:pPr>
        <w:pStyle w:val="SingleTxtG"/>
        <w:ind w:left="2268" w:hanging="1134"/>
        <w:rPr>
          <w:color w:val="333333"/>
          <w:shd w:val="clear" w:color="auto" w:fill="FFFFFF"/>
        </w:rPr>
      </w:pPr>
      <w:r w:rsidRPr="00F221FC">
        <w:rPr>
          <w:b/>
          <w:color w:val="333333"/>
          <w:shd w:val="clear" w:color="auto" w:fill="FFFFFF"/>
        </w:rPr>
        <w:t>13.12.5</w:t>
      </w:r>
      <w:r w:rsidRPr="00F221FC">
        <w:rPr>
          <w:b/>
          <w:color w:val="333333"/>
          <w:shd w:val="clear" w:color="auto" w:fill="FFFFFF"/>
        </w:rPr>
        <w:tab/>
        <w:t>Les Parties contractantes qui appliquent le présent Règlement ne doivent pas refuser de délivrer des homologations de type au titre de l’une quelconque des précédentes séries d’amendements audit Règlement, ou d’accorder des extensions pour les homologations en question.</w:t>
      </w:r>
      <w:r w:rsidR="00D13EF0">
        <w:rPr>
          <w:b/>
          <w:color w:val="333333"/>
          <w:shd w:val="clear" w:color="auto" w:fill="FFFFFF"/>
        </w:rPr>
        <w:t> </w:t>
      </w:r>
      <w:r w:rsidRPr="00F221FC">
        <w:rPr>
          <w:b/>
          <w:color w:val="333333"/>
          <w:shd w:val="clear" w:color="auto" w:fill="FFFFFF"/>
        </w:rPr>
        <w:t>».</w:t>
      </w:r>
    </w:p>
    <w:p w:rsidR="007A4229" w:rsidRPr="00F221FC" w:rsidRDefault="00F221FC" w:rsidP="007A4229">
      <w:pPr>
        <w:pStyle w:val="SingleTxtG"/>
      </w:pPr>
      <w:r w:rsidRPr="00F221FC">
        <w:rPr>
          <w:i/>
        </w:rPr>
        <w:br w:type="page"/>
      </w:r>
      <w:r w:rsidR="007A4229" w:rsidRPr="00F221FC">
        <w:rPr>
          <w:i/>
        </w:rPr>
        <w:lastRenderedPageBreak/>
        <w:t>Annexe 2</w:t>
      </w:r>
      <w:r w:rsidR="00D13EF0">
        <w:t>, modifier comme suit </w:t>
      </w:r>
      <w:r w:rsidR="007A4229" w:rsidRPr="00F221FC">
        <w:t>:</w:t>
      </w:r>
    </w:p>
    <w:p w:rsidR="007A4229" w:rsidRPr="00F221FC" w:rsidRDefault="00D13EF0" w:rsidP="007A4229">
      <w:pPr>
        <w:pStyle w:val="SingleTxtG"/>
      </w:pPr>
      <w:r>
        <w:t>« </w:t>
      </w:r>
      <w:r w:rsidR="007A4229" w:rsidRPr="00F221FC">
        <w:t>Modèle A</w:t>
      </w:r>
    </w:p>
    <w:p w:rsidR="007A4229" w:rsidRPr="00F221FC" w:rsidRDefault="007A4229" w:rsidP="007A4229">
      <w:pPr>
        <w:pStyle w:val="SingleTxtG"/>
      </w:pPr>
      <w:r w:rsidRPr="00F221FC">
        <w:t>…</w:t>
      </w:r>
    </w:p>
    <w:p w:rsidR="007A4229" w:rsidRDefault="007A4229" w:rsidP="00D13EF0">
      <w:pPr>
        <w:ind w:left="1134"/>
      </w:pPr>
      <w:r>
        <w:rPr>
          <w:noProof/>
          <w:lang w:eastAsia="fr-CH"/>
        </w:rPr>
        <w:drawing>
          <wp:inline distT="0" distB="0" distL="0" distR="0" wp14:anchorId="0C3FB9A2" wp14:editId="03C14463">
            <wp:extent cx="4659630" cy="951230"/>
            <wp:effectExtent l="0" t="0" r="762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9630" cy="951230"/>
                    </a:xfrm>
                    <a:prstGeom prst="rect">
                      <a:avLst/>
                    </a:prstGeom>
                    <a:noFill/>
                    <a:ln>
                      <a:noFill/>
                    </a:ln>
                  </pic:spPr>
                </pic:pic>
              </a:graphicData>
            </a:graphic>
          </wp:inline>
        </w:drawing>
      </w:r>
    </w:p>
    <w:p w:rsidR="007A4229" w:rsidRPr="00D13EF0" w:rsidRDefault="007A4229" w:rsidP="00D13EF0">
      <w:pPr>
        <w:pStyle w:val="SingleTxtG"/>
        <w:spacing w:after="240"/>
        <w:jc w:val="right"/>
        <w:rPr>
          <w:sz w:val="18"/>
          <w:szCs w:val="18"/>
          <w:shd w:val="clear" w:color="auto" w:fill="FFFFFF"/>
        </w:rPr>
      </w:pPr>
      <w:r w:rsidRPr="00D13EF0">
        <w:rPr>
          <w:sz w:val="18"/>
          <w:szCs w:val="18"/>
          <w:shd w:val="clear" w:color="auto" w:fill="FFFFFF"/>
        </w:rPr>
        <w:t>a = 8 mm min.</w:t>
      </w:r>
    </w:p>
    <w:p w:rsidR="007A4229" w:rsidRDefault="00D13EF0" w:rsidP="007A4229">
      <w:pPr>
        <w:pStyle w:val="SingleTxtG"/>
      </w:pPr>
      <w:r>
        <w:tab/>
      </w:r>
      <w:r w:rsidR="007A4229" w:rsidRPr="00160B0A">
        <w:t>La marque d</w:t>
      </w:r>
      <w:r w:rsidR="007A4229">
        <w:t>’</w:t>
      </w:r>
      <w:r w:rsidR="007A4229" w:rsidRPr="00160B0A">
        <w:t>homologation ci-dessus … sous le numéro d</w:t>
      </w:r>
      <w:r w:rsidR="007A4229">
        <w:t>’</w:t>
      </w:r>
      <w:r w:rsidR="007A4229" w:rsidRPr="00160B0A">
        <w:t>homologation 0</w:t>
      </w:r>
      <w:r w:rsidR="007A4229" w:rsidRPr="00160B0A">
        <w:rPr>
          <w:b/>
        </w:rPr>
        <w:t>9</w:t>
      </w:r>
      <w:r w:rsidR="007A4229">
        <w:t>24</w:t>
      </w:r>
      <w:r w:rsidR="007A4229" w:rsidRPr="00160B0A">
        <w:t>39. Les deux premiers chiffres du numéro d</w:t>
      </w:r>
      <w:r w:rsidR="007A4229">
        <w:t>’</w:t>
      </w:r>
      <w:r w:rsidR="007A4229" w:rsidRPr="00160B0A">
        <w:t>homologation signifient que le Règlement n</w:t>
      </w:r>
      <w:r w:rsidR="007A4229" w:rsidRPr="00160B0A">
        <w:rPr>
          <w:vertAlign w:val="superscript"/>
        </w:rPr>
        <w:t>o</w:t>
      </w:r>
      <w:r>
        <w:t> </w:t>
      </w:r>
      <w:r w:rsidR="007A4229" w:rsidRPr="00160B0A">
        <w:t>17 comprenait</w:t>
      </w:r>
      <w:r w:rsidR="007A4229">
        <w:t xml:space="preserve"> déjà </w:t>
      </w:r>
      <w:r w:rsidR="007A4229" w:rsidRPr="00160B0A">
        <w:t>la série 0</w:t>
      </w:r>
      <w:r w:rsidR="007A4229" w:rsidRPr="00160B0A">
        <w:rPr>
          <w:b/>
        </w:rPr>
        <w:t>9</w:t>
      </w:r>
      <w:r w:rsidR="007A4229" w:rsidRPr="00160B0A">
        <w:t xml:space="preserve"> d</w:t>
      </w:r>
      <w:r w:rsidR="007A4229">
        <w:t>’</w:t>
      </w:r>
      <w:r w:rsidR="007A4229" w:rsidRPr="00160B0A">
        <w:t>amendements</w:t>
      </w:r>
      <w:r w:rsidR="007A4229">
        <w:t>…</w:t>
      </w:r>
    </w:p>
    <w:p w:rsidR="007A4229" w:rsidRDefault="007A4229" w:rsidP="007A4229">
      <w:pPr>
        <w:pStyle w:val="SingleTxtG"/>
      </w:pPr>
      <w:r>
        <w:t>Modèle B</w:t>
      </w:r>
    </w:p>
    <w:p w:rsidR="007A4229" w:rsidRDefault="007A4229" w:rsidP="007A4229">
      <w:pPr>
        <w:pStyle w:val="SingleTxtG"/>
      </w:pPr>
      <w:r>
        <w:t>…</w:t>
      </w:r>
    </w:p>
    <w:p w:rsidR="007A4229" w:rsidRDefault="007A4229" w:rsidP="00D13EF0">
      <w:pPr>
        <w:ind w:left="1134"/>
      </w:pPr>
      <w:r>
        <w:rPr>
          <w:noProof/>
          <w:lang w:eastAsia="fr-CH"/>
        </w:rPr>
        <w:drawing>
          <wp:inline distT="0" distB="0" distL="0" distR="0" wp14:anchorId="2869425A" wp14:editId="69233140">
            <wp:extent cx="4594225" cy="9874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4225" cy="987425"/>
                    </a:xfrm>
                    <a:prstGeom prst="rect">
                      <a:avLst/>
                    </a:prstGeom>
                    <a:noFill/>
                    <a:ln>
                      <a:noFill/>
                    </a:ln>
                  </pic:spPr>
                </pic:pic>
              </a:graphicData>
            </a:graphic>
          </wp:inline>
        </w:drawing>
      </w:r>
    </w:p>
    <w:p w:rsidR="007A4229" w:rsidRPr="00D13EF0" w:rsidRDefault="007A4229" w:rsidP="00D13EF0">
      <w:pPr>
        <w:pStyle w:val="SingleTxtG"/>
        <w:spacing w:after="240"/>
        <w:jc w:val="right"/>
        <w:rPr>
          <w:color w:val="333333"/>
          <w:sz w:val="18"/>
          <w:szCs w:val="18"/>
          <w:shd w:val="clear" w:color="auto" w:fill="FFFFFF"/>
        </w:rPr>
      </w:pPr>
      <w:r w:rsidRPr="00D13EF0">
        <w:rPr>
          <w:color w:val="333333"/>
          <w:sz w:val="18"/>
          <w:szCs w:val="18"/>
          <w:shd w:val="clear" w:color="auto" w:fill="FFFFFF"/>
        </w:rPr>
        <w:t>a = 8 mm min.</w:t>
      </w:r>
    </w:p>
    <w:p w:rsidR="007A4229" w:rsidRDefault="00D13EF0" w:rsidP="007A4229">
      <w:pPr>
        <w:pStyle w:val="SingleTxtG"/>
      </w:pPr>
      <w:r>
        <w:tab/>
      </w:r>
      <w:r w:rsidR="007A4229" w:rsidRPr="00160B0A">
        <w:t>La marque d</w:t>
      </w:r>
      <w:r w:rsidR="007A4229">
        <w:t>’</w:t>
      </w:r>
      <w:r w:rsidR="007A4229" w:rsidRPr="00160B0A">
        <w:t>homologation ci-dessus … sous le numéro d</w:t>
      </w:r>
      <w:r w:rsidR="007A4229">
        <w:t>’</w:t>
      </w:r>
      <w:r w:rsidR="007A4229" w:rsidRPr="00160B0A">
        <w:t>homologation 0</w:t>
      </w:r>
      <w:r w:rsidR="007A4229" w:rsidRPr="00160B0A">
        <w:rPr>
          <w:b/>
        </w:rPr>
        <w:t>9</w:t>
      </w:r>
      <w:r w:rsidR="007A4229">
        <w:t>24</w:t>
      </w:r>
      <w:r w:rsidR="007A4229" w:rsidRPr="00160B0A">
        <w:t>39</w:t>
      </w:r>
      <w:r w:rsidR="007A4229">
        <w:t xml:space="preserve">. </w:t>
      </w:r>
      <w:r w:rsidR="007A4229" w:rsidRPr="00AF3E35">
        <w:t>Les deux premiers chiffres du numéro d</w:t>
      </w:r>
      <w:r w:rsidR="007A4229">
        <w:t>’</w:t>
      </w:r>
      <w:r w:rsidR="007A4229" w:rsidRPr="00AF3E35">
        <w:t>homologation signifient que le Règlement n</w:t>
      </w:r>
      <w:r w:rsidR="007A4229" w:rsidRPr="00AF3E35">
        <w:rPr>
          <w:vertAlign w:val="superscript"/>
        </w:rPr>
        <w:t>o</w:t>
      </w:r>
      <w:r>
        <w:t> </w:t>
      </w:r>
      <w:r w:rsidR="007A4229" w:rsidRPr="00AF3E35">
        <w:t xml:space="preserve">17 comprenait </w:t>
      </w:r>
      <w:r w:rsidR="007A4229">
        <w:t xml:space="preserve">déjà </w:t>
      </w:r>
      <w:r>
        <w:t>la série </w:t>
      </w:r>
      <w:r w:rsidR="007A4229" w:rsidRPr="00AF3E35">
        <w:t>0</w:t>
      </w:r>
      <w:r w:rsidR="007A4229" w:rsidRPr="002632A9">
        <w:rPr>
          <w:b/>
        </w:rPr>
        <w:t>9</w:t>
      </w:r>
      <w:r w:rsidR="007A4229" w:rsidRPr="00AF3E35">
        <w:t xml:space="preserve"> d</w:t>
      </w:r>
      <w:r w:rsidR="007A4229">
        <w:t>’</w:t>
      </w:r>
      <w:r w:rsidR="007A4229" w:rsidRPr="00AF3E35">
        <w:t>amendements lorsque l</w:t>
      </w:r>
      <w:r w:rsidR="007A4229">
        <w:t>’</w:t>
      </w:r>
      <w:r w:rsidR="007A4229" w:rsidRPr="00AF3E35">
        <w:t>homologation a été délivrée</w:t>
      </w:r>
      <w:r w:rsidR="007A4229">
        <w:t>.</w:t>
      </w:r>
    </w:p>
    <w:p w:rsidR="007A4229" w:rsidRDefault="007A4229" w:rsidP="007A4229">
      <w:pPr>
        <w:pStyle w:val="SingleTxtG"/>
      </w:pPr>
      <w:r>
        <w:t>Modèle C</w:t>
      </w:r>
    </w:p>
    <w:p w:rsidR="007A4229" w:rsidRDefault="007A4229" w:rsidP="007A4229">
      <w:pPr>
        <w:pStyle w:val="SingleTxtG"/>
      </w:pPr>
      <w:r>
        <w:t>…</w:t>
      </w:r>
    </w:p>
    <w:p w:rsidR="007A4229" w:rsidRDefault="007A4229" w:rsidP="008E65D3">
      <w:pPr>
        <w:spacing w:after="240"/>
        <w:ind w:left="1134"/>
      </w:pPr>
      <w:r>
        <w:rPr>
          <w:noProof/>
          <w:lang w:eastAsia="fr-CH"/>
        </w:rPr>
        <w:drawing>
          <wp:inline distT="0" distB="0" distL="0" distR="0" wp14:anchorId="06254F70" wp14:editId="60653C20">
            <wp:extent cx="5391150" cy="104584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1045845"/>
                    </a:xfrm>
                    <a:prstGeom prst="rect">
                      <a:avLst/>
                    </a:prstGeom>
                    <a:noFill/>
                    <a:ln>
                      <a:noFill/>
                    </a:ln>
                  </pic:spPr>
                </pic:pic>
              </a:graphicData>
            </a:graphic>
          </wp:inline>
        </w:drawing>
      </w:r>
    </w:p>
    <w:p w:rsidR="00D13EF0" w:rsidRDefault="00D13EF0" w:rsidP="00D13EF0">
      <w:pPr>
        <w:pStyle w:val="SingleTxtG"/>
        <w:spacing w:after="240"/>
        <w:jc w:val="right"/>
      </w:pPr>
      <w:r w:rsidRPr="00D13EF0">
        <w:rPr>
          <w:color w:val="333333"/>
          <w:sz w:val="18"/>
          <w:szCs w:val="18"/>
          <w:shd w:val="clear" w:color="auto" w:fill="FFFFFF"/>
        </w:rPr>
        <w:t>a = 8 mm min.</w:t>
      </w:r>
    </w:p>
    <w:p w:rsidR="007A4229" w:rsidRDefault="00D13EF0" w:rsidP="007A4229">
      <w:pPr>
        <w:pStyle w:val="SingleTxtG"/>
      </w:pPr>
      <w:r>
        <w:tab/>
      </w:r>
      <w:r w:rsidR="007A4229">
        <w:t>Les numéros d’homologation indiquent que</w:t>
      </w:r>
      <w:r>
        <w:t xml:space="preserve"> </w:t>
      </w:r>
      <w:r w:rsidR="007A4229">
        <w:t>… comprenait</w:t>
      </w:r>
      <w:r>
        <w:t xml:space="preserve"> la série </w:t>
      </w:r>
      <w:r w:rsidR="007A4229">
        <w:t>0</w:t>
      </w:r>
      <w:r w:rsidR="007A4229" w:rsidRPr="00042CD8">
        <w:rPr>
          <w:b/>
        </w:rPr>
        <w:t>9</w:t>
      </w:r>
      <w:r w:rsidR="007A4229">
        <w:t xml:space="preserve"> d’amendements alors que le Règlement n</w:t>
      </w:r>
      <w:r w:rsidR="007A4229" w:rsidRPr="00AF3E35">
        <w:rPr>
          <w:vertAlign w:val="superscript"/>
        </w:rPr>
        <w:t>o</w:t>
      </w:r>
      <w:r>
        <w:t> </w:t>
      </w:r>
      <w:r w:rsidR="007A4229">
        <w:t>33 était encore sous sa forme originale. …</w:t>
      </w:r>
    </w:p>
    <w:p w:rsidR="007A4229" w:rsidRDefault="007A4229" w:rsidP="007A4229">
      <w:pPr>
        <w:pStyle w:val="SingleTxtG"/>
      </w:pPr>
      <w:r>
        <w:t>Modèle D</w:t>
      </w:r>
    </w:p>
    <w:p w:rsidR="007A4229" w:rsidRDefault="007A4229" w:rsidP="00D13EF0">
      <w:pPr>
        <w:ind w:left="1134"/>
      </w:pPr>
      <w:r>
        <w:t>…</w:t>
      </w:r>
      <w:r>
        <w:rPr>
          <w:noProof/>
          <w:lang w:eastAsia="fr-CH"/>
        </w:rPr>
        <w:drawing>
          <wp:inline distT="0" distB="0" distL="0" distR="0" wp14:anchorId="26C0798F" wp14:editId="410425EF">
            <wp:extent cx="5334635" cy="963295"/>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635" cy="963295"/>
                    </a:xfrm>
                    <a:prstGeom prst="rect">
                      <a:avLst/>
                    </a:prstGeom>
                    <a:noFill/>
                  </pic:spPr>
                </pic:pic>
              </a:graphicData>
            </a:graphic>
          </wp:inline>
        </w:drawing>
      </w:r>
    </w:p>
    <w:p w:rsidR="007A4229" w:rsidRPr="00D13EF0" w:rsidRDefault="007A4229" w:rsidP="00D13EF0">
      <w:pPr>
        <w:pStyle w:val="SingleTxtG"/>
        <w:spacing w:after="240"/>
        <w:jc w:val="right"/>
        <w:rPr>
          <w:color w:val="333333"/>
          <w:sz w:val="18"/>
          <w:szCs w:val="18"/>
          <w:shd w:val="clear" w:color="auto" w:fill="FFFFFF"/>
        </w:rPr>
      </w:pPr>
      <w:r w:rsidRPr="00D13EF0">
        <w:rPr>
          <w:color w:val="333333"/>
          <w:sz w:val="18"/>
          <w:szCs w:val="18"/>
          <w:shd w:val="clear" w:color="auto" w:fill="FFFFFF"/>
        </w:rPr>
        <w:t>a = 8 mm min.</w:t>
      </w:r>
    </w:p>
    <w:p w:rsidR="007A4229" w:rsidRDefault="00D13EF0" w:rsidP="007A4229">
      <w:pPr>
        <w:pStyle w:val="SingleTxtG"/>
      </w:pPr>
      <w:r>
        <w:tab/>
      </w:r>
      <w:r w:rsidR="007A4229" w:rsidRPr="00160B0A">
        <w:t>La marque d</w:t>
      </w:r>
      <w:r w:rsidR="007A4229">
        <w:t>’</w:t>
      </w:r>
      <w:r w:rsidR="007A4229" w:rsidRPr="00160B0A">
        <w:t>homologation ci-dessus</w:t>
      </w:r>
      <w:r>
        <w:t xml:space="preserve"> </w:t>
      </w:r>
      <w:r w:rsidR="007A4229">
        <w:t>… comprenait</w:t>
      </w:r>
      <w:r>
        <w:t xml:space="preserve"> la série </w:t>
      </w:r>
      <w:r w:rsidR="007A4229" w:rsidRPr="002B270F">
        <w:t>0</w:t>
      </w:r>
      <w:r w:rsidR="007A4229" w:rsidRPr="00042CD8">
        <w:rPr>
          <w:b/>
        </w:rPr>
        <w:t>9</w:t>
      </w:r>
      <w:r w:rsidR="007A4229" w:rsidRPr="002B270F">
        <w:t xml:space="preserve"> d</w:t>
      </w:r>
      <w:r w:rsidR="007A4229">
        <w:t>’</w:t>
      </w:r>
      <w:r w:rsidR="007A4229" w:rsidRPr="002B270F">
        <w:t xml:space="preserve">amendements, </w:t>
      </w:r>
      <w:r w:rsidR="007A4229">
        <w:t>alors que</w:t>
      </w:r>
      <w:r w:rsidR="007A4229" w:rsidRPr="002B270F">
        <w:t xml:space="preserve"> le Règlement n</w:t>
      </w:r>
      <w:r w:rsidR="007A4229" w:rsidRPr="002B270F">
        <w:rPr>
          <w:vertAlign w:val="superscript"/>
        </w:rPr>
        <w:t>o</w:t>
      </w:r>
      <w:r>
        <w:t> </w:t>
      </w:r>
      <w:r w:rsidR="007A4229" w:rsidRPr="002B270F">
        <w:t xml:space="preserve">33 </w:t>
      </w:r>
      <w:r w:rsidR="007A4229">
        <w:t>était encore sous sa forme originale</w:t>
      </w:r>
      <w:r>
        <w:t>. </w:t>
      </w:r>
      <w:r w:rsidR="007A4229">
        <w:t>».</w:t>
      </w:r>
    </w:p>
    <w:p w:rsidR="007A4229" w:rsidRPr="0027232B" w:rsidRDefault="007A4229" w:rsidP="007A4229">
      <w:pPr>
        <w:pStyle w:val="SingleTxtG"/>
        <w:rPr>
          <w:lang w:val="fr-FR"/>
        </w:rPr>
      </w:pPr>
      <w:r w:rsidRPr="0027232B">
        <w:rPr>
          <w:i/>
          <w:lang w:val="fr-FR"/>
        </w:rPr>
        <w:lastRenderedPageBreak/>
        <w:t>Annexe 9</w:t>
      </w:r>
      <w:r w:rsidRPr="009142A0">
        <w:rPr>
          <w:i/>
          <w:lang w:val="fr-FR"/>
        </w:rPr>
        <w:t>,</w:t>
      </w:r>
      <w:r w:rsidR="00D13EF0">
        <w:rPr>
          <w:i/>
          <w:lang w:val="fr-FR"/>
        </w:rPr>
        <w:t xml:space="preserve"> ajouter</w:t>
      </w:r>
      <w:r w:rsidRPr="00755CCC">
        <w:rPr>
          <w:i/>
          <w:lang w:val="fr-FR"/>
        </w:rPr>
        <w:t xml:space="preserve"> </w:t>
      </w:r>
      <w:r>
        <w:rPr>
          <w:i/>
          <w:lang w:val="fr-FR"/>
        </w:rPr>
        <w:t xml:space="preserve">le </w:t>
      </w:r>
      <w:r w:rsidRPr="00755CCC">
        <w:rPr>
          <w:i/>
          <w:lang w:val="fr-FR"/>
        </w:rPr>
        <w:t>nouveau paragraphe 2.1.1.7</w:t>
      </w:r>
      <w:r>
        <w:rPr>
          <w:lang w:val="fr-FR"/>
        </w:rPr>
        <w:t xml:space="preserve">, </w:t>
      </w:r>
      <w:r w:rsidRPr="0027232B">
        <w:rPr>
          <w:lang w:val="fr-FR"/>
        </w:rPr>
        <w:t>libellé</w:t>
      </w:r>
      <w:r>
        <w:rPr>
          <w:lang w:val="fr-FR"/>
        </w:rPr>
        <w:t xml:space="preserve"> comme suit</w:t>
      </w:r>
      <w:r w:rsidRPr="0027232B">
        <w:rPr>
          <w:lang w:val="fr-FR"/>
        </w:rPr>
        <w:t> :</w:t>
      </w:r>
    </w:p>
    <w:p w:rsidR="007A4229" w:rsidRPr="0027232B" w:rsidRDefault="007A4229" w:rsidP="007A4229">
      <w:pPr>
        <w:pStyle w:val="SingleTxtG"/>
        <w:ind w:left="2268" w:hanging="1134"/>
        <w:rPr>
          <w:b/>
          <w:lang w:val="fr-FR"/>
        </w:rPr>
      </w:pPr>
      <w:r w:rsidRPr="0027232B">
        <w:rPr>
          <w:lang w:val="fr-FR"/>
        </w:rPr>
        <w:t>« </w:t>
      </w:r>
      <w:r w:rsidRPr="0027232B">
        <w:rPr>
          <w:b/>
          <w:lang w:val="fr-FR"/>
        </w:rPr>
        <w:t>2.1.1.7</w:t>
      </w:r>
      <w:r w:rsidRPr="0027232B">
        <w:rPr>
          <w:b/>
          <w:lang w:val="fr-FR"/>
        </w:rPr>
        <w:tab/>
        <w:t>Toutes les places assises de la rangée de sièges soumise à l</w:t>
      </w:r>
      <w:r>
        <w:rPr>
          <w:b/>
          <w:lang w:val="fr-FR"/>
        </w:rPr>
        <w:t>’</w:t>
      </w:r>
      <w:r w:rsidRPr="0027232B">
        <w:rPr>
          <w:b/>
          <w:lang w:val="fr-FR"/>
        </w:rPr>
        <w:t>essai doivent être équipées de tous les éléments de leurs ceintures de sécurité.</w:t>
      </w:r>
      <w:r w:rsidRPr="008B21FC">
        <w:rPr>
          <w:lang w:val="fr-FR"/>
        </w:rPr>
        <w:t> ».</w:t>
      </w:r>
    </w:p>
    <w:p w:rsidR="007A4229" w:rsidRPr="0027232B" w:rsidRDefault="007A4229" w:rsidP="007A4229">
      <w:pPr>
        <w:pStyle w:val="HChG"/>
        <w:rPr>
          <w:lang w:val="fr-FR"/>
        </w:rPr>
      </w:pPr>
      <w:r>
        <w:rPr>
          <w:lang w:val="fr-FR"/>
        </w:rPr>
        <w:tab/>
        <w:t>II.</w:t>
      </w:r>
      <w:r>
        <w:rPr>
          <w:lang w:val="fr-FR"/>
        </w:rPr>
        <w:tab/>
      </w:r>
      <w:r w:rsidRPr="0027232B">
        <w:rPr>
          <w:lang w:val="fr-FR"/>
        </w:rPr>
        <w:t>Justification</w:t>
      </w:r>
    </w:p>
    <w:p w:rsidR="00F9573C" w:rsidRDefault="007A4229" w:rsidP="007A4229">
      <w:pPr>
        <w:pStyle w:val="SingleTxtG"/>
        <w:rPr>
          <w:lang w:val="fr-FR"/>
        </w:rPr>
      </w:pPr>
      <w:r>
        <w:rPr>
          <w:lang w:val="fr-FR"/>
        </w:rPr>
        <w:tab/>
      </w:r>
      <w:r w:rsidRPr="0027232B">
        <w:rPr>
          <w:lang w:val="fr-FR"/>
        </w:rPr>
        <w:t>Les essais prescrits à l</w:t>
      </w:r>
      <w:r>
        <w:rPr>
          <w:lang w:val="fr-FR"/>
        </w:rPr>
        <w:t>’</w:t>
      </w:r>
      <w:r w:rsidR="00D13EF0">
        <w:rPr>
          <w:lang w:val="fr-FR"/>
        </w:rPr>
        <w:t>annexe </w:t>
      </w:r>
      <w:r w:rsidRPr="0027232B">
        <w:rPr>
          <w:lang w:val="fr-FR"/>
        </w:rPr>
        <w:t xml:space="preserve">9 du Règlement </w:t>
      </w:r>
      <w:r w:rsidRPr="00C94948">
        <w:rPr>
          <w:rFonts w:eastAsia="MS Mincho"/>
          <w:szCs w:val="22"/>
          <w:lang w:val="fr-FR"/>
        </w:rPr>
        <w:t>n</w:t>
      </w:r>
      <w:r w:rsidRPr="00C94948">
        <w:rPr>
          <w:rFonts w:eastAsia="MS Mincho"/>
          <w:szCs w:val="22"/>
          <w:vertAlign w:val="superscript"/>
          <w:lang w:val="fr-FR"/>
        </w:rPr>
        <w:t>o</w:t>
      </w:r>
      <w:r>
        <w:rPr>
          <w:lang w:val="fr-FR"/>
        </w:rPr>
        <w:t> </w:t>
      </w:r>
      <w:r w:rsidRPr="0027232B">
        <w:rPr>
          <w:lang w:val="fr-FR"/>
        </w:rPr>
        <w:t>17 ont endommagé des éléments (comme l</w:t>
      </w:r>
      <w:r>
        <w:rPr>
          <w:lang w:val="fr-FR"/>
        </w:rPr>
        <w:t>’</w:t>
      </w:r>
      <w:r w:rsidRPr="0027232B">
        <w:rPr>
          <w:lang w:val="fr-FR"/>
        </w:rPr>
        <w:t>enrouleur) des ceintures de sécurité de la rangée de sièges soumise à l</w:t>
      </w:r>
      <w:r>
        <w:rPr>
          <w:lang w:val="fr-FR"/>
        </w:rPr>
        <w:t>’</w:t>
      </w:r>
      <w:r w:rsidRPr="0027232B">
        <w:rPr>
          <w:lang w:val="fr-FR"/>
        </w:rPr>
        <w:t xml:space="preserve">essai. En raison des dégâts occasionnés, le fonctionnement </w:t>
      </w:r>
      <w:r w:rsidRPr="007A4229">
        <w:t>des</w:t>
      </w:r>
      <w:r w:rsidRPr="0027232B">
        <w:rPr>
          <w:lang w:val="fr-FR"/>
        </w:rPr>
        <w:t xml:space="preserve"> ceintures </w:t>
      </w:r>
      <w:r>
        <w:rPr>
          <w:lang w:val="fr-FR"/>
        </w:rPr>
        <w:t xml:space="preserve">peut être </w:t>
      </w:r>
      <w:r w:rsidRPr="0027232B">
        <w:rPr>
          <w:lang w:val="fr-FR"/>
        </w:rPr>
        <w:t xml:space="preserve">affecté et risque de mettre en danger les occupants des sièges. Les modifications proposées visent à </w:t>
      </w:r>
      <w:r>
        <w:rPr>
          <w:lang w:val="fr-FR"/>
        </w:rPr>
        <w:t xml:space="preserve">assurer que le verrouillage de l’enrouleur fonctionne toujours après </w:t>
      </w:r>
      <w:r w:rsidRPr="0027232B">
        <w:rPr>
          <w:lang w:val="fr-FR"/>
        </w:rPr>
        <w:t>les essais.</w:t>
      </w:r>
    </w:p>
    <w:p w:rsidR="007A4229" w:rsidRPr="007A4229" w:rsidRDefault="007A4229" w:rsidP="007A4229">
      <w:pPr>
        <w:pStyle w:val="SingleTxtG"/>
        <w:spacing w:before="240" w:after="0"/>
        <w:jc w:val="center"/>
        <w:rPr>
          <w:u w:val="single"/>
        </w:rPr>
      </w:pPr>
      <w:r>
        <w:rPr>
          <w:u w:val="single"/>
        </w:rPr>
        <w:tab/>
      </w:r>
      <w:r>
        <w:rPr>
          <w:u w:val="single"/>
        </w:rPr>
        <w:tab/>
      </w:r>
      <w:r>
        <w:rPr>
          <w:u w:val="single"/>
        </w:rPr>
        <w:tab/>
      </w:r>
    </w:p>
    <w:sectPr w:rsidR="007A4229" w:rsidRPr="007A4229" w:rsidSect="007A4229">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D73" w:rsidRDefault="00064D73" w:rsidP="00F95C08">
      <w:pPr>
        <w:spacing w:line="240" w:lineRule="auto"/>
      </w:pPr>
    </w:p>
  </w:endnote>
  <w:endnote w:type="continuationSeparator" w:id="0">
    <w:p w:rsidR="00064D73" w:rsidRPr="00AC3823" w:rsidRDefault="00064D73" w:rsidP="00AC3823">
      <w:pPr>
        <w:pStyle w:val="Footer"/>
      </w:pPr>
    </w:p>
  </w:endnote>
  <w:endnote w:type="continuationNotice" w:id="1">
    <w:p w:rsidR="00064D73" w:rsidRDefault="00064D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229" w:rsidRPr="007A4229" w:rsidRDefault="007A4229" w:rsidP="007A4229">
    <w:pPr>
      <w:pStyle w:val="Footer"/>
      <w:tabs>
        <w:tab w:val="right" w:pos="9638"/>
      </w:tabs>
    </w:pPr>
    <w:r w:rsidRPr="007A4229">
      <w:rPr>
        <w:b/>
        <w:sz w:val="18"/>
      </w:rPr>
      <w:fldChar w:fldCharType="begin"/>
    </w:r>
    <w:r w:rsidRPr="007A4229">
      <w:rPr>
        <w:b/>
        <w:sz w:val="18"/>
      </w:rPr>
      <w:instrText xml:space="preserve"> PAGE  \* MERGEFORMAT </w:instrText>
    </w:r>
    <w:r w:rsidRPr="007A4229">
      <w:rPr>
        <w:b/>
        <w:sz w:val="18"/>
      </w:rPr>
      <w:fldChar w:fldCharType="separate"/>
    </w:r>
    <w:r w:rsidR="00AE7AD8">
      <w:rPr>
        <w:b/>
        <w:noProof/>
        <w:sz w:val="18"/>
      </w:rPr>
      <w:t>2</w:t>
    </w:r>
    <w:r w:rsidRPr="007A4229">
      <w:rPr>
        <w:b/>
        <w:sz w:val="18"/>
      </w:rPr>
      <w:fldChar w:fldCharType="end"/>
    </w:r>
    <w:r>
      <w:rPr>
        <w:b/>
        <w:sz w:val="18"/>
      </w:rPr>
      <w:tab/>
    </w:r>
    <w:r>
      <w:t>GE.18-02906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229" w:rsidRPr="007A4229" w:rsidRDefault="007A4229" w:rsidP="007A4229">
    <w:pPr>
      <w:pStyle w:val="Footer"/>
      <w:tabs>
        <w:tab w:val="right" w:pos="9638"/>
      </w:tabs>
      <w:rPr>
        <w:b/>
        <w:sz w:val="18"/>
      </w:rPr>
    </w:pPr>
    <w:r>
      <w:t>GE.18-02906</w:t>
    </w:r>
    <w:r>
      <w:tab/>
    </w:r>
    <w:r w:rsidRPr="007A4229">
      <w:rPr>
        <w:b/>
        <w:sz w:val="18"/>
      </w:rPr>
      <w:fldChar w:fldCharType="begin"/>
    </w:r>
    <w:r w:rsidRPr="007A4229">
      <w:rPr>
        <w:b/>
        <w:sz w:val="18"/>
      </w:rPr>
      <w:instrText xml:space="preserve"> PAGE  \* MERGEFORMAT </w:instrText>
    </w:r>
    <w:r w:rsidRPr="007A4229">
      <w:rPr>
        <w:b/>
        <w:sz w:val="18"/>
      </w:rPr>
      <w:fldChar w:fldCharType="separate"/>
    </w:r>
    <w:r w:rsidR="00AE7AD8">
      <w:rPr>
        <w:b/>
        <w:noProof/>
        <w:sz w:val="18"/>
      </w:rPr>
      <w:t>5</w:t>
    </w:r>
    <w:r w:rsidRPr="007A422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7A4229" w:rsidRDefault="007A4229" w:rsidP="007A4229">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18-02906  (F)    060318    070318</w:t>
    </w:r>
    <w:r>
      <w:rPr>
        <w:sz w:val="20"/>
      </w:rPr>
      <w:br/>
    </w:r>
    <w:r w:rsidRPr="007A4229">
      <w:rPr>
        <w:rFonts w:ascii="C39T30Lfz" w:hAnsi="C39T30Lfz"/>
        <w:sz w:val="56"/>
      </w:rPr>
      <w:t></w:t>
    </w:r>
    <w:r w:rsidRPr="007A4229">
      <w:rPr>
        <w:rFonts w:ascii="C39T30Lfz" w:hAnsi="C39T30Lfz"/>
        <w:sz w:val="56"/>
      </w:rPr>
      <w:t></w:t>
    </w:r>
    <w:r w:rsidRPr="007A4229">
      <w:rPr>
        <w:rFonts w:ascii="C39T30Lfz" w:hAnsi="C39T30Lfz"/>
        <w:sz w:val="56"/>
      </w:rPr>
      <w:t></w:t>
    </w:r>
    <w:r w:rsidRPr="007A4229">
      <w:rPr>
        <w:rFonts w:ascii="C39T30Lfz" w:hAnsi="C39T30Lfz"/>
        <w:sz w:val="56"/>
      </w:rPr>
      <w:t></w:t>
    </w:r>
    <w:r w:rsidRPr="007A4229">
      <w:rPr>
        <w:rFonts w:ascii="C39T30Lfz" w:hAnsi="C39T30Lfz"/>
        <w:sz w:val="56"/>
      </w:rPr>
      <w:t></w:t>
    </w:r>
    <w:r w:rsidRPr="007A4229">
      <w:rPr>
        <w:rFonts w:ascii="C39T30Lfz" w:hAnsi="C39T30Lfz"/>
        <w:sz w:val="56"/>
      </w:rPr>
      <w:t></w:t>
    </w:r>
    <w:r w:rsidRPr="007A4229">
      <w:rPr>
        <w:rFonts w:ascii="C39T30Lfz" w:hAnsi="C39T30Lfz"/>
        <w:sz w:val="56"/>
      </w:rPr>
      <w:t></w:t>
    </w:r>
    <w:r w:rsidRPr="007A4229">
      <w:rPr>
        <w:rFonts w:ascii="C39T30Lfz" w:hAnsi="C39T30Lfz"/>
        <w:sz w:val="56"/>
      </w:rPr>
      <w:t></w:t>
    </w:r>
    <w:r w:rsidRPr="007A4229">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18/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8/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D73" w:rsidRPr="00AC3823" w:rsidRDefault="00064D73" w:rsidP="00AC3823">
      <w:pPr>
        <w:pStyle w:val="Footer"/>
        <w:tabs>
          <w:tab w:val="right" w:pos="2155"/>
        </w:tabs>
        <w:spacing w:after="80" w:line="240" w:lineRule="atLeast"/>
        <w:ind w:left="680"/>
        <w:rPr>
          <w:u w:val="single"/>
        </w:rPr>
      </w:pPr>
      <w:r>
        <w:rPr>
          <w:u w:val="single"/>
        </w:rPr>
        <w:tab/>
      </w:r>
    </w:p>
  </w:footnote>
  <w:footnote w:type="continuationSeparator" w:id="0">
    <w:p w:rsidR="00064D73" w:rsidRPr="00AC3823" w:rsidRDefault="00064D73" w:rsidP="00AC3823">
      <w:pPr>
        <w:pStyle w:val="Footer"/>
        <w:tabs>
          <w:tab w:val="right" w:pos="2155"/>
        </w:tabs>
        <w:spacing w:after="80" w:line="240" w:lineRule="atLeast"/>
        <w:ind w:left="680"/>
        <w:rPr>
          <w:u w:val="single"/>
        </w:rPr>
      </w:pPr>
      <w:r>
        <w:rPr>
          <w:u w:val="single"/>
        </w:rPr>
        <w:tab/>
      </w:r>
    </w:p>
  </w:footnote>
  <w:footnote w:type="continuationNotice" w:id="1">
    <w:p w:rsidR="00064D73" w:rsidRPr="00AC3823" w:rsidRDefault="00064D73">
      <w:pPr>
        <w:spacing w:line="240" w:lineRule="auto"/>
        <w:rPr>
          <w:sz w:val="2"/>
          <w:szCs w:val="2"/>
        </w:rPr>
      </w:pPr>
    </w:p>
  </w:footnote>
  <w:footnote w:id="2">
    <w:p w:rsidR="007A4229" w:rsidRPr="007A4229" w:rsidRDefault="007A4229">
      <w:pPr>
        <w:pStyle w:val="FootnoteText"/>
      </w:pPr>
      <w:r>
        <w:rPr>
          <w:rStyle w:val="FootnoteReference"/>
        </w:rPr>
        <w:tab/>
      </w:r>
      <w:r w:rsidRPr="007A4229">
        <w:rPr>
          <w:rStyle w:val="FootnoteReference"/>
          <w:sz w:val="20"/>
          <w:vertAlign w:val="baseline"/>
        </w:rPr>
        <w:t>*</w:t>
      </w:r>
      <w:r>
        <w:rPr>
          <w:rStyle w:val="FootnoteReference"/>
          <w:sz w:val="20"/>
          <w:vertAlign w:val="baseline"/>
        </w:rPr>
        <w:tab/>
      </w:r>
      <w:r w:rsidRPr="00EC4AB2">
        <w:rPr>
          <w:spacing w:val="-2"/>
        </w:rPr>
        <w:t>Conformément au programme de travail du Comité des transports intérieurs</w:t>
      </w:r>
      <w:r>
        <w:t xml:space="preserve"> pour la période 2014-2018 (ECE/TRANS/240, par. 105, et ECE/TRANS/2014/26, </w:t>
      </w:r>
      <w:r w:rsidRPr="00755CCC">
        <w:rPr>
          <w:color w:val="000000"/>
        </w:rPr>
        <w:t>activité 02.4</w:t>
      </w:r>
      <w:r>
        <w:t>),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229" w:rsidRPr="007A4229" w:rsidRDefault="00AE7AD8">
    <w:pPr>
      <w:pStyle w:val="Header"/>
    </w:pPr>
    <w:r>
      <w:fldChar w:fldCharType="begin"/>
    </w:r>
    <w:r>
      <w:instrText xml:space="preserve"> TITLE  \* MERGEFORMAT </w:instrText>
    </w:r>
    <w:r>
      <w:fldChar w:fldCharType="separate"/>
    </w:r>
    <w:r w:rsidR="00761FBD">
      <w:t>ECE/TRANS/WP.29/GRSP/2018/4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229" w:rsidRPr="007A4229" w:rsidRDefault="00AE7AD8" w:rsidP="007A4229">
    <w:pPr>
      <w:pStyle w:val="Header"/>
      <w:jc w:val="right"/>
    </w:pPr>
    <w:r>
      <w:fldChar w:fldCharType="begin"/>
    </w:r>
    <w:r>
      <w:instrText xml:space="preserve"> TITLE  \* MERGEFORMAT </w:instrText>
    </w:r>
    <w:r>
      <w:fldChar w:fldCharType="separate"/>
    </w:r>
    <w:r w:rsidR="00761FBD">
      <w:t>ECE/TRANS/WP.29/GRSP/2018/4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D73"/>
    <w:rsid w:val="00017F94"/>
    <w:rsid w:val="00023842"/>
    <w:rsid w:val="000334F9"/>
    <w:rsid w:val="00045FEB"/>
    <w:rsid w:val="00064D73"/>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41C3B"/>
    <w:rsid w:val="00446FE5"/>
    <w:rsid w:val="00452396"/>
    <w:rsid w:val="004837D8"/>
    <w:rsid w:val="004E468C"/>
    <w:rsid w:val="00512DF5"/>
    <w:rsid w:val="005505B7"/>
    <w:rsid w:val="00573BE5"/>
    <w:rsid w:val="00586ED3"/>
    <w:rsid w:val="0059677E"/>
    <w:rsid w:val="00596AA9"/>
    <w:rsid w:val="0071601D"/>
    <w:rsid w:val="00761FBD"/>
    <w:rsid w:val="007A4229"/>
    <w:rsid w:val="007A62E6"/>
    <w:rsid w:val="007F20FA"/>
    <w:rsid w:val="0080684C"/>
    <w:rsid w:val="00871C75"/>
    <w:rsid w:val="008776DC"/>
    <w:rsid w:val="008E65D3"/>
    <w:rsid w:val="009446C0"/>
    <w:rsid w:val="009705C8"/>
    <w:rsid w:val="009C03B0"/>
    <w:rsid w:val="009C1CF4"/>
    <w:rsid w:val="009F6B74"/>
    <w:rsid w:val="00A30353"/>
    <w:rsid w:val="00AC3823"/>
    <w:rsid w:val="00AE323C"/>
    <w:rsid w:val="00AE7AD8"/>
    <w:rsid w:val="00AF0CB5"/>
    <w:rsid w:val="00B00181"/>
    <w:rsid w:val="00B00B0D"/>
    <w:rsid w:val="00B765F7"/>
    <w:rsid w:val="00BA0CA9"/>
    <w:rsid w:val="00C02897"/>
    <w:rsid w:val="00C97039"/>
    <w:rsid w:val="00D13EF0"/>
    <w:rsid w:val="00D3439C"/>
    <w:rsid w:val="00DB1831"/>
    <w:rsid w:val="00DD3BFD"/>
    <w:rsid w:val="00DF6678"/>
    <w:rsid w:val="00E0299A"/>
    <w:rsid w:val="00E85C74"/>
    <w:rsid w:val="00EA6547"/>
    <w:rsid w:val="00EF2E22"/>
    <w:rsid w:val="00F221FC"/>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437ECEB-FA05-4FED-955D-E6818693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1304</Words>
  <Characters>7435</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ECE/TRANS/WP.29/GRSP/2018/4</vt:lpstr>
      <vt:lpstr>ECE/TRANS/WP.29/GRSP/2018/4</vt:lpstr>
    </vt:vector>
  </TitlesOfParts>
  <Company>DCM</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ECE/TRANS/WP.29/GRSP/2018/4</dc:title>
  <dc:subject/>
  <dc:creator>Maud DARICHE</dc:creator>
  <cp:keywords/>
  <cp:lastModifiedBy>Benedicte Boudol</cp:lastModifiedBy>
  <cp:revision>2</cp:revision>
  <cp:lastPrinted>2018-03-07T12:59:00Z</cp:lastPrinted>
  <dcterms:created xsi:type="dcterms:W3CDTF">2018-03-07T13:19:00Z</dcterms:created>
  <dcterms:modified xsi:type="dcterms:W3CDTF">2018-03-07T13:19:00Z</dcterms:modified>
</cp:coreProperties>
</file>