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03B1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03B1C" w:rsidP="00D03B1C">
            <w:pPr>
              <w:jc w:val="right"/>
            </w:pPr>
            <w:r w:rsidRPr="00D03B1C">
              <w:rPr>
                <w:sz w:val="40"/>
              </w:rPr>
              <w:t>CE</w:t>
            </w:r>
            <w:r>
              <w:t>/TRANS/WP.29/GRSP/2018/7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03B1C" w:rsidP="00C97039">
            <w:pPr>
              <w:spacing w:before="240"/>
            </w:pPr>
            <w:r>
              <w:t>Distr. générale</w:t>
            </w:r>
          </w:p>
          <w:p w:rsidR="00D03B1C" w:rsidRDefault="00D03B1C" w:rsidP="00D03B1C">
            <w:pPr>
              <w:spacing w:line="240" w:lineRule="exact"/>
            </w:pPr>
            <w:r>
              <w:t>28 février 2018</w:t>
            </w:r>
          </w:p>
          <w:p w:rsidR="00D03B1C" w:rsidRDefault="00D03B1C" w:rsidP="00D03B1C">
            <w:pPr>
              <w:spacing w:line="240" w:lineRule="exact"/>
            </w:pPr>
            <w:r>
              <w:t>Français</w:t>
            </w:r>
          </w:p>
          <w:p w:rsidR="00D03B1C" w:rsidRPr="00DB58B5" w:rsidRDefault="00D03B1C" w:rsidP="00D03B1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B62AC" w:rsidRPr="00683DA7" w:rsidRDefault="00AB62AC" w:rsidP="00683DA7">
      <w:pPr>
        <w:spacing w:before="120"/>
        <w:rPr>
          <w:b/>
          <w:sz w:val="24"/>
          <w:szCs w:val="24"/>
        </w:rPr>
      </w:pPr>
      <w:r w:rsidRPr="00683DA7">
        <w:rPr>
          <w:b/>
          <w:sz w:val="24"/>
          <w:szCs w:val="24"/>
        </w:rPr>
        <w:t xml:space="preserve">Forum mondial de l’harmonisation </w:t>
      </w:r>
      <w:r w:rsidR="00683DA7" w:rsidRPr="00683DA7">
        <w:rPr>
          <w:b/>
          <w:sz w:val="24"/>
          <w:szCs w:val="24"/>
        </w:rPr>
        <w:br/>
      </w:r>
      <w:r w:rsidRPr="00683DA7">
        <w:rPr>
          <w:b/>
          <w:sz w:val="24"/>
          <w:szCs w:val="24"/>
        </w:rPr>
        <w:t xml:space="preserve">des Règlements concernant les véhicules </w:t>
      </w:r>
    </w:p>
    <w:p w:rsidR="00AB62AC" w:rsidRPr="00683DA7" w:rsidRDefault="00AB62AC" w:rsidP="00683DA7">
      <w:pPr>
        <w:spacing w:before="120"/>
        <w:rPr>
          <w:b/>
        </w:rPr>
      </w:pPr>
      <w:r w:rsidRPr="00683DA7">
        <w:rPr>
          <w:b/>
        </w:rPr>
        <w:t>Groupe de travail de la sécurité passive</w:t>
      </w:r>
    </w:p>
    <w:p w:rsidR="00AB62AC" w:rsidRPr="00683DA7" w:rsidRDefault="00AB62AC" w:rsidP="00683DA7">
      <w:pPr>
        <w:spacing w:before="120"/>
        <w:rPr>
          <w:b/>
        </w:rPr>
      </w:pPr>
      <w:r w:rsidRPr="00683DA7">
        <w:rPr>
          <w:b/>
        </w:rPr>
        <w:t xml:space="preserve">Soixante-troisième session </w:t>
      </w:r>
    </w:p>
    <w:p w:rsidR="00AB62AC" w:rsidRPr="002215A6" w:rsidRDefault="00AB62AC" w:rsidP="00683DA7">
      <w:pPr>
        <w:rPr>
          <w:bCs/>
        </w:rPr>
      </w:pPr>
      <w:r w:rsidRPr="002215A6">
        <w:rPr>
          <w:bCs/>
        </w:rPr>
        <w:t xml:space="preserve">Genève, 14-18 </w:t>
      </w:r>
      <w:r>
        <w:rPr>
          <w:bCs/>
        </w:rPr>
        <w:t>mai</w:t>
      </w:r>
      <w:r w:rsidRPr="002215A6">
        <w:rPr>
          <w:bCs/>
        </w:rPr>
        <w:t xml:space="preserve"> 2018</w:t>
      </w:r>
    </w:p>
    <w:p w:rsidR="00AB62AC" w:rsidRPr="002215A6" w:rsidRDefault="00AB62AC" w:rsidP="00683DA7">
      <w:pPr>
        <w:rPr>
          <w:bCs/>
        </w:rPr>
      </w:pPr>
      <w:r w:rsidRPr="002215A6">
        <w:rPr>
          <w:bCs/>
        </w:rPr>
        <w:t>Point 17 de l</w:t>
      </w:r>
      <w:r>
        <w:rPr>
          <w:bCs/>
        </w:rPr>
        <w:t>’</w:t>
      </w:r>
      <w:r w:rsidRPr="002215A6">
        <w:rPr>
          <w:bCs/>
        </w:rPr>
        <w:t>ordre du jour provisoire</w:t>
      </w:r>
    </w:p>
    <w:p w:rsidR="00AB62AC" w:rsidRPr="00683DA7" w:rsidRDefault="00AB62AC" w:rsidP="00683DA7">
      <w:pPr>
        <w:rPr>
          <w:b/>
          <w:bCs/>
        </w:rPr>
      </w:pPr>
      <w:r w:rsidRPr="00683DA7">
        <w:rPr>
          <w:b/>
          <w:bCs/>
        </w:rPr>
        <w:t>Règlement n</w:t>
      </w:r>
      <w:r w:rsidRPr="00683DA7">
        <w:rPr>
          <w:b/>
          <w:bCs/>
          <w:vertAlign w:val="superscript"/>
        </w:rPr>
        <w:t>o</w:t>
      </w:r>
      <w:r w:rsidR="00683DA7">
        <w:rPr>
          <w:b/>
          <w:bCs/>
        </w:rPr>
        <w:t> </w:t>
      </w:r>
      <w:r w:rsidRPr="00683DA7">
        <w:rPr>
          <w:b/>
          <w:bCs/>
        </w:rPr>
        <w:t>100 (Sécurité des véhicules électriques à batterie)</w:t>
      </w:r>
    </w:p>
    <w:p w:rsidR="00AB62AC" w:rsidRPr="002215A6" w:rsidRDefault="00AB62AC" w:rsidP="00683DA7">
      <w:pPr>
        <w:pStyle w:val="HChG"/>
        <w:rPr>
          <w:lang w:eastAsia="ja-JP"/>
        </w:rPr>
      </w:pPr>
      <w:r w:rsidRPr="002215A6">
        <w:tab/>
      </w:r>
      <w:r w:rsidRPr="002215A6">
        <w:tab/>
        <w:t xml:space="preserve">Propositions de </w:t>
      </w:r>
      <w:r>
        <w:t>c</w:t>
      </w:r>
      <w:r w:rsidRPr="002215A6">
        <w:t>omplément</w:t>
      </w:r>
      <w:r w:rsidRPr="002215A6">
        <w:rPr>
          <w:lang w:eastAsia="ja-JP"/>
        </w:rPr>
        <w:t xml:space="preserve"> 4 à la série 02 d</w:t>
      </w:r>
      <w:r>
        <w:rPr>
          <w:lang w:eastAsia="ja-JP"/>
        </w:rPr>
        <w:t>’</w:t>
      </w:r>
      <w:r w:rsidRPr="002215A6">
        <w:rPr>
          <w:lang w:eastAsia="ja-JP"/>
        </w:rPr>
        <w:t>amend</w:t>
      </w:r>
      <w:r>
        <w:rPr>
          <w:lang w:eastAsia="ja-JP"/>
        </w:rPr>
        <w:t>e</w:t>
      </w:r>
      <w:r w:rsidRPr="002215A6">
        <w:rPr>
          <w:lang w:eastAsia="ja-JP"/>
        </w:rPr>
        <w:t xml:space="preserve">ments </w:t>
      </w:r>
      <w:r>
        <w:rPr>
          <w:lang w:eastAsia="ja-JP"/>
        </w:rPr>
        <w:t xml:space="preserve">et de complément </w:t>
      </w:r>
      <w:r w:rsidRPr="002215A6">
        <w:rPr>
          <w:lang w:eastAsia="ja-JP"/>
        </w:rPr>
        <w:t xml:space="preserve">5 </w:t>
      </w:r>
      <w:r>
        <w:rPr>
          <w:lang w:eastAsia="ja-JP"/>
        </w:rPr>
        <w:t>à la série</w:t>
      </w:r>
      <w:r w:rsidRPr="002215A6">
        <w:rPr>
          <w:lang w:eastAsia="ja-JP"/>
        </w:rPr>
        <w:t xml:space="preserve"> 01 </w:t>
      </w:r>
      <w:r>
        <w:rPr>
          <w:lang w:eastAsia="ja-JP"/>
        </w:rPr>
        <w:t>d’</w:t>
      </w:r>
      <w:r w:rsidRPr="002215A6">
        <w:rPr>
          <w:lang w:eastAsia="ja-JP"/>
        </w:rPr>
        <w:t>amend</w:t>
      </w:r>
      <w:r>
        <w:rPr>
          <w:lang w:eastAsia="ja-JP"/>
        </w:rPr>
        <w:t>e</w:t>
      </w:r>
      <w:r w:rsidRPr="002215A6">
        <w:rPr>
          <w:lang w:eastAsia="ja-JP"/>
        </w:rPr>
        <w:t xml:space="preserve">ments </w:t>
      </w:r>
      <w:r>
        <w:rPr>
          <w:lang w:eastAsia="ja-JP"/>
        </w:rPr>
        <w:t xml:space="preserve">au Règlement </w:t>
      </w:r>
      <w:r w:rsidRPr="002923CD">
        <w:rPr>
          <w:lang w:eastAsia="ja-JP"/>
        </w:rPr>
        <w:t>n</w:t>
      </w:r>
      <w:r w:rsidRPr="002923CD">
        <w:rPr>
          <w:vertAlign w:val="superscript"/>
          <w:lang w:eastAsia="ja-JP"/>
        </w:rPr>
        <w:t>o</w:t>
      </w:r>
      <w:r>
        <w:rPr>
          <w:vertAlign w:val="superscript"/>
          <w:lang w:eastAsia="ja-JP"/>
        </w:rPr>
        <w:t xml:space="preserve"> </w:t>
      </w:r>
      <w:r w:rsidRPr="002215A6">
        <w:rPr>
          <w:lang w:eastAsia="ja-JP"/>
        </w:rPr>
        <w:t>100 (</w:t>
      </w:r>
      <w:r w:rsidRPr="002923CD">
        <w:rPr>
          <w:lang w:eastAsia="ja-JP"/>
        </w:rPr>
        <w:t>Sécurité des véhicules électriques</w:t>
      </w:r>
      <w:r>
        <w:rPr>
          <w:lang w:eastAsia="ja-JP"/>
        </w:rPr>
        <w:t xml:space="preserve"> à batterie</w:t>
      </w:r>
      <w:r w:rsidRPr="002215A6">
        <w:rPr>
          <w:lang w:eastAsia="ja-JP"/>
        </w:rPr>
        <w:t>)</w:t>
      </w:r>
    </w:p>
    <w:p w:rsidR="00AB62AC" w:rsidRPr="002923CD" w:rsidRDefault="00683DA7" w:rsidP="00683DA7">
      <w:pPr>
        <w:pStyle w:val="H1G"/>
        <w:rPr>
          <w:rFonts w:eastAsia="MS Mincho"/>
          <w:lang w:eastAsia="ja-JP"/>
        </w:rPr>
      </w:pPr>
      <w:r>
        <w:tab/>
      </w:r>
      <w:r>
        <w:tab/>
      </w:r>
      <w:r w:rsidR="00AB62AC" w:rsidRPr="002923CD">
        <w:t>Communication de l</w:t>
      </w:r>
      <w:r w:rsidR="00AB62AC">
        <w:t>’</w:t>
      </w:r>
      <w:r w:rsidR="00AB62AC" w:rsidRPr="002923CD">
        <w:t>expert de l</w:t>
      </w:r>
      <w:r w:rsidR="00AB62AC">
        <w:t>’</w:t>
      </w:r>
      <w:r>
        <w:t>Organisation internationale des </w:t>
      </w:r>
      <w:r w:rsidR="00AB62AC">
        <w:t>c</w:t>
      </w:r>
      <w:r w:rsidR="00AB62AC" w:rsidRPr="002923CD">
        <w:t>onstructeurs d</w:t>
      </w:r>
      <w:r w:rsidR="00AB62AC">
        <w:t>’a</w:t>
      </w:r>
      <w:r w:rsidR="00AB62AC" w:rsidRPr="002923CD">
        <w:t>utomobile</w:t>
      </w:r>
      <w:r w:rsidR="00AB62AC">
        <w:t>s</w:t>
      </w:r>
      <w:r w:rsidR="00AB62AC" w:rsidRPr="002923CD">
        <w:t xml:space="preserve"> (OICA)</w:t>
      </w:r>
      <w:r w:rsidR="00AB62AC" w:rsidRPr="00683DA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B62AC" w:rsidRPr="00592975" w:rsidRDefault="00AB62AC" w:rsidP="00683DA7">
      <w:pPr>
        <w:pStyle w:val="SingleTxtG"/>
        <w:ind w:firstLine="567"/>
        <w:rPr>
          <w:rFonts w:eastAsia="MS Mincho"/>
        </w:rPr>
      </w:pPr>
      <w:r w:rsidRPr="00A8456B">
        <w:t>Le texte ci-après a été établi par l</w:t>
      </w:r>
      <w:r>
        <w:t>’</w:t>
      </w:r>
      <w:r w:rsidRPr="00A8456B">
        <w:t>expert de l</w:t>
      </w:r>
      <w:r>
        <w:t>’</w:t>
      </w:r>
      <w:r w:rsidRPr="00A8456B">
        <w:t xml:space="preserve">Organisation internationale des </w:t>
      </w:r>
      <w:r>
        <w:t>c</w:t>
      </w:r>
      <w:r w:rsidRPr="00A8456B">
        <w:t>onstructeurs d</w:t>
      </w:r>
      <w:r>
        <w:t>’a</w:t>
      </w:r>
      <w:r w:rsidRPr="00A8456B">
        <w:t>utomobile</w:t>
      </w:r>
      <w:r>
        <w:t>s</w:t>
      </w:r>
      <w:r w:rsidRPr="00A8456B">
        <w:t xml:space="preserve"> (OICA) </w:t>
      </w:r>
      <w:r>
        <w:t>afin de</w:t>
      </w:r>
      <w:r w:rsidRPr="00A8456B">
        <w:t xml:space="preserve"> modifier les dispositions transitoires </w:t>
      </w:r>
      <w:r>
        <w:t xml:space="preserve">figurant dans </w:t>
      </w:r>
      <w:r w:rsidRPr="00B30315">
        <w:t>les deux séries d</w:t>
      </w:r>
      <w:r>
        <w:t>’</w:t>
      </w:r>
      <w:r w:rsidRPr="00B30315">
        <w:t xml:space="preserve">amendements </w:t>
      </w:r>
      <w:r>
        <w:t>a</w:t>
      </w:r>
      <w:r w:rsidRPr="00B30315">
        <w:t xml:space="preserve">u Règlement </w:t>
      </w:r>
      <w:r w:rsidRPr="008C68E9">
        <w:t>n</w:t>
      </w:r>
      <w:r w:rsidRPr="008C68E9">
        <w:rPr>
          <w:vertAlign w:val="superscript"/>
        </w:rPr>
        <w:t>o</w:t>
      </w:r>
      <w:r w:rsidR="00683DA7">
        <w:t> </w:t>
      </w:r>
      <w:r>
        <w:t>100</w:t>
      </w:r>
      <w:r w:rsidRPr="00A8456B">
        <w:t xml:space="preserve">, </w:t>
      </w:r>
      <w:r>
        <w:t>suite à l’</w:t>
      </w:r>
      <w:r w:rsidRPr="00A8456B">
        <w:t xml:space="preserve">adoption </w:t>
      </w:r>
      <w:r>
        <w:t>des nouvelles directives concernant l’élaboration des Règlements</w:t>
      </w:r>
      <w:r w:rsidRPr="00A8456B">
        <w:t xml:space="preserve"> (</w:t>
      </w:r>
      <w:r>
        <w:t>voir</w:t>
      </w:r>
      <w:r w:rsidRPr="00A8456B">
        <w:t xml:space="preserve"> ECE/TRANS/WP.29/2017/107, Corr.1 </w:t>
      </w:r>
      <w:r>
        <w:t>et</w:t>
      </w:r>
      <w:r w:rsidRPr="00A8456B">
        <w:t xml:space="preserve"> Add.1). </w:t>
      </w:r>
      <w:r w:rsidRPr="008163D8">
        <w:t>Il est fondé sur le document informel GRSP-62-31, diffus</w:t>
      </w:r>
      <w:r>
        <w:t>é</w:t>
      </w:r>
      <w:r w:rsidRPr="008163D8">
        <w:t xml:space="preserve"> à </w:t>
      </w:r>
      <w:r>
        <w:t>l</w:t>
      </w:r>
      <w:r w:rsidRPr="008163D8">
        <w:t xml:space="preserve">a soixante-deuxième session </w:t>
      </w:r>
      <w:r>
        <w:t>du Groupe de travail de la sécurité passive</w:t>
      </w:r>
      <w:r w:rsidRPr="008163D8">
        <w:t xml:space="preserve"> (GRSP) (</w:t>
      </w:r>
      <w:r w:rsidR="00683DA7">
        <w:rPr>
          <w:iCs/>
        </w:rPr>
        <w:t>ECE/TRANS/ WP.29/GRSP/62, par. </w:t>
      </w:r>
      <w:r w:rsidRPr="008163D8">
        <w:rPr>
          <w:iCs/>
        </w:rPr>
        <w:t>27)</w:t>
      </w:r>
      <w:r w:rsidRPr="008163D8">
        <w:t xml:space="preserve">. </w:t>
      </w:r>
      <w:r w:rsidRPr="00592975">
        <w:t xml:space="preserve">Les modifications </w:t>
      </w:r>
      <w:r>
        <w:t>qu’il est proposé d’</w:t>
      </w:r>
      <w:r w:rsidRPr="00592975">
        <w:t>apport</w:t>
      </w:r>
      <w:r>
        <w:t>er</w:t>
      </w:r>
      <w:r w:rsidRPr="00592975">
        <w:t xml:space="preserve"> au texte actuel du Règlement figurent en caractère gras pour les ajouts et biffés pour les suppressions.</w:t>
      </w:r>
    </w:p>
    <w:p w:rsidR="00AB62AC" w:rsidRPr="00592975" w:rsidRDefault="00AB62AC" w:rsidP="00812768">
      <w:pPr>
        <w:pStyle w:val="HChG"/>
      </w:pPr>
      <w:r w:rsidRPr="00592975">
        <w:rPr>
          <w:szCs w:val="24"/>
        </w:rPr>
        <w:br w:type="page"/>
      </w:r>
      <w:r w:rsidRPr="00592975">
        <w:lastRenderedPageBreak/>
        <w:tab/>
        <w:t>I.</w:t>
      </w:r>
      <w:r w:rsidRPr="00592975">
        <w:tab/>
        <w:t xml:space="preserve">Proposition de </w:t>
      </w:r>
      <w:r>
        <w:t>c</w:t>
      </w:r>
      <w:r w:rsidRPr="00592975">
        <w:t xml:space="preserve">omplément 5 à la série 01 </w:t>
      </w:r>
      <w:r>
        <w:t>d’</w:t>
      </w:r>
      <w:r w:rsidR="00812768">
        <w:t>amendements au </w:t>
      </w:r>
      <w:r>
        <w:t xml:space="preserve">Règlement </w:t>
      </w:r>
      <w:r w:rsidRPr="00592975">
        <w:t>n</w:t>
      </w:r>
      <w:r w:rsidRPr="00592975">
        <w:rPr>
          <w:vertAlign w:val="superscript"/>
        </w:rPr>
        <w:t>o</w:t>
      </w:r>
      <w:r w:rsidR="00812768">
        <w:t> </w:t>
      </w:r>
      <w:r w:rsidRPr="00592975">
        <w:t>100</w:t>
      </w:r>
    </w:p>
    <w:p w:rsidR="00AB62AC" w:rsidRPr="00592975" w:rsidRDefault="00AB62AC" w:rsidP="00812768">
      <w:pPr>
        <w:pStyle w:val="SingleTxtG"/>
      </w:pPr>
      <w:r w:rsidRPr="00812768">
        <w:rPr>
          <w:i/>
        </w:rPr>
        <w:t>Ajouter un nouveau paragraphe 11.5</w:t>
      </w:r>
      <w:r w:rsidRPr="00592975">
        <w:t xml:space="preserve">, </w:t>
      </w:r>
      <w:r>
        <w:t>libellé comme suit</w:t>
      </w:r>
      <w:r w:rsidR="00812768">
        <w:t> </w:t>
      </w:r>
      <w:r w:rsidRPr="00592975">
        <w:t>:</w:t>
      </w:r>
    </w:p>
    <w:p w:rsidR="00AB62AC" w:rsidRPr="006D556E" w:rsidRDefault="00AB62AC" w:rsidP="00812768">
      <w:pPr>
        <w:pStyle w:val="SingleTxtG"/>
        <w:ind w:left="2268" w:hanging="1134"/>
      </w:pPr>
      <w:r w:rsidRPr="00730D2D">
        <w:t>«</w:t>
      </w:r>
      <w:r w:rsidR="00812768">
        <w:t> </w:t>
      </w:r>
      <w:r w:rsidRPr="00812768">
        <w:rPr>
          <w:b/>
          <w:lang w:eastAsia="ja-JP"/>
        </w:rPr>
        <w:t>11.5</w:t>
      </w:r>
      <w:r w:rsidRPr="00812768">
        <w:rPr>
          <w:b/>
          <w:lang w:eastAsia="ja-JP"/>
        </w:rPr>
        <w:tab/>
        <w:t xml:space="preserve">Les Parties contractantes appliquant le présent Règlement doivent continuer à accepter les homologations de type délivrées en vertu de la précédente série d’amendements audit Règlement accordées pour la première fois avant le </w:t>
      </w:r>
      <w:r w:rsidR="00812768">
        <w:rPr>
          <w:b/>
          <w:lang w:eastAsia="ja-JP"/>
        </w:rPr>
        <w:t>4 </w:t>
      </w:r>
      <w:r w:rsidRPr="00812768">
        <w:rPr>
          <w:b/>
          <w:lang w:eastAsia="ja-JP"/>
        </w:rPr>
        <w:t>décembre 2010.</w:t>
      </w:r>
      <w:r w:rsidR="00812768">
        <w:rPr>
          <w:b/>
          <w:lang w:eastAsia="ja-JP"/>
        </w:rPr>
        <w:t> </w:t>
      </w:r>
      <w:r w:rsidRPr="006D556E">
        <w:rPr>
          <w:iCs/>
          <w:lang w:eastAsia="ja-JP"/>
        </w:rPr>
        <w:t>»</w:t>
      </w:r>
      <w:r>
        <w:rPr>
          <w:iCs/>
          <w:lang w:eastAsia="ja-JP"/>
        </w:rPr>
        <w:t>.</w:t>
      </w:r>
    </w:p>
    <w:p w:rsidR="00AB62AC" w:rsidRPr="00B90C70" w:rsidRDefault="00AB62AC" w:rsidP="00812768">
      <w:pPr>
        <w:pStyle w:val="SingleTxtG"/>
        <w:rPr>
          <w:i/>
        </w:rPr>
      </w:pPr>
      <w:r>
        <w:rPr>
          <w:i/>
        </w:rPr>
        <w:t>L’ancien p</w:t>
      </w:r>
      <w:r w:rsidRPr="00B90C70">
        <w:rPr>
          <w:i/>
        </w:rPr>
        <w:t>aragraph</w:t>
      </w:r>
      <w:r>
        <w:rPr>
          <w:i/>
        </w:rPr>
        <w:t>e</w:t>
      </w:r>
      <w:r w:rsidRPr="00B90C70">
        <w:rPr>
          <w:i/>
        </w:rPr>
        <w:t xml:space="preserve"> 11.5 </w:t>
      </w:r>
      <w:r w:rsidRPr="008E777A">
        <w:t>devient le paragraphe</w:t>
      </w:r>
      <w:r w:rsidRPr="00B90C70">
        <w:t xml:space="preserve"> 11.6.</w:t>
      </w:r>
    </w:p>
    <w:p w:rsidR="00AB62AC" w:rsidRPr="008E777A" w:rsidRDefault="00AB62AC" w:rsidP="00812768">
      <w:pPr>
        <w:pStyle w:val="HChG"/>
      </w:pPr>
      <w:r w:rsidRPr="00B90C70">
        <w:tab/>
      </w:r>
      <w:r w:rsidRPr="008E777A">
        <w:t>II.</w:t>
      </w:r>
      <w:r w:rsidRPr="008E777A">
        <w:tab/>
        <w:t xml:space="preserve">Proposition de </w:t>
      </w:r>
      <w:r>
        <w:t>c</w:t>
      </w:r>
      <w:r w:rsidRPr="008E777A">
        <w:t xml:space="preserve">omplément 4 à la série 02 </w:t>
      </w:r>
      <w:r>
        <w:t>d’</w:t>
      </w:r>
      <w:r w:rsidRPr="008E777A">
        <w:t>amend</w:t>
      </w:r>
      <w:r>
        <w:t>e</w:t>
      </w:r>
      <w:r w:rsidRPr="008E777A">
        <w:t xml:space="preserve">ments </w:t>
      </w:r>
      <w:r>
        <w:t>au</w:t>
      </w:r>
      <w:r w:rsidR="00812768">
        <w:t> </w:t>
      </w:r>
      <w:r>
        <w:t xml:space="preserve">Règlement </w:t>
      </w:r>
      <w:r w:rsidRPr="008E777A">
        <w:t>n</w:t>
      </w:r>
      <w:r w:rsidRPr="008E777A">
        <w:rPr>
          <w:vertAlign w:val="superscript"/>
        </w:rPr>
        <w:t>o</w:t>
      </w:r>
      <w:r w:rsidR="00B835FD">
        <w:t> </w:t>
      </w:r>
      <w:r w:rsidRPr="008E777A">
        <w:t>100</w:t>
      </w:r>
    </w:p>
    <w:p w:rsidR="00AB62AC" w:rsidRPr="008E777A" w:rsidRDefault="00AB62AC" w:rsidP="00590A58">
      <w:pPr>
        <w:pStyle w:val="SingleTxtG"/>
        <w:keepNext/>
      </w:pPr>
      <w:r w:rsidRPr="00590A58">
        <w:rPr>
          <w:i/>
        </w:rPr>
        <w:t>Ajouter un nouveau paragraphe 12.5</w:t>
      </w:r>
      <w:r w:rsidRPr="008E777A">
        <w:t xml:space="preserve">, </w:t>
      </w:r>
      <w:r>
        <w:t>libellé comme suit</w:t>
      </w:r>
      <w:r w:rsidR="00590A58">
        <w:t> </w:t>
      </w:r>
      <w:r w:rsidRPr="008E777A">
        <w:t>:</w:t>
      </w:r>
    </w:p>
    <w:p w:rsidR="00AB62AC" w:rsidRPr="008E777A" w:rsidRDefault="00AB62AC" w:rsidP="00590A58">
      <w:pPr>
        <w:pStyle w:val="SingleTxtG"/>
        <w:ind w:left="2268" w:hanging="1134"/>
      </w:pPr>
      <w:r w:rsidRPr="00730D2D">
        <w:t>«</w:t>
      </w:r>
      <w:r w:rsidR="00590A58">
        <w:t> </w:t>
      </w:r>
      <w:r w:rsidRPr="00590A58">
        <w:rPr>
          <w:b/>
        </w:rPr>
        <w:t>12.5</w:t>
      </w:r>
      <w:r w:rsidRPr="00590A58">
        <w:rPr>
          <w:b/>
        </w:rPr>
        <w:tab/>
      </w:r>
      <w:r w:rsidRPr="00590A58">
        <w:rPr>
          <w:b/>
          <w:lang w:eastAsia="ja-JP"/>
        </w:rPr>
        <w:t>Les Parties contractantes appliquant le présent Règlement doivent continuer à accepter les homologations de type délivrées en vertu de la précédente série d’amendements audit Règlement accordées po</w:t>
      </w:r>
      <w:r w:rsidR="00812768">
        <w:rPr>
          <w:b/>
          <w:lang w:eastAsia="ja-JP"/>
        </w:rPr>
        <w:t>ur la première fois avant le 15 </w:t>
      </w:r>
      <w:r w:rsidRPr="00590A58">
        <w:rPr>
          <w:b/>
          <w:lang w:eastAsia="ja-JP"/>
        </w:rPr>
        <w:t>juillet 2016.</w:t>
      </w:r>
      <w:r w:rsidR="00590A58">
        <w:rPr>
          <w:lang w:eastAsia="ja-JP"/>
        </w:rPr>
        <w:t> </w:t>
      </w:r>
      <w:r w:rsidRPr="008E777A">
        <w:rPr>
          <w:lang w:eastAsia="ja-JP"/>
        </w:rPr>
        <w:t>»</w:t>
      </w:r>
      <w:r>
        <w:rPr>
          <w:lang w:eastAsia="ja-JP"/>
        </w:rPr>
        <w:t>.</w:t>
      </w:r>
    </w:p>
    <w:p w:rsidR="00AB62AC" w:rsidRPr="00B90C70" w:rsidRDefault="00AB62AC" w:rsidP="00590A58">
      <w:pPr>
        <w:pStyle w:val="SingleTxtG"/>
        <w:rPr>
          <w:i/>
        </w:rPr>
      </w:pPr>
      <w:r>
        <w:rPr>
          <w:i/>
        </w:rPr>
        <w:t>L’ancien p</w:t>
      </w:r>
      <w:r w:rsidRPr="00B90C70">
        <w:rPr>
          <w:i/>
        </w:rPr>
        <w:t>aragraph</w:t>
      </w:r>
      <w:r>
        <w:rPr>
          <w:i/>
        </w:rPr>
        <w:t>e 1</w:t>
      </w:r>
      <w:r w:rsidRPr="00B90C70">
        <w:rPr>
          <w:i/>
        </w:rPr>
        <w:t xml:space="preserve">2.5 </w:t>
      </w:r>
      <w:r>
        <w:t>devient le paragraphe 1</w:t>
      </w:r>
      <w:r w:rsidRPr="00B90C70">
        <w:t>2.6.</w:t>
      </w:r>
    </w:p>
    <w:p w:rsidR="00AB62AC" w:rsidRPr="00B90C70" w:rsidRDefault="00AB62AC" w:rsidP="00590A58">
      <w:pPr>
        <w:pStyle w:val="HChG"/>
      </w:pPr>
      <w:r w:rsidRPr="008E777A">
        <w:tab/>
        <w:t>II.</w:t>
      </w:r>
      <w:r w:rsidRPr="008E777A">
        <w:tab/>
        <w:t>Justification</w:t>
      </w:r>
    </w:p>
    <w:p w:rsidR="00AB62AC" w:rsidRDefault="00AB62AC" w:rsidP="00590A58">
      <w:pPr>
        <w:pStyle w:val="SingleTxtG"/>
      </w:pPr>
      <w:r w:rsidRPr="00534485">
        <w:t>1.</w:t>
      </w:r>
      <w:r w:rsidRPr="00534485">
        <w:tab/>
        <w:t>Lorsque les séries d</w:t>
      </w:r>
      <w:r>
        <w:t>’</w:t>
      </w:r>
      <w:r w:rsidRPr="00534485">
        <w:t>amendements 01 et 02 au Règlement n</w:t>
      </w:r>
      <w:r w:rsidRPr="00534485">
        <w:rPr>
          <w:vertAlign w:val="superscript"/>
        </w:rPr>
        <w:t>o</w:t>
      </w:r>
      <w:r w:rsidR="00B01ABC">
        <w:t> </w:t>
      </w:r>
      <w:r w:rsidRPr="00534485">
        <w:t>100 ont été élaborées, il avait toujours été entendu que les nouvelles prescriptions ne s</w:t>
      </w:r>
      <w:r>
        <w:t>’</w:t>
      </w:r>
      <w:r w:rsidRPr="00534485">
        <w:t>appliqueraient qu</w:t>
      </w:r>
      <w:r>
        <w:t>’</w:t>
      </w:r>
      <w:r w:rsidRPr="00534485">
        <w:t xml:space="preserve">aux nouvelles homologations </w:t>
      </w:r>
      <w:r>
        <w:t xml:space="preserve">et n’auraient aucune incidence sur les homologations délivrées précédemment. Par conséquent, il n’avait pas été fixé de date à partir de laquelle une Partie contractante appliquant le Règlement </w:t>
      </w:r>
      <w:r w:rsidRPr="00A22E7D">
        <w:t>n</w:t>
      </w:r>
      <w:r w:rsidRPr="00A22E7D">
        <w:rPr>
          <w:vertAlign w:val="superscript"/>
        </w:rPr>
        <w:t>o</w:t>
      </w:r>
      <w:r w:rsidR="00B01ABC">
        <w:t> </w:t>
      </w:r>
      <w:r>
        <w:t xml:space="preserve">100 pourrait refuser les homologations délivrées précédemment. </w:t>
      </w:r>
    </w:p>
    <w:p w:rsidR="00AB62AC" w:rsidRPr="00805BBF" w:rsidRDefault="00AB62AC" w:rsidP="00590A58">
      <w:pPr>
        <w:pStyle w:val="SingleTxtG"/>
      </w:pPr>
      <w:r w:rsidRPr="00EF510E">
        <w:t>2.</w:t>
      </w:r>
      <w:r w:rsidRPr="00EF510E">
        <w:tab/>
        <w:t>Les nouvelles dispositions concernant l</w:t>
      </w:r>
      <w:r>
        <w:t>’</w:t>
      </w:r>
      <w:r w:rsidRPr="00EF510E">
        <w:t>élaboration des Règlements adoptées par le WP.29 à sa session de novembre 2017 prévoient cependant qu</w:t>
      </w:r>
      <w:r>
        <w:t>’</w:t>
      </w:r>
      <w:r w:rsidRPr="00EF510E">
        <w:t>en l</w:t>
      </w:r>
      <w:r>
        <w:t>’</w:t>
      </w:r>
      <w:r w:rsidRPr="00EF510E">
        <w:t xml:space="preserve">absence de </w:t>
      </w:r>
      <w:r>
        <w:t>«</w:t>
      </w:r>
      <w:r w:rsidR="00B01ABC">
        <w:t> </w:t>
      </w:r>
      <w:r w:rsidRPr="00EF510E">
        <w:t>date c)</w:t>
      </w:r>
      <w:r w:rsidR="00B01ABC">
        <w:t> </w:t>
      </w:r>
      <w:r>
        <w:t>»</w:t>
      </w:r>
      <w:r w:rsidRPr="00EF510E">
        <w:t xml:space="preserve">, </w:t>
      </w:r>
      <w:r>
        <w:t>c’est-à-dire de date de premier enregistrement, et en l’absence de toute autre spécification dans les dispositions transitoires, cette «</w:t>
      </w:r>
      <w:r w:rsidR="00B01ABC">
        <w:t> </w:t>
      </w:r>
      <w:r>
        <w:t xml:space="preserve">date </w:t>
      </w:r>
      <w:r w:rsidRPr="00EF510E">
        <w:t>c)</w:t>
      </w:r>
      <w:r w:rsidR="00B01ABC">
        <w:t> </w:t>
      </w:r>
      <w:r>
        <w:t>» sera automatiquement considérée comme étant identique à la «</w:t>
      </w:r>
      <w:r w:rsidR="00B01ABC">
        <w:t> </w:t>
      </w:r>
      <w:r>
        <w:t xml:space="preserve">date </w:t>
      </w:r>
      <w:r w:rsidRPr="00EF510E">
        <w:t>b)</w:t>
      </w:r>
      <w:r w:rsidR="00B01ABC">
        <w:t> </w:t>
      </w:r>
      <w:r>
        <w:t>»</w:t>
      </w:r>
      <w:r w:rsidRPr="00EF510E">
        <w:t xml:space="preserve">, </w:t>
      </w:r>
      <w:r>
        <w:t>c’est-à-dire la date d’homologation de type.</w:t>
      </w:r>
      <w:r w:rsidRPr="00EF510E">
        <w:t xml:space="preserve"> </w:t>
      </w:r>
      <w:r w:rsidRPr="00805BBF">
        <w:t>De ce fait, les homologations délivrées précédemment risquent désormais d</w:t>
      </w:r>
      <w:r>
        <w:t>’être rejetées.</w:t>
      </w:r>
    </w:p>
    <w:p w:rsidR="00AB62AC" w:rsidRPr="00714050" w:rsidRDefault="00AB62AC" w:rsidP="00590A58">
      <w:pPr>
        <w:pStyle w:val="SingleTxtG"/>
      </w:pPr>
      <w:r w:rsidRPr="00714050">
        <w:t>3.</w:t>
      </w:r>
      <w:r w:rsidRPr="00714050">
        <w:tab/>
        <w:t>L</w:t>
      </w:r>
      <w:r>
        <w:t>’</w:t>
      </w:r>
      <w:r w:rsidRPr="00714050">
        <w:t>OICA n</w:t>
      </w:r>
      <w:r>
        <w:t>’</w:t>
      </w:r>
      <w:r w:rsidRPr="00714050">
        <w:t>a eu connaissance d</w:t>
      </w:r>
      <w:r>
        <w:t>’</w:t>
      </w:r>
      <w:r w:rsidRPr="00714050">
        <w:t>aucun problème précis jusqu</w:t>
      </w:r>
      <w:r>
        <w:t>’</w:t>
      </w:r>
      <w:r w:rsidRPr="00714050">
        <w:t>à présent, mais estime néanmoins que les dispositions transitoires figurant dans le Règlement n</w:t>
      </w:r>
      <w:r w:rsidRPr="00714050">
        <w:rPr>
          <w:vertAlign w:val="superscript"/>
        </w:rPr>
        <w:t>o</w:t>
      </w:r>
      <w:r w:rsidR="00B01ABC">
        <w:t> </w:t>
      </w:r>
      <w:r w:rsidRPr="00714050">
        <w:t>100 doivent refléter la situation prévalant au moment de l</w:t>
      </w:r>
      <w:r>
        <w:t>’</w:t>
      </w:r>
      <w:r w:rsidRPr="00714050">
        <w:t>adoption des s</w:t>
      </w:r>
      <w:r>
        <w:t>é</w:t>
      </w:r>
      <w:r w:rsidRPr="00714050">
        <w:t xml:space="preserve">ries 01 </w:t>
      </w:r>
      <w:r>
        <w:t>et</w:t>
      </w:r>
      <w:r w:rsidRPr="00714050">
        <w:t xml:space="preserve"> 02 </w:t>
      </w:r>
      <w:r>
        <w:t>d’</w:t>
      </w:r>
      <w:r w:rsidRPr="00714050">
        <w:t>amend</w:t>
      </w:r>
      <w:r>
        <w:t>e</w:t>
      </w:r>
      <w:r w:rsidRPr="00714050">
        <w:t xml:space="preserve">ments, </w:t>
      </w:r>
      <w:r>
        <w:t>c’est-à-dire que les homologations existantes devraient continuer à être acceptées</w:t>
      </w:r>
      <w:r w:rsidRPr="00714050">
        <w:t>.</w:t>
      </w:r>
    </w:p>
    <w:p w:rsidR="00F9573C" w:rsidRPr="00AB62AC" w:rsidRDefault="00AB62AC" w:rsidP="00AB62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AB62AC" w:rsidSect="00D03B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E7E" w:rsidRDefault="00712E7E" w:rsidP="00F95C08">
      <w:pPr>
        <w:spacing w:line="240" w:lineRule="auto"/>
      </w:pPr>
    </w:p>
  </w:endnote>
  <w:endnote w:type="continuationSeparator" w:id="0">
    <w:p w:rsidR="00712E7E" w:rsidRPr="00AC3823" w:rsidRDefault="00712E7E" w:rsidP="00AC3823">
      <w:pPr>
        <w:pStyle w:val="Footer"/>
      </w:pPr>
    </w:p>
  </w:endnote>
  <w:endnote w:type="continuationNotice" w:id="1">
    <w:p w:rsidR="00712E7E" w:rsidRDefault="00712E7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1C" w:rsidRPr="00D03B1C" w:rsidRDefault="00D03B1C" w:rsidP="00D03B1C">
    <w:pPr>
      <w:pStyle w:val="Footer"/>
      <w:tabs>
        <w:tab w:val="right" w:pos="9638"/>
      </w:tabs>
    </w:pPr>
    <w:r w:rsidRPr="00D03B1C">
      <w:rPr>
        <w:b/>
        <w:sz w:val="18"/>
      </w:rPr>
      <w:fldChar w:fldCharType="begin"/>
    </w:r>
    <w:r w:rsidRPr="00D03B1C">
      <w:rPr>
        <w:b/>
        <w:sz w:val="18"/>
      </w:rPr>
      <w:instrText xml:space="preserve"> PAGE  \* MERGEFORMAT </w:instrText>
    </w:r>
    <w:r w:rsidRPr="00D03B1C">
      <w:rPr>
        <w:b/>
        <w:sz w:val="18"/>
      </w:rPr>
      <w:fldChar w:fldCharType="separate"/>
    </w:r>
    <w:r w:rsidR="00061067">
      <w:rPr>
        <w:b/>
        <w:noProof/>
        <w:sz w:val="18"/>
      </w:rPr>
      <w:t>2</w:t>
    </w:r>
    <w:r w:rsidRPr="00D03B1C">
      <w:rPr>
        <w:b/>
        <w:sz w:val="18"/>
      </w:rPr>
      <w:fldChar w:fldCharType="end"/>
    </w:r>
    <w:r>
      <w:rPr>
        <w:b/>
        <w:sz w:val="18"/>
      </w:rPr>
      <w:tab/>
    </w:r>
    <w:r>
      <w:t>GE.18-03099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1C" w:rsidRPr="00D03B1C" w:rsidRDefault="00D03B1C" w:rsidP="00D03B1C">
    <w:pPr>
      <w:pStyle w:val="Footer"/>
      <w:tabs>
        <w:tab w:val="right" w:pos="9638"/>
      </w:tabs>
      <w:rPr>
        <w:b/>
        <w:sz w:val="18"/>
      </w:rPr>
    </w:pPr>
    <w:r>
      <w:t>GE.18-03099</w:t>
    </w:r>
    <w:r>
      <w:tab/>
    </w:r>
    <w:r w:rsidRPr="00D03B1C">
      <w:rPr>
        <w:b/>
        <w:sz w:val="18"/>
      </w:rPr>
      <w:fldChar w:fldCharType="begin"/>
    </w:r>
    <w:r w:rsidRPr="00D03B1C">
      <w:rPr>
        <w:b/>
        <w:sz w:val="18"/>
      </w:rPr>
      <w:instrText xml:space="preserve"> PAGE  \* MERGEFORMAT </w:instrText>
    </w:r>
    <w:r w:rsidRPr="00D03B1C">
      <w:rPr>
        <w:b/>
        <w:sz w:val="18"/>
      </w:rPr>
      <w:fldChar w:fldCharType="separate"/>
    </w:r>
    <w:r w:rsidR="00274432">
      <w:rPr>
        <w:b/>
        <w:noProof/>
        <w:sz w:val="18"/>
      </w:rPr>
      <w:t>2</w:t>
    </w:r>
    <w:r w:rsidRPr="00D03B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03B1C" w:rsidRDefault="00D03B1C" w:rsidP="00D03B1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18-03099  (F)</w:t>
    </w:r>
    <w:r w:rsidR="00DC42D9">
      <w:rPr>
        <w:sz w:val="20"/>
      </w:rPr>
      <w:t xml:space="preserve">    220318    230318</w:t>
    </w:r>
    <w:r>
      <w:rPr>
        <w:sz w:val="20"/>
      </w:rPr>
      <w:br/>
    </w:r>
    <w:r w:rsidRPr="00D03B1C">
      <w:rPr>
        <w:rFonts w:ascii="C39T30Lfz" w:hAnsi="C39T30Lfz"/>
        <w:sz w:val="56"/>
      </w:rPr>
      <w:t></w:t>
    </w:r>
    <w:r w:rsidRPr="00D03B1C">
      <w:rPr>
        <w:rFonts w:ascii="C39T30Lfz" w:hAnsi="C39T30Lfz"/>
        <w:sz w:val="56"/>
      </w:rPr>
      <w:t></w:t>
    </w:r>
    <w:r w:rsidRPr="00D03B1C">
      <w:rPr>
        <w:rFonts w:ascii="C39T30Lfz" w:hAnsi="C39T30Lfz"/>
        <w:sz w:val="56"/>
      </w:rPr>
      <w:t></w:t>
    </w:r>
    <w:r w:rsidRPr="00D03B1C">
      <w:rPr>
        <w:rFonts w:ascii="C39T30Lfz" w:hAnsi="C39T30Lfz"/>
        <w:sz w:val="56"/>
      </w:rPr>
      <w:t></w:t>
    </w:r>
    <w:r w:rsidRPr="00D03B1C">
      <w:rPr>
        <w:rFonts w:ascii="C39T30Lfz" w:hAnsi="C39T30Lfz"/>
        <w:sz w:val="56"/>
      </w:rPr>
      <w:t></w:t>
    </w:r>
    <w:r w:rsidRPr="00D03B1C">
      <w:rPr>
        <w:rFonts w:ascii="C39T30Lfz" w:hAnsi="C39T30Lfz"/>
        <w:sz w:val="56"/>
      </w:rPr>
      <w:t></w:t>
    </w:r>
    <w:r w:rsidRPr="00D03B1C">
      <w:rPr>
        <w:rFonts w:ascii="C39T30Lfz" w:hAnsi="C39T30Lfz"/>
        <w:sz w:val="56"/>
      </w:rPr>
      <w:t></w:t>
    </w:r>
    <w:r w:rsidRPr="00D03B1C">
      <w:rPr>
        <w:rFonts w:ascii="C39T30Lfz" w:hAnsi="C39T30Lfz"/>
        <w:sz w:val="56"/>
      </w:rPr>
      <w:t></w:t>
    </w:r>
    <w:r w:rsidRPr="00D03B1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CE/TRANS/WP.29/GRSP/2018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/TRANS/WP.29/GRSP/2018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E7E" w:rsidRPr="00AC3823" w:rsidRDefault="00712E7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2E7E" w:rsidRPr="00AC3823" w:rsidRDefault="00712E7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12E7E" w:rsidRPr="00AC3823" w:rsidRDefault="00712E7E">
      <w:pPr>
        <w:spacing w:line="240" w:lineRule="auto"/>
        <w:rPr>
          <w:sz w:val="2"/>
          <w:szCs w:val="2"/>
        </w:rPr>
      </w:pPr>
    </w:p>
  </w:footnote>
  <w:footnote w:id="2">
    <w:p w:rsidR="00AB62AC" w:rsidRPr="002923CD" w:rsidRDefault="00AB62AC" w:rsidP="00AB62AC">
      <w:pPr>
        <w:pStyle w:val="FootnoteText"/>
      </w:pPr>
      <w:r w:rsidRPr="00812768">
        <w:rPr>
          <w:sz w:val="20"/>
        </w:rPr>
        <w:tab/>
      </w:r>
      <w:r w:rsidRPr="00812768">
        <w:rPr>
          <w:rStyle w:val="FootnoteReference"/>
          <w:sz w:val="20"/>
          <w:vertAlign w:val="baseline"/>
        </w:rPr>
        <w:t>*</w:t>
      </w:r>
      <w:r w:rsidRPr="00812768">
        <w:rPr>
          <w:sz w:val="20"/>
        </w:rPr>
        <w:tab/>
      </w:r>
      <w:r w:rsidRPr="00812768">
        <w:rPr>
          <w:spacing w:val="-2"/>
        </w:rPr>
        <w:t>Conformément au programme de travail du Comité des transports intérieurs pour la période</w:t>
      </w:r>
      <w:r w:rsidR="00DC42D9">
        <w:rPr>
          <w:spacing w:val="-2"/>
        </w:rPr>
        <w:t xml:space="preserve"> 2014-2018 (ECE/TRANS/240, par. </w:t>
      </w:r>
      <w:r w:rsidRPr="00812768">
        <w:rPr>
          <w:spacing w:val="-2"/>
        </w:rPr>
        <w:t>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1C" w:rsidRPr="00D03B1C" w:rsidRDefault="0006106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74432">
      <w:t>CE/TRANS/WP.29/GRSP/2018/7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B1C" w:rsidRPr="00D03B1C" w:rsidRDefault="00061067" w:rsidP="00D03B1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74432">
      <w:t>CE/TRANS/WP.29/GRSP/2018/7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E"/>
    <w:rsid w:val="00017F94"/>
    <w:rsid w:val="00023842"/>
    <w:rsid w:val="000334F9"/>
    <w:rsid w:val="00045FEB"/>
    <w:rsid w:val="00061067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32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0A58"/>
    <w:rsid w:val="00596AA9"/>
    <w:rsid w:val="00683DA7"/>
    <w:rsid w:val="00712E7E"/>
    <w:rsid w:val="0071601D"/>
    <w:rsid w:val="007A62E6"/>
    <w:rsid w:val="007F20FA"/>
    <w:rsid w:val="0080684C"/>
    <w:rsid w:val="00812768"/>
    <w:rsid w:val="00871C75"/>
    <w:rsid w:val="008776DC"/>
    <w:rsid w:val="009446C0"/>
    <w:rsid w:val="009705C8"/>
    <w:rsid w:val="009C1CF4"/>
    <w:rsid w:val="009F6B74"/>
    <w:rsid w:val="00A30353"/>
    <w:rsid w:val="00AB62AC"/>
    <w:rsid w:val="00AC3823"/>
    <w:rsid w:val="00AE323C"/>
    <w:rsid w:val="00AF0CB5"/>
    <w:rsid w:val="00B00181"/>
    <w:rsid w:val="00B00B0D"/>
    <w:rsid w:val="00B01ABC"/>
    <w:rsid w:val="00B765F7"/>
    <w:rsid w:val="00B835FD"/>
    <w:rsid w:val="00BA0CA9"/>
    <w:rsid w:val="00C02897"/>
    <w:rsid w:val="00C97039"/>
    <w:rsid w:val="00D03B1C"/>
    <w:rsid w:val="00D3439C"/>
    <w:rsid w:val="00DB1831"/>
    <w:rsid w:val="00DC42D9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8F6628-4BAF-41FE-812D-C4CB7BCA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AB62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AB62AC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CE/TRANS/WP.29/GRSP/2018/7</vt:lpstr>
      <vt:lpstr>CE/TRANS/WP.29/GRSP/2018/7</vt:lpstr>
    </vt:vector>
  </TitlesOfParts>
  <Company>DCM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CE/TRANS/WP.29/GRSP/2018/7</dc:title>
  <dc:subject/>
  <dc:creator>Nicolas MORIN</dc:creator>
  <cp:keywords/>
  <cp:lastModifiedBy>Benedicte Boudol</cp:lastModifiedBy>
  <cp:revision>2</cp:revision>
  <cp:lastPrinted>2018-03-23T09:56:00Z</cp:lastPrinted>
  <dcterms:created xsi:type="dcterms:W3CDTF">2018-03-23T10:39:00Z</dcterms:created>
  <dcterms:modified xsi:type="dcterms:W3CDTF">2018-03-23T10:39:00Z</dcterms:modified>
</cp:coreProperties>
</file>