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9060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9060F" w:rsidP="0019060F">
            <w:pPr>
              <w:jc w:val="right"/>
            </w:pPr>
            <w:r w:rsidRPr="0019060F">
              <w:rPr>
                <w:sz w:val="40"/>
              </w:rPr>
              <w:t>ECE</w:t>
            </w:r>
            <w:r>
              <w:t>/TRANS/WP.29/GRSP/2018/13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9060F" w:rsidP="00C97039">
            <w:pPr>
              <w:spacing w:before="240"/>
            </w:pPr>
            <w:r>
              <w:t>Distr. générale</w:t>
            </w:r>
          </w:p>
          <w:p w:rsidR="0019060F" w:rsidRDefault="0019060F" w:rsidP="0019060F">
            <w:pPr>
              <w:spacing w:line="240" w:lineRule="exact"/>
            </w:pPr>
            <w:r>
              <w:t>28 février 2018</w:t>
            </w:r>
          </w:p>
          <w:p w:rsidR="0019060F" w:rsidRDefault="0019060F" w:rsidP="0019060F">
            <w:pPr>
              <w:spacing w:line="240" w:lineRule="exact"/>
            </w:pPr>
            <w:r>
              <w:t>Français</w:t>
            </w:r>
          </w:p>
          <w:p w:rsidR="0019060F" w:rsidRPr="00DB58B5" w:rsidRDefault="002103C6" w:rsidP="0019060F">
            <w:pPr>
              <w:spacing w:line="240" w:lineRule="exact"/>
            </w:pPr>
            <w:r>
              <w:t>Original </w:t>
            </w:r>
            <w:r w:rsidR="0019060F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04A53" w:rsidRPr="001E4DCA" w:rsidRDefault="00004A53" w:rsidP="00004A53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8"/>
          <w:szCs w:val="24"/>
        </w:rPr>
      </w:pPr>
      <w:r w:rsidRPr="001E4DCA">
        <w:rPr>
          <w:rFonts w:eastAsia="Times New Roman"/>
          <w:b/>
          <w:sz w:val="22"/>
          <w:lang w:val="fr-FR"/>
        </w:rPr>
        <w:t>Forum mondial de l</w:t>
      </w:r>
      <w:r>
        <w:rPr>
          <w:rFonts w:eastAsia="Times New Roman"/>
          <w:b/>
          <w:sz w:val="22"/>
          <w:lang w:val="fr-FR"/>
        </w:rPr>
        <w:t>’</w:t>
      </w:r>
      <w:r w:rsidRPr="001E4DCA">
        <w:rPr>
          <w:rFonts w:eastAsia="Times New Roman"/>
          <w:b/>
          <w:sz w:val="22"/>
          <w:lang w:val="fr-FR"/>
        </w:rPr>
        <w:t xml:space="preserve">harmonisation </w:t>
      </w:r>
      <w:r w:rsidR="001B0E95">
        <w:rPr>
          <w:rFonts w:eastAsia="Times New Roman"/>
          <w:b/>
          <w:sz w:val="22"/>
          <w:lang w:val="fr-FR"/>
        </w:rPr>
        <w:br/>
      </w:r>
      <w:r w:rsidRPr="001E4DCA">
        <w:rPr>
          <w:rFonts w:eastAsia="Times New Roman"/>
          <w:b/>
          <w:sz w:val="22"/>
          <w:lang w:val="fr-FR"/>
        </w:rPr>
        <w:t>des Règlements concernant les véhicules</w:t>
      </w:r>
    </w:p>
    <w:p w:rsidR="00004A53" w:rsidRPr="001B0E95" w:rsidRDefault="00004A53" w:rsidP="00004A53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1B0E95">
        <w:rPr>
          <w:rFonts w:eastAsia="Times New Roman"/>
          <w:b/>
          <w:lang w:val="fr-FR"/>
        </w:rPr>
        <w:t>Groupe de travail de la sécurité passive</w:t>
      </w:r>
    </w:p>
    <w:p w:rsidR="00004A53" w:rsidRPr="001B0E95" w:rsidRDefault="00004A53" w:rsidP="00004A53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</w:rPr>
      </w:pPr>
      <w:r w:rsidRPr="001B0E95">
        <w:rPr>
          <w:rFonts w:eastAsia="Times New Roman"/>
          <w:b/>
          <w:lang w:val="fr-FR"/>
        </w:rPr>
        <w:t xml:space="preserve">Soixante-troisième session </w:t>
      </w:r>
    </w:p>
    <w:p w:rsidR="00004A53" w:rsidRPr="001B0E95" w:rsidRDefault="00004A53" w:rsidP="00004A53">
      <w:pPr>
        <w:kinsoku/>
        <w:overflowPunct/>
        <w:autoSpaceDE/>
        <w:autoSpaceDN/>
        <w:adjustRightInd/>
        <w:snapToGrid/>
        <w:rPr>
          <w:rFonts w:eastAsia="Times New Roman"/>
          <w:bCs/>
        </w:rPr>
      </w:pPr>
      <w:r w:rsidRPr="001B0E95">
        <w:rPr>
          <w:rFonts w:eastAsia="Times New Roman"/>
          <w:lang w:val="fr-FR"/>
        </w:rPr>
        <w:t>Genève, 14-18 mai 2018</w:t>
      </w:r>
    </w:p>
    <w:p w:rsidR="00004A53" w:rsidRPr="001B0E95" w:rsidRDefault="00004A53" w:rsidP="00004A53">
      <w:pPr>
        <w:kinsoku/>
        <w:overflowPunct/>
        <w:autoSpaceDE/>
        <w:autoSpaceDN/>
        <w:adjustRightInd/>
        <w:snapToGrid/>
        <w:rPr>
          <w:rFonts w:eastAsia="Times New Roman"/>
          <w:bCs/>
        </w:rPr>
      </w:pPr>
      <w:r w:rsidRPr="001B0E95">
        <w:rPr>
          <w:rFonts w:eastAsia="Times New Roman"/>
          <w:lang w:val="fr-FR"/>
        </w:rPr>
        <w:t>Point 19 de l’ordre du jour provisoire</w:t>
      </w:r>
    </w:p>
    <w:p w:rsidR="00004A53" w:rsidRPr="001B0E95" w:rsidRDefault="00004A53" w:rsidP="00004A53">
      <w:pPr>
        <w:kinsoku/>
        <w:overflowPunct/>
        <w:autoSpaceDE/>
        <w:autoSpaceDN/>
        <w:adjustRightInd/>
        <w:snapToGrid/>
        <w:rPr>
          <w:rFonts w:eastAsia="Times New Roman"/>
          <w:b/>
          <w:bCs/>
        </w:rPr>
      </w:pPr>
      <w:r w:rsidRPr="001B0E95">
        <w:rPr>
          <w:rFonts w:eastAsia="Times New Roman"/>
          <w:b/>
          <w:bCs/>
          <w:lang w:val="fr-FR"/>
        </w:rPr>
        <w:t>Règlement n</w:t>
      </w:r>
      <w:r w:rsidRPr="001B0E95">
        <w:rPr>
          <w:rFonts w:eastAsia="Times New Roman"/>
          <w:b/>
          <w:bCs/>
          <w:vertAlign w:val="superscript"/>
          <w:lang w:val="fr-FR"/>
        </w:rPr>
        <w:t>o</w:t>
      </w:r>
      <w:r w:rsidRPr="001B0E95">
        <w:rPr>
          <w:rFonts w:eastAsia="Times New Roman"/>
          <w:b/>
          <w:bCs/>
          <w:lang w:val="fr-FR"/>
        </w:rPr>
        <w:t xml:space="preserve"> 129 (Dispositifs améliorés de retenue pour enfants)</w:t>
      </w:r>
    </w:p>
    <w:p w:rsidR="00004A53" w:rsidRPr="001E4DCA" w:rsidRDefault="00004A53" w:rsidP="007506E9">
      <w:pPr>
        <w:pStyle w:val="HChG"/>
      </w:pPr>
      <w:r w:rsidRPr="001E4DCA">
        <w:rPr>
          <w:lang w:val="fr-FR"/>
        </w:rPr>
        <w:tab/>
      </w:r>
      <w:r w:rsidRPr="001E4DCA">
        <w:rPr>
          <w:lang w:val="fr-FR"/>
        </w:rPr>
        <w:tab/>
        <w:t xml:space="preserve">Proposition de complément </w:t>
      </w:r>
      <w:r>
        <w:rPr>
          <w:lang w:val="fr-FR"/>
        </w:rPr>
        <w:t>8</w:t>
      </w:r>
      <w:r w:rsidRPr="001E4DCA">
        <w:rPr>
          <w:lang w:val="fr-FR"/>
        </w:rPr>
        <w:t xml:space="preserve"> à la série 0</w:t>
      </w:r>
      <w:r>
        <w:rPr>
          <w:lang w:val="fr-FR"/>
        </w:rPr>
        <w:t>0</w:t>
      </w:r>
      <w:r w:rsidRPr="001E4DCA">
        <w:rPr>
          <w:lang w:val="fr-FR"/>
        </w:rPr>
        <w:t xml:space="preserve"> d</w:t>
      </w:r>
      <w:r>
        <w:rPr>
          <w:lang w:val="fr-FR"/>
        </w:rPr>
        <w:t>’</w:t>
      </w:r>
      <w:r w:rsidR="007506E9">
        <w:rPr>
          <w:lang w:val="fr-FR"/>
        </w:rPr>
        <w:t>amendements au </w:t>
      </w:r>
      <w:r w:rsidRPr="001E4DCA">
        <w:rPr>
          <w:lang w:val="fr-FR"/>
        </w:rPr>
        <w:t>Règlement n</w:t>
      </w:r>
      <w:r w:rsidRPr="001E4DC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E4DCA">
        <w:rPr>
          <w:lang w:val="fr-FR"/>
        </w:rPr>
        <w:t>129</w:t>
      </w:r>
    </w:p>
    <w:p w:rsidR="00004A53" w:rsidRPr="001E4DCA" w:rsidRDefault="00004A53" w:rsidP="009C29A6">
      <w:pPr>
        <w:pStyle w:val="H1G"/>
      </w:pPr>
      <w:r w:rsidRPr="001E4DCA">
        <w:rPr>
          <w:lang w:val="fr-FR"/>
        </w:rPr>
        <w:tab/>
      </w:r>
      <w:r w:rsidRPr="001E4DCA">
        <w:rPr>
          <w:lang w:val="fr-FR"/>
        </w:rPr>
        <w:tab/>
        <w:t>Communication de l</w:t>
      </w:r>
      <w:r>
        <w:rPr>
          <w:lang w:val="fr-FR"/>
        </w:rPr>
        <w:t>’</w:t>
      </w:r>
      <w:r w:rsidRPr="001E4DCA">
        <w:rPr>
          <w:lang w:val="fr-FR"/>
        </w:rPr>
        <w:t>expert de l</w:t>
      </w:r>
      <w:r>
        <w:rPr>
          <w:lang w:val="fr-FR"/>
        </w:rPr>
        <w:t>’</w:t>
      </w:r>
      <w:r w:rsidRPr="001E4DCA">
        <w:rPr>
          <w:lang w:val="fr-FR"/>
        </w:rPr>
        <w:t>Espagne</w:t>
      </w:r>
      <w:r w:rsidRPr="009C29A6">
        <w:rPr>
          <w:b w:val="0"/>
          <w:sz w:val="20"/>
          <w:lang w:val="fr-FR"/>
        </w:rPr>
        <w:footnoteReference w:customMarkFollows="1" w:id="2"/>
        <w:t>*</w:t>
      </w:r>
    </w:p>
    <w:p w:rsidR="00004A53" w:rsidRPr="001E4DCA" w:rsidRDefault="00004A53" w:rsidP="007506E9">
      <w:pPr>
        <w:pStyle w:val="SingleTxtG"/>
        <w:ind w:firstLine="567"/>
      </w:pPr>
      <w:r w:rsidRPr="001E4DCA">
        <w:rPr>
          <w:lang w:val="fr-FR"/>
        </w:rPr>
        <w:t>Le texte reproduit ci-après a été établi par l</w:t>
      </w:r>
      <w:r>
        <w:rPr>
          <w:lang w:val="fr-FR"/>
        </w:rPr>
        <w:t>’</w:t>
      </w:r>
      <w:r w:rsidRPr="001E4DCA">
        <w:rPr>
          <w:lang w:val="fr-FR"/>
        </w:rPr>
        <w:t>expert de l</w:t>
      </w:r>
      <w:r>
        <w:rPr>
          <w:lang w:val="fr-FR"/>
        </w:rPr>
        <w:t>’</w:t>
      </w:r>
      <w:r w:rsidRPr="001E4DCA">
        <w:rPr>
          <w:lang w:val="fr-FR"/>
        </w:rPr>
        <w:t>Espagne au nom du Groupe des services techniques du Règlement n</w:t>
      </w:r>
      <w:r w:rsidRPr="001E4DC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1E4DCA">
        <w:rPr>
          <w:lang w:val="fr-FR"/>
        </w:rPr>
        <w:t>129. Les modifications qu</w:t>
      </w:r>
      <w:r>
        <w:rPr>
          <w:lang w:val="fr-FR"/>
        </w:rPr>
        <w:t>’</w:t>
      </w:r>
      <w:r w:rsidRPr="001E4DCA">
        <w:rPr>
          <w:lang w:val="fr-FR"/>
        </w:rPr>
        <w:t>il est proposé d</w:t>
      </w:r>
      <w:r>
        <w:rPr>
          <w:lang w:val="fr-FR"/>
        </w:rPr>
        <w:t>’</w:t>
      </w:r>
      <w:r w:rsidRPr="001E4DCA">
        <w:rPr>
          <w:lang w:val="fr-FR"/>
        </w:rPr>
        <w:t>apporter au texte actuel du Règlement figurent en caractères gras pour les ajouts et biffés pour les suppressions.</w:t>
      </w:r>
    </w:p>
    <w:p w:rsidR="00004A53" w:rsidRPr="001E4DCA" w:rsidRDefault="00004A53" w:rsidP="00004A53">
      <w:pPr>
        <w:pStyle w:val="HChG"/>
      </w:pPr>
      <w:r w:rsidRPr="001E4DCA">
        <w:rPr>
          <w:sz w:val="20"/>
        </w:rPr>
        <w:br w:type="page"/>
      </w:r>
      <w:r>
        <w:rPr>
          <w:lang w:val="fr-FR"/>
        </w:rPr>
        <w:lastRenderedPageBreak/>
        <w:tab/>
      </w:r>
      <w:r w:rsidRPr="001E4DCA">
        <w:rPr>
          <w:lang w:val="fr-FR"/>
        </w:rPr>
        <w:t>I.</w:t>
      </w:r>
      <w:r w:rsidRPr="001E4DCA">
        <w:rPr>
          <w:lang w:val="fr-FR"/>
        </w:rPr>
        <w:tab/>
        <w:t>Proposition</w:t>
      </w:r>
    </w:p>
    <w:p w:rsidR="00004A53" w:rsidRPr="001E4DCA" w:rsidRDefault="00004A53" w:rsidP="00004A53">
      <w:pPr>
        <w:pStyle w:val="SingleTxtG"/>
      </w:pPr>
      <w:r w:rsidRPr="001E4DCA">
        <w:rPr>
          <w:i/>
          <w:iCs/>
          <w:lang w:val="fr-FR"/>
        </w:rPr>
        <w:t>Paragraphe 6.7.1.4</w:t>
      </w:r>
      <w:r w:rsidR="00A31984">
        <w:rPr>
          <w:lang w:val="fr-FR"/>
        </w:rPr>
        <w:t>, modifier comme suit </w:t>
      </w:r>
      <w:r w:rsidRPr="001E4DCA">
        <w:rPr>
          <w:lang w:val="fr-FR"/>
        </w:rPr>
        <w:t>:</w:t>
      </w:r>
    </w:p>
    <w:p w:rsidR="00004A53" w:rsidRPr="001E4DCA" w:rsidRDefault="00004A53" w:rsidP="00004A53">
      <w:pPr>
        <w:pStyle w:val="SingleTxtG"/>
        <w:ind w:left="2268" w:hanging="1134"/>
      </w:pPr>
      <w:r>
        <w:rPr>
          <w:lang w:val="fr-FR"/>
        </w:rPr>
        <w:t>« </w:t>
      </w:r>
      <w:r w:rsidRPr="001E4DCA">
        <w:rPr>
          <w:lang w:val="fr-FR"/>
        </w:rPr>
        <w:t>6.7.1.4</w:t>
      </w:r>
      <w:r w:rsidRPr="001E4DCA">
        <w:rPr>
          <w:lang w:val="fr-FR"/>
        </w:rPr>
        <w:tab/>
      </w:r>
      <w:r w:rsidRPr="001E4DCA">
        <w:rPr>
          <w:lang w:val="fr-FR"/>
        </w:rPr>
        <w:tab/>
        <w:t>Il doit être possible de libérer l</w:t>
      </w:r>
      <w:r>
        <w:rPr>
          <w:lang w:val="fr-FR"/>
        </w:rPr>
        <w:t>’</w:t>
      </w:r>
      <w:r w:rsidRPr="001E4DCA">
        <w:rPr>
          <w:lang w:val="fr-FR"/>
        </w:rPr>
        <w:t xml:space="preserve">enfant du dispositif amélioré de retenue par une seule manœuvre exécutée sur une seule et même boucle </w:t>
      </w:r>
      <w:r w:rsidRPr="001E4DCA">
        <w:rPr>
          <w:b/>
          <w:bCs/>
          <w:lang w:val="fr-FR"/>
        </w:rPr>
        <w:t>et sur l</w:t>
      </w:r>
      <w:r>
        <w:rPr>
          <w:b/>
          <w:bCs/>
          <w:lang w:val="fr-FR"/>
        </w:rPr>
        <w:t>’</w:t>
      </w:r>
      <w:r w:rsidRPr="001E4DCA">
        <w:rPr>
          <w:b/>
          <w:bCs/>
          <w:lang w:val="fr-FR"/>
        </w:rPr>
        <w:t>éventuel positionneur de</w:t>
      </w:r>
      <w:r>
        <w:rPr>
          <w:b/>
          <w:bCs/>
          <w:lang w:val="fr-FR"/>
        </w:rPr>
        <w:t>s</w:t>
      </w:r>
      <w:r w:rsidRPr="001E4DCA">
        <w:rPr>
          <w:b/>
          <w:bCs/>
          <w:lang w:val="fr-FR"/>
        </w:rPr>
        <w:t xml:space="preserve"> sangle</w:t>
      </w:r>
      <w:r>
        <w:rPr>
          <w:b/>
          <w:bCs/>
          <w:lang w:val="fr-FR"/>
        </w:rPr>
        <w:t>s</w:t>
      </w:r>
      <w:r w:rsidRPr="001E4DCA"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’</w:t>
      </w:r>
      <w:r w:rsidRPr="001E4DCA">
        <w:rPr>
          <w:b/>
          <w:bCs/>
          <w:lang w:val="fr-FR"/>
        </w:rPr>
        <w:t>épaule</w:t>
      </w:r>
      <w:r w:rsidRPr="00A31984">
        <w:rPr>
          <w:b/>
          <w:lang w:val="fr-FR"/>
        </w:rPr>
        <w:t xml:space="preserve">. </w:t>
      </w:r>
      <w:r w:rsidRPr="001E4DCA">
        <w:rPr>
          <w:b/>
          <w:bCs/>
          <w:lang w:val="fr-FR"/>
        </w:rPr>
        <w:t>La boucle et le positionneur de</w:t>
      </w:r>
      <w:r>
        <w:rPr>
          <w:b/>
          <w:bCs/>
          <w:lang w:val="fr-FR"/>
        </w:rPr>
        <w:t>s</w:t>
      </w:r>
      <w:r w:rsidRPr="001E4DCA">
        <w:rPr>
          <w:b/>
          <w:bCs/>
          <w:lang w:val="fr-FR"/>
        </w:rPr>
        <w:t xml:space="preserve"> sangle</w:t>
      </w:r>
      <w:r>
        <w:rPr>
          <w:b/>
          <w:bCs/>
          <w:lang w:val="fr-FR"/>
        </w:rPr>
        <w:t>s</w:t>
      </w:r>
      <w:r w:rsidRPr="001E4DCA"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’</w:t>
      </w:r>
      <w:r w:rsidRPr="001E4DCA">
        <w:rPr>
          <w:b/>
          <w:bCs/>
          <w:lang w:val="fr-FR"/>
        </w:rPr>
        <w:t>épaule peuvent être ouverts indépendamment l</w:t>
      </w:r>
      <w:r>
        <w:rPr>
          <w:b/>
          <w:bCs/>
          <w:lang w:val="fr-FR"/>
        </w:rPr>
        <w:t>’</w:t>
      </w:r>
      <w:r w:rsidRPr="001E4DCA">
        <w:rPr>
          <w:b/>
          <w:bCs/>
          <w:lang w:val="fr-FR"/>
        </w:rPr>
        <w:t>un de l</w:t>
      </w:r>
      <w:r>
        <w:rPr>
          <w:b/>
          <w:bCs/>
          <w:lang w:val="fr-FR"/>
        </w:rPr>
        <w:t>’</w:t>
      </w:r>
      <w:r w:rsidRPr="001E4DCA">
        <w:rPr>
          <w:b/>
          <w:bCs/>
          <w:lang w:val="fr-FR"/>
        </w:rPr>
        <w:t>autre</w:t>
      </w:r>
      <w:r w:rsidRPr="00A31984">
        <w:rPr>
          <w:bCs/>
          <w:lang w:val="fr-FR"/>
        </w:rPr>
        <w:t>.</w:t>
      </w:r>
      <w:r w:rsidRPr="001E4DCA">
        <w:rPr>
          <w:lang w:val="fr-FR"/>
        </w:rPr>
        <w:t xml:space="preserve"> Il est permis de retirer l</w:t>
      </w:r>
      <w:r>
        <w:rPr>
          <w:lang w:val="fr-FR"/>
        </w:rPr>
        <w:t>’</w:t>
      </w:r>
      <w:r w:rsidRPr="001E4DCA">
        <w:rPr>
          <w:lang w:val="fr-FR"/>
        </w:rPr>
        <w:t>enfant en même temps que des dispositifs tels que le porte-enfant, la nacelle ou le dispositif de retenue de la nacelle si le dispositif amélioré de retenue pour enfants peut être libéré par l</w:t>
      </w:r>
      <w:r>
        <w:rPr>
          <w:lang w:val="fr-FR"/>
        </w:rPr>
        <w:t>’</w:t>
      </w:r>
      <w:r w:rsidRPr="001E4DCA">
        <w:rPr>
          <w:lang w:val="fr-FR"/>
        </w:rPr>
        <w:t>actionnement de deux bouton</w:t>
      </w:r>
      <w:r>
        <w:rPr>
          <w:lang w:val="fr-FR"/>
        </w:rPr>
        <w:t>s de déverrouillage au maximum. ».</w:t>
      </w:r>
    </w:p>
    <w:p w:rsidR="00004A53" w:rsidRPr="001E4DCA" w:rsidRDefault="00004A53" w:rsidP="00004A53">
      <w:pPr>
        <w:pStyle w:val="HChG"/>
      </w:pPr>
      <w:r>
        <w:rPr>
          <w:lang w:val="fr-FR"/>
        </w:rPr>
        <w:tab/>
      </w:r>
      <w:r w:rsidRPr="001E4DCA">
        <w:rPr>
          <w:lang w:val="fr-FR"/>
        </w:rPr>
        <w:t>II.</w:t>
      </w:r>
      <w:r w:rsidRPr="001E4DCA">
        <w:rPr>
          <w:lang w:val="fr-FR"/>
        </w:rPr>
        <w:tab/>
        <w:t>Justification</w:t>
      </w:r>
    </w:p>
    <w:p w:rsidR="00004A53" w:rsidRPr="001E4DCA" w:rsidRDefault="00004A53" w:rsidP="00004A53">
      <w:pPr>
        <w:pStyle w:val="SingleTxtG"/>
      </w:pPr>
      <w:r w:rsidRPr="001E4DCA">
        <w:rPr>
          <w:lang w:val="fr-FR"/>
        </w:rPr>
        <w:t>1.</w:t>
      </w:r>
      <w:r w:rsidRPr="001E4DCA">
        <w:rPr>
          <w:lang w:val="fr-FR"/>
        </w:rPr>
        <w:tab/>
        <w:t>Selon le texte actuel du 6.7.1.4, la boucle doit être ouverte par une</w:t>
      </w:r>
      <w:r w:rsidRPr="009F4528">
        <w:rPr>
          <w:lang w:val="fr-FR"/>
        </w:rPr>
        <w:t xml:space="preserve"> seule</w:t>
      </w:r>
      <w:r>
        <w:rPr>
          <w:lang w:val="fr-FR"/>
        </w:rPr>
        <w:t xml:space="preserve"> </w:t>
      </w:r>
      <w:r w:rsidRPr="009F4528">
        <w:rPr>
          <w:lang w:val="fr-FR"/>
        </w:rPr>
        <w:t>manœuvre</w:t>
      </w:r>
      <w:r w:rsidRPr="001E4DCA">
        <w:rPr>
          <w:lang w:val="fr-FR"/>
        </w:rPr>
        <w:t>.</w:t>
      </w:r>
    </w:p>
    <w:p w:rsidR="00004A53" w:rsidRPr="001E4DCA" w:rsidRDefault="00004A53" w:rsidP="00004A53">
      <w:pPr>
        <w:pStyle w:val="SingleTxtG"/>
      </w:pPr>
      <w:r w:rsidRPr="001E4DCA">
        <w:rPr>
          <w:lang w:val="fr-FR"/>
        </w:rPr>
        <w:t>2.</w:t>
      </w:r>
      <w:r w:rsidRPr="001E4DCA">
        <w:rPr>
          <w:lang w:val="fr-FR"/>
        </w:rPr>
        <w:tab/>
        <w:t>En cas d</w:t>
      </w:r>
      <w:r>
        <w:rPr>
          <w:lang w:val="fr-FR"/>
        </w:rPr>
        <w:t>’</w:t>
      </w:r>
      <w:r w:rsidRPr="001E4DCA">
        <w:rPr>
          <w:lang w:val="fr-FR"/>
        </w:rPr>
        <w:t xml:space="preserve">accident, </w:t>
      </w:r>
      <w:r>
        <w:rPr>
          <w:lang w:val="fr-FR"/>
        </w:rPr>
        <w:t xml:space="preserve">lorsque </w:t>
      </w:r>
      <w:r w:rsidRPr="001E4DCA">
        <w:rPr>
          <w:lang w:val="fr-FR"/>
        </w:rPr>
        <w:t>le positionneur de</w:t>
      </w:r>
      <w:r>
        <w:rPr>
          <w:lang w:val="fr-FR"/>
        </w:rPr>
        <w:t>s</w:t>
      </w:r>
      <w:r w:rsidRPr="001E4DCA">
        <w:rPr>
          <w:lang w:val="fr-FR"/>
        </w:rPr>
        <w:t xml:space="preserve"> sangle</w:t>
      </w:r>
      <w:r>
        <w:rPr>
          <w:lang w:val="fr-FR"/>
        </w:rPr>
        <w:t>s</w:t>
      </w:r>
      <w:r w:rsidRPr="001E4DCA">
        <w:rPr>
          <w:lang w:val="fr-FR"/>
        </w:rPr>
        <w:t xml:space="preserve"> d</w:t>
      </w:r>
      <w:r>
        <w:rPr>
          <w:lang w:val="fr-FR"/>
        </w:rPr>
        <w:t>’</w:t>
      </w:r>
      <w:r w:rsidRPr="001E4DCA">
        <w:rPr>
          <w:lang w:val="fr-FR"/>
        </w:rPr>
        <w:t>épaule n</w:t>
      </w:r>
      <w:r>
        <w:rPr>
          <w:lang w:val="fr-FR"/>
        </w:rPr>
        <w:t>’</w:t>
      </w:r>
      <w:r w:rsidRPr="001E4DCA">
        <w:rPr>
          <w:lang w:val="fr-FR"/>
        </w:rPr>
        <w:t>a pas été ouvert</w:t>
      </w:r>
      <w:r>
        <w:rPr>
          <w:lang w:val="fr-FR"/>
        </w:rPr>
        <w:t xml:space="preserve"> </w:t>
      </w:r>
      <w:r w:rsidRPr="00EB79D4">
        <w:rPr>
          <w:lang w:val="fr-FR"/>
        </w:rPr>
        <w:t>il n</w:t>
      </w:r>
      <w:r>
        <w:rPr>
          <w:lang w:val="fr-FR"/>
        </w:rPr>
        <w:t>’</w:t>
      </w:r>
      <w:r w:rsidRPr="00EB79D4">
        <w:rPr>
          <w:lang w:val="fr-FR"/>
        </w:rPr>
        <w:t>est pa</w:t>
      </w:r>
      <w:r>
        <w:rPr>
          <w:lang w:val="fr-FR"/>
        </w:rPr>
        <w:t>s possible d’ouvrir la boucle</w:t>
      </w:r>
      <w:r w:rsidRPr="001E4DCA">
        <w:rPr>
          <w:lang w:val="fr-FR"/>
        </w:rPr>
        <w:t>. Il convient donc d</w:t>
      </w:r>
      <w:r>
        <w:rPr>
          <w:lang w:val="fr-FR"/>
        </w:rPr>
        <w:t>’</w:t>
      </w:r>
      <w:r w:rsidRPr="001E4DCA">
        <w:rPr>
          <w:lang w:val="fr-FR"/>
        </w:rPr>
        <w:t>ouvrir en premier le positionneur de</w:t>
      </w:r>
      <w:r>
        <w:rPr>
          <w:lang w:val="fr-FR"/>
        </w:rPr>
        <w:t>s</w:t>
      </w:r>
      <w:r w:rsidRPr="001E4DCA">
        <w:rPr>
          <w:lang w:val="fr-FR"/>
        </w:rPr>
        <w:t xml:space="preserve"> sangle</w:t>
      </w:r>
      <w:r>
        <w:rPr>
          <w:lang w:val="fr-FR"/>
        </w:rPr>
        <w:t>s</w:t>
      </w:r>
      <w:r w:rsidRPr="001E4DCA">
        <w:rPr>
          <w:lang w:val="fr-FR"/>
        </w:rPr>
        <w:t xml:space="preserve"> d</w:t>
      </w:r>
      <w:r>
        <w:rPr>
          <w:lang w:val="fr-FR"/>
        </w:rPr>
        <w:t>’</w:t>
      </w:r>
      <w:r w:rsidRPr="001E4DCA">
        <w:rPr>
          <w:lang w:val="fr-FR"/>
        </w:rPr>
        <w:t>épaule et ensuite la boucle.</w:t>
      </w:r>
    </w:p>
    <w:p w:rsidR="00004A53" w:rsidRPr="001E4DCA" w:rsidRDefault="00004A53" w:rsidP="00004A53">
      <w:pPr>
        <w:pStyle w:val="SingleTxtG"/>
      </w:pPr>
      <w:r w:rsidRPr="001E4DCA">
        <w:rPr>
          <w:lang w:val="fr-FR"/>
        </w:rPr>
        <w:t>3.</w:t>
      </w:r>
      <w:r w:rsidRPr="001E4DCA">
        <w:rPr>
          <w:lang w:val="fr-FR"/>
        </w:rPr>
        <w:tab/>
        <w:t>Ces actions ne devraient pas être interdépendantes</w:t>
      </w:r>
      <w:r>
        <w:rPr>
          <w:lang w:val="fr-FR"/>
        </w:rPr>
        <w:t> </w:t>
      </w:r>
      <w:r w:rsidRPr="001E4DCA">
        <w:rPr>
          <w:lang w:val="fr-FR"/>
        </w:rPr>
        <w:t>: la boucle et le positionneur de</w:t>
      </w:r>
      <w:r>
        <w:rPr>
          <w:lang w:val="fr-FR"/>
        </w:rPr>
        <w:t>s</w:t>
      </w:r>
      <w:r w:rsidRPr="001E4DCA">
        <w:rPr>
          <w:lang w:val="fr-FR"/>
        </w:rPr>
        <w:t xml:space="preserve"> sangle</w:t>
      </w:r>
      <w:r>
        <w:rPr>
          <w:lang w:val="fr-FR"/>
        </w:rPr>
        <w:t>s</w:t>
      </w:r>
      <w:r w:rsidRPr="001E4DCA">
        <w:rPr>
          <w:lang w:val="fr-FR"/>
        </w:rPr>
        <w:t xml:space="preserve"> d</w:t>
      </w:r>
      <w:r>
        <w:rPr>
          <w:lang w:val="fr-FR"/>
        </w:rPr>
        <w:t>’</w:t>
      </w:r>
      <w:r w:rsidRPr="001E4DCA">
        <w:rPr>
          <w:lang w:val="fr-FR"/>
        </w:rPr>
        <w:t>épaule doivent s</w:t>
      </w:r>
      <w:r>
        <w:rPr>
          <w:lang w:val="fr-FR"/>
        </w:rPr>
        <w:t>’</w:t>
      </w:r>
      <w:r w:rsidRPr="001E4DCA">
        <w:rPr>
          <w:lang w:val="fr-FR"/>
        </w:rPr>
        <w:t>ouvrir indépendamment l</w:t>
      </w:r>
      <w:r>
        <w:rPr>
          <w:lang w:val="fr-FR"/>
        </w:rPr>
        <w:t>’</w:t>
      </w:r>
      <w:r w:rsidRPr="001E4DCA">
        <w:rPr>
          <w:lang w:val="fr-FR"/>
        </w:rPr>
        <w:t>un de l</w:t>
      </w:r>
      <w:r>
        <w:rPr>
          <w:lang w:val="fr-FR"/>
        </w:rPr>
        <w:t>’</w:t>
      </w:r>
      <w:r w:rsidRPr="001E4DCA">
        <w:rPr>
          <w:lang w:val="fr-FR"/>
        </w:rPr>
        <w:t xml:space="preserve">autre. </w:t>
      </w:r>
    </w:p>
    <w:p w:rsidR="00F9573C" w:rsidRPr="00004A53" w:rsidRDefault="00004A53" w:rsidP="00004A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04A53" w:rsidSect="001906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52" w:rsidRDefault="00CC6A52" w:rsidP="00F95C08">
      <w:pPr>
        <w:spacing w:line="240" w:lineRule="auto"/>
      </w:pPr>
    </w:p>
  </w:endnote>
  <w:endnote w:type="continuationSeparator" w:id="0">
    <w:p w:rsidR="00CC6A52" w:rsidRPr="00AC3823" w:rsidRDefault="00CC6A52" w:rsidP="00AC3823">
      <w:pPr>
        <w:pStyle w:val="Footer"/>
      </w:pPr>
    </w:p>
  </w:endnote>
  <w:endnote w:type="continuationNotice" w:id="1">
    <w:p w:rsidR="00CC6A52" w:rsidRDefault="00CC6A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0F" w:rsidRPr="0019060F" w:rsidRDefault="0019060F" w:rsidP="0019060F">
    <w:pPr>
      <w:pStyle w:val="Footer"/>
      <w:tabs>
        <w:tab w:val="right" w:pos="9638"/>
      </w:tabs>
    </w:pPr>
    <w:r w:rsidRPr="0019060F">
      <w:rPr>
        <w:b/>
        <w:sz w:val="18"/>
      </w:rPr>
      <w:fldChar w:fldCharType="begin"/>
    </w:r>
    <w:r w:rsidRPr="0019060F">
      <w:rPr>
        <w:b/>
        <w:sz w:val="18"/>
      </w:rPr>
      <w:instrText xml:space="preserve"> PAGE  \* MERGEFORMAT </w:instrText>
    </w:r>
    <w:r w:rsidRPr="0019060F">
      <w:rPr>
        <w:b/>
        <w:sz w:val="18"/>
      </w:rPr>
      <w:fldChar w:fldCharType="separate"/>
    </w:r>
    <w:r w:rsidR="00A44FF2">
      <w:rPr>
        <w:b/>
        <w:noProof/>
        <w:sz w:val="18"/>
      </w:rPr>
      <w:t>2</w:t>
    </w:r>
    <w:r w:rsidRPr="0019060F">
      <w:rPr>
        <w:b/>
        <w:sz w:val="18"/>
      </w:rPr>
      <w:fldChar w:fldCharType="end"/>
    </w:r>
    <w:r>
      <w:rPr>
        <w:b/>
        <w:sz w:val="18"/>
      </w:rPr>
      <w:tab/>
    </w:r>
    <w:r>
      <w:t>GE.18-03123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0F" w:rsidRPr="0019060F" w:rsidRDefault="0019060F" w:rsidP="0019060F">
    <w:pPr>
      <w:pStyle w:val="Footer"/>
      <w:tabs>
        <w:tab w:val="right" w:pos="9638"/>
      </w:tabs>
      <w:rPr>
        <w:b/>
        <w:sz w:val="18"/>
      </w:rPr>
    </w:pPr>
    <w:r>
      <w:t>GE.18-03123</w:t>
    </w:r>
    <w:r>
      <w:tab/>
    </w:r>
    <w:r w:rsidRPr="0019060F">
      <w:rPr>
        <w:b/>
        <w:sz w:val="18"/>
      </w:rPr>
      <w:fldChar w:fldCharType="begin"/>
    </w:r>
    <w:r w:rsidRPr="0019060F">
      <w:rPr>
        <w:b/>
        <w:sz w:val="18"/>
      </w:rPr>
      <w:instrText xml:space="preserve"> PAGE  \* MERGEFORMAT </w:instrText>
    </w:r>
    <w:r w:rsidRPr="0019060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906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9060F" w:rsidRDefault="0019060F" w:rsidP="0019060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18-03123  (F)</w:t>
    </w:r>
    <w:r w:rsidR="007506E9">
      <w:rPr>
        <w:sz w:val="20"/>
      </w:rPr>
      <w:t xml:space="preserve">    060318    210318</w:t>
    </w:r>
    <w:r>
      <w:rPr>
        <w:sz w:val="20"/>
      </w:rPr>
      <w:br/>
    </w:r>
    <w:r w:rsidRPr="0019060F">
      <w:rPr>
        <w:rFonts w:ascii="C39T30Lfz" w:hAnsi="C39T30Lfz"/>
        <w:sz w:val="56"/>
      </w:rPr>
      <w:t></w:t>
    </w:r>
    <w:r w:rsidRPr="0019060F">
      <w:rPr>
        <w:rFonts w:ascii="C39T30Lfz" w:hAnsi="C39T30Lfz"/>
        <w:sz w:val="56"/>
      </w:rPr>
      <w:t></w:t>
    </w:r>
    <w:r w:rsidRPr="0019060F">
      <w:rPr>
        <w:rFonts w:ascii="C39T30Lfz" w:hAnsi="C39T30Lfz"/>
        <w:sz w:val="56"/>
      </w:rPr>
      <w:t></w:t>
    </w:r>
    <w:r w:rsidRPr="0019060F">
      <w:rPr>
        <w:rFonts w:ascii="C39T30Lfz" w:hAnsi="C39T30Lfz"/>
        <w:sz w:val="56"/>
      </w:rPr>
      <w:t></w:t>
    </w:r>
    <w:r w:rsidRPr="0019060F">
      <w:rPr>
        <w:rFonts w:ascii="C39T30Lfz" w:hAnsi="C39T30Lfz"/>
        <w:sz w:val="56"/>
      </w:rPr>
      <w:t></w:t>
    </w:r>
    <w:r w:rsidRPr="0019060F">
      <w:rPr>
        <w:rFonts w:ascii="C39T30Lfz" w:hAnsi="C39T30Lfz"/>
        <w:sz w:val="56"/>
      </w:rPr>
      <w:t></w:t>
    </w:r>
    <w:r w:rsidRPr="0019060F">
      <w:rPr>
        <w:rFonts w:ascii="C39T30Lfz" w:hAnsi="C39T30Lfz"/>
        <w:sz w:val="56"/>
      </w:rPr>
      <w:t></w:t>
    </w:r>
    <w:r w:rsidRPr="0019060F">
      <w:rPr>
        <w:rFonts w:ascii="C39T30Lfz" w:hAnsi="C39T30Lfz"/>
        <w:sz w:val="56"/>
      </w:rPr>
      <w:t></w:t>
    </w:r>
    <w:r w:rsidRPr="0019060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52" w:rsidRPr="00AC3823" w:rsidRDefault="00CC6A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C6A52" w:rsidRPr="00AC3823" w:rsidRDefault="00CC6A5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C6A52" w:rsidRPr="00AC3823" w:rsidRDefault="00CC6A52">
      <w:pPr>
        <w:spacing w:line="240" w:lineRule="auto"/>
        <w:rPr>
          <w:sz w:val="2"/>
          <w:szCs w:val="2"/>
        </w:rPr>
      </w:pPr>
    </w:p>
  </w:footnote>
  <w:footnote w:id="2">
    <w:p w:rsidR="00004A53" w:rsidRPr="0031088F" w:rsidRDefault="007506E9" w:rsidP="00004A53">
      <w:pPr>
        <w:pStyle w:val="FootnoteText"/>
      </w:pPr>
      <w:r>
        <w:rPr>
          <w:lang w:val="fr-FR"/>
        </w:rPr>
        <w:tab/>
      </w:r>
      <w:r w:rsidR="00004A53" w:rsidRPr="007506E9">
        <w:rPr>
          <w:sz w:val="20"/>
          <w:lang w:val="fr-FR"/>
        </w:rPr>
        <w:t>*</w:t>
      </w:r>
      <w:r w:rsidR="00004A53">
        <w:rPr>
          <w:lang w:val="fr-FR"/>
        </w:rPr>
        <w:tab/>
      </w:r>
      <w:r w:rsidR="00004A53" w:rsidRPr="007506E9">
        <w:rPr>
          <w:spacing w:val="-1"/>
          <w:lang w:val="fr-FR"/>
        </w:rPr>
        <w:t>Conformément au programme de travail du Comité des transports intérieurs pour la période</w:t>
      </w:r>
      <w:r w:rsidRPr="007506E9">
        <w:rPr>
          <w:spacing w:val="-1"/>
          <w:lang w:val="fr-FR"/>
        </w:rPr>
        <w:t xml:space="preserve"> 2014-2018 (ECE/TRANS/240, par. </w:t>
      </w:r>
      <w:r w:rsidR="00004A53" w:rsidRPr="007506E9">
        <w:rPr>
          <w:spacing w:val="-1"/>
          <w:lang w:val="fr-FR"/>
        </w:rPr>
        <w:t>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0F" w:rsidRPr="0019060F" w:rsidRDefault="00A44FF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9060F">
      <w:t>ECE/TRANS/WP.29/GRSP/2018/13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0F" w:rsidRPr="0019060F" w:rsidRDefault="00A44FF2" w:rsidP="0019060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9060F">
      <w:t>ECE/TRANS/WP.29/GRSP/2018/13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52"/>
    <w:rsid w:val="00004A5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9060F"/>
    <w:rsid w:val="001B0E95"/>
    <w:rsid w:val="001F525A"/>
    <w:rsid w:val="002103C6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506E9"/>
    <w:rsid w:val="007A62E6"/>
    <w:rsid w:val="007F20FA"/>
    <w:rsid w:val="0080684C"/>
    <w:rsid w:val="00871C75"/>
    <w:rsid w:val="008776DC"/>
    <w:rsid w:val="009446C0"/>
    <w:rsid w:val="009705C8"/>
    <w:rsid w:val="009C1CF4"/>
    <w:rsid w:val="009C29A6"/>
    <w:rsid w:val="009F6B74"/>
    <w:rsid w:val="00A30353"/>
    <w:rsid w:val="00A31984"/>
    <w:rsid w:val="00A44FF2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A30A4"/>
    <w:rsid w:val="00CC6A52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A4A693-8CF7-4D4D-B326-8EB9605F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ECE/TRANS/WP.29/GRSP/2018/13</vt:lpstr>
      <vt:lpstr>ECE/TRANS/WP.29/GRSP/2018/13</vt:lpstr>
    </vt:vector>
  </TitlesOfParts>
  <Company>DCM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ECE/TRANS/WP.29/GRSP/2018/13</dc:title>
  <dc:subject/>
  <dc:creator>Nicolas MORIN</dc:creator>
  <cp:keywords/>
  <cp:lastModifiedBy>Benedicte Boudol</cp:lastModifiedBy>
  <cp:revision>2</cp:revision>
  <cp:lastPrinted>2014-05-14T10:59:00Z</cp:lastPrinted>
  <dcterms:created xsi:type="dcterms:W3CDTF">2018-03-21T08:41:00Z</dcterms:created>
  <dcterms:modified xsi:type="dcterms:W3CDTF">2018-03-21T08:41:00Z</dcterms:modified>
</cp:coreProperties>
</file>