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6238"/>
        <w:gridCol w:w="3827"/>
      </w:tblGrid>
      <w:tr w:rsidR="00186D95" w:rsidRPr="004203C6" w:rsidTr="004203C6">
        <w:tc>
          <w:tcPr>
            <w:tcW w:w="6238" w:type="dxa"/>
            <w:shd w:val="clear" w:color="auto" w:fill="auto"/>
          </w:tcPr>
          <w:p w:rsidR="00186D95" w:rsidRPr="004203C6" w:rsidRDefault="00186D95" w:rsidP="004203C6">
            <w:pPr>
              <w:ind w:left="360"/>
              <w:rPr>
                <w:sz w:val="20"/>
                <w:szCs w:val="20"/>
                <w:lang w:val="en-US"/>
              </w:rPr>
            </w:pPr>
            <w:r w:rsidRPr="004203C6">
              <w:rPr>
                <w:sz w:val="20"/>
                <w:szCs w:val="20"/>
              </w:rPr>
              <w:t xml:space="preserve">Submitted by the </w:t>
            </w:r>
            <w:r w:rsidR="00A33A02">
              <w:rPr>
                <w:rFonts w:hint="eastAsia"/>
                <w:sz w:val="20"/>
                <w:szCs w:val="20"/>
                <w:lang w:eastAsia="ja-JP"/>
              </w:rPr>
              <w:t>C</w:t>
            </w:r>
            <w:r w:rsidR="00A33A02">
              <w:rPr>
                <w:sz w:val="20"/>
                <w:szCs w:val="20"/>
                <w:lang w:eastAsia="ja-JP"/>
              </w:rPr>
              <w:t>hair</w:t>
            </w:r>
            <w:r w:rsidRPr="004203C6">
              <w:rPr>
                <w:sz w:val="20"/>
                <w:szCs w:val="20"/>
              </w:rPr>
              <w:t xml:space="preserve"> of </w:t>
            </w:r>
            <w:r w:rsidRPr="004203C6">
              <w:rPr>
                <w:sz w:val="20"/>
                <w:szCs w:val="20"/>
              </w:rPr>
              <w:br/>
              <w:t>the IWG on AEBS</w:t>
            </w:r>
          </w:p>
          <w:p w:rsidR="00186D95" w:rsidRPr="004203C6" w:rsidRDefault="00186D95" w:rsidP="004203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186D95" w:rsidRPr="004203C6" w:rsidRDefault="00186D95" w:rsidP="004203C6">
            <w:pPr>
              <w:rPr>
                <w:b/>
                <w:sz w:val="20"/>
                <w:szCs w:val="20"/>
                <w:lang w:val="en-US"/>
              </w:rPr>
            </w:pPr>
            <w:r w:rsidRPr="004203C6">
              <w:rPr>
                <w:sz w:val="20"/>
                <w:szCs w:val="20"/>
                <w:u w:val="single"/>
                <w:lang w:val="en-US"/>
              </w:rPr>
              <w:t>Informal document</w:t>
            </w:r>
            <w:r w:rsidRPr="004203C6">
              <w:rPr>
                <w:sz w:val="20"/>
                <w:szCs w:val="20"/>
                <w:lang w:val="en-US"/>
              </w:rPr>
              <w:t xml:space="preserve"> </w:t>
            </w:r>
            <w:r w:rsidR="00A33A02">
              <w:rPr>
                <w:b/>
                <w:sz w:val="20"/>
                <w:szCs w:val="20"/>
                <w:lang w:val="en-US"/>
              </w:rPr>
              <w:t>GRVA-01-</w:t>
            </w:r>
            <w:r w:rsidR="00822791">
              <w:rPr>
                <w:b/>
                <w:sz w:val="20"/>
                <w:szCs w:val="20"/>
                <w:lang w:val="en-US"/>
              </w:rPr>
              <w:t>09</w:t>
            </w:r>
          </w:p>
          <w:p w:rsidR="00186D95" w:rsidRPr="004203C6" w:rsidRDefault="00A33A02" w:rsidP="004203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1st GRVA session, 25-28 September 2018</w:t>
            </w:r>
          </w:p>
          <w:p w:rsidR="00186D95" w:rsidRPr="004203C6" w:rsidRDefault="00A33A02" w:rsidP="004203C6">
            <w:pPr>
              <w:rPr>
                <w:sz w:val="20"/>
                <w:szCs w:val="20"/>
                <w:lang w:val="en-US" w:eastAsia="ja-JP"/>
              </w:rPr>
            </w:pPr>
            <w:r>
              <w:rPr>
                <w:sz w:val="20"/>
                <w:szCs w:val="20"/>
                <w:lang w:val="en-US"/>
              </w:rPr>
              <w:t xml:space="preserve">Agenda item </w:t>
            </w:r>
            <w:r w:rsidR="003C4DFA">
              <w:rPr>
                <w:rFonts w:hint="eastAsia"/>
                <w:sz w:val="20"/>
                <w:szCs w:val="20"/>
                <w:lang w:val="en-US" w:eastAsia="ja-JP"/>
              </w:rPr>
              <w:t>7.</w:t>
            </w:r>
          </w:p>
        </w:tc>
      </w:tr>
    </w:tbl>
    <w:p w:rsidR="00186D95" w:rsidRDefault="00186D95">
      <w:pPr>
        <w:ind w:left="360"/>
        <w:jc w:val="center"/>
        <w:rPr>
          <w:b/>
          <w:sz w:val="32"/>
          <w:szCs w:val="32"/>
          <w:lang w:val="en-US"/>
        </w:rPr>
      </w:pPr>
    </w:p>
    <w:p w:rsidR="00B93828" w:rsidRPr="00997D6A" w:rsidRDefault="0018484E">
      <w:pPr>
        <w:ind w:left="360"/>
        <w:jc w:val="center"/>
        <w:rPr>
          <w:b/>
          <w:sz w:val="32"/>
          <w:szCs w:val="32"/>
          <w:lang w:val="en-US"/>
        </w:rPr>
      </w:pPr>
      <w:r w:rsidRPr="00997D6A">
        <w:rPr>
          <w:b/>
          <w:sz w:val="32"/>
          <w:szCs w:val="32"/>
          <w:lang w:val="en-US"/>
        </w:rPr>
        <w:t xml:space="preserve">Informal </w:t>
      </w:r>
      <w:r w:rsidR="00D96AC4" w:rsidRPr="00997D6A">
        <w:rPr>
          <w:b/>
          <w:sz w:val="32"/>
          <w:szCs w:val="32"/>
          <w:lang w:val="en-US"/>
        </w:rPr>
        <w:t>W</w:t>
      </w:r>
      <w:r w:rsidRPr="00997D6A">
        <w:rPr>
          <w:b/>
          <w:sz w:val="32"/>
          <w:szCs w:val="32"/>
          <w:lang w:val="en-US"/>
        </w:rPr>
        <w:t xml:space="preserve">orking </w:t>
      </w:r>
      <w:r w:rsidR="00D96AC4" w:rsidRPr="00997D6A">
        <w:rPr>
          <w:b/>
          <w:sz w:val="32"/>
          <w:szCs w:val="32"/>
          <w:lang w:val="en-US"/>
        </w:rPr>
        <w:t>G</w:t>
      </w:r>
      <w:r w:rsidRPr="00997D6A">
        <w:rPr>
          <w:b/>
          <w:sz w:val="32"/>
          <w:szCs w:val="32"/>
          <w:lang w:val="en-US"/>
        </w:rPr>
        <w:t>roup on A</w:t>
      </w:r>
      <w:r w:rsidR="00DD31FE" w:rsidRPr="00997D6A">
        <w:rPr>
          <w:b/>
          <w:sz w:val="32"/>
          <w:szCs w:val="32"/>
          <w:lang w:val="en-US"/>
        </w:rPr>
        <w:t>EBS</w:t>
      </w:r>
    </w:p>
    <w:p w:rsidR="00B93828" w:rsidRPr="00997D6A" w:rsidRDefault="00B93828">
      <w:pPr>
        <w:rPr>
          <w:b/>
          <w:sz w:val="28"/>
          <w:szCs w:val="28"/>
          <w:lang w:val="en-US"/>
        </w:rPr>
      </w:pPr>
    </w:p>
    <w:p w:rsidR="00B93828" w:rsidRPr="00997D6A" w:rsidRDefault="00B93828">
      <w:pPr>
        <w:rPr>
          <w:b/>
          <w:sz w:val="28"/>
          <w:szCs w:val="28"/>
        </w:rPr>
      </w:pPr>
      <w:r w:rsidRPr="00997D6A">
        <w:rPr>
          <w:b/>
          <w:sz w:val="28"/>
          <w:szCs w:val="28"/>
        </w:rPr>
        <w:t>Terms of Reference</w:t>
      </w:r>
    </w:p>
    <w:p w:rsidR="00B93828" w:rsidRPr="00997D6A" w:rsidRDefault="00B93828">
      <w:pPr>
        <w:ind w:left="360"/>
      </w:pPr>
    </w:p>
    <w:p w:rsidR="00B93828" w:rsidRDefault="00B93828" w:rsidP="00283B1A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120"/>
        <w:ind w:left="896" w:hanging="539"/>
        <w:jc w:val="both"/>
      </w:pPr>
      <w:r w:rsidRPr="00997D6A">
        <w:t xml:space="preserve">The informal </w:t>
      </w:r>
      <w:r w:rsidR="001B2546">
        <w:t xml:space="preserve">working </w:t>
      </w:r>
      <w:r w:rsidRPr="00997D6A">
        <w:t xml:space="preserve">group shall </w:t>
      </w:r>
      <w:r w:rsidR="00C53BFF" w:rsidRPr="00997D6A">
        <w:t xml:space="preserve">develop draft regulatory </w:t>
      </w:r>
      <w:r w:rsidR="00C53BFF" w:rsidRPr="001B2546">
        <w:rPr>
          <w:strike/>
        </w:rPr>
        <w:t>proposal</w:t>
      </w:r>
      <w:r w:rsidR="00F078FE" w:rsidRPr="001B2546">
        <w:rPr>
          <w:strike/>
        </w:rPr>
        <w:t>s</w:t>
      </w:r>
      <w:r w:rsidR="00C53BFF" w:rsidRPr="001B2546">
        <w:rPr>
          <w:strike/>
        </w:rPr>
        <w:t xml:space="preserve"> to </w:t>
      </w:r>
      <w:r w:rsidR="00DD7CC2" w:rsidRPr="001B2546">
        <w:rPr>
          <w:strike/>
        </w:rPr>
        <w:t>extend the scope of</w:t>
      </w:r>
      <w:r w:rsidR="00EA7B5B" w:rsidRPr="001B2546">
        <w:rPr>
          <w:strike/>
          <w:lang w:eastAsia="ja-JP"/>
        </w:rPr>
        <w:t xml:space="preserve"> </w:t>
      </w:r>
      <w:r w:rsidR="004B0906" w:rsidRPr="001B2546">
        <w:rPr>
          <w:strike/>
        </w:rPr>
        <w:t>R</w:t>
      </w:r>
      <w:r w:rsidR="0018484E" w:rsidRPr="001B2546">
        <w:rPr>
          <w:strike/>
        </w:rPr>
        <w:t>egulation No.</w:t>
      </w:r>
      <w:r w:rsidR="0062740C" w:rsidRPr="001B2546">
        <w:rPr>
          <w:strike/>
        </w:rPr>
        <w:t xml:space="preserve"> 131</w:t>
      </w:r>
      <w:r w:rsidR="0063336F" w:rsidRPr="001B2546">
        <w:rPr>
          <w:strike/>
        </w:rPr>
        <w:t xml:space="preserve"> </w:t>
      </w:r>
      <w:r w:rsidR="00DD7CC2" w:rsidRPr="00997D6A">
        <w:rPr>
          <w:lang w:eastAsia="ja-JP"/>
        </w:rPr>
        <w:t xml:space="preserve">on </w:t>
      </w:r>
      <w:r w:rsidR="00DD7CC2" w:rsidRPr="00997D6A">
        <w:rPr>
          <w:b/>
        </w:rPr>
        <w:t xml:space="preserve">Advanced Emergency Braking System (AEBS) </w:t>
      </w:r>
      <w:r w:rsidR="00DD7CC2">
        <w:t xml:space="preserve">to </w:t>
      </w:r>
      <w:r w:rsidR="00DD7CC2" w:rsidRPr="00997D6A">
        <w:t>vehicles of categories M1 and N1</w:t>
      </w:r>
      <w:r w:rsidR="00DD7CC2">
        <w:t xml:space="preserve"> and develop </w:t>
      </w:r>
      <w:r w:rsidR="00863AE1">
        <w:rPr>
          <w:lang w:eastAsia="ja-JP"/>
        </w:rPr>
        <w:t>technical</w:t>
      </w:r>
      <w:r w:rsidR="00EA7B5B" w:rsidRPr="00997D6A">
        <w:rPr>
          <w:lang w:eastAsia="ja-JP"/>
        </w:rPr>
        <w:t xml:space="preserve"> requirements </w:t>
      </w:r>
      <w:r w:rsidR="00EA7B5B" w:rsidRPr="00997D6A">
        <w:t>for</w:t>
      </w:r>
      <w:r w:rsidR="00DD7CC2">
        <w:t xml:space="preserve"> these categories</w:t>
      </w:r>
      <w:r w:rsidR="00EA7B5B" w:rsidRPr="00997D6A">
        <w:t>.</w:t>
      </w:r>
    </w:p>
    <w:p w:rsidR="00DD7CC2" w:rsidRPr="00997D6A" w:rsidRDefault="00DD7CC2" w:rsidP="009E11C7">
      <w:pPr>
        <w:numPr>
          <w:ilvl w:val="0"/>
          <w:numId w:val="6"/>
        </w:numPr>
        <w:tabs>
          <w:tab w:val="num" w:pos="851"/>
        </w:tabs>
        <w:autoSpaceDE w:val="0"/>
        <w:autoSpaceDN w:val="0"/>
        <w:adjustRightInd w:val="0"/>
        <w:spacing w:after="120"/>
        <w:ind w:left="896" w:hanging="539"/>
        <w:jc w:val="both"/>
      </w:pPr>
      <w:r>
        <w:t>The group may consider whether it is appropriate to create a new UN </w:t>
      </w:r>
      <w:r w:rsidR="001B2546">
        <w:t>R</w:t>
      </w:r>
      <w:bookmarkStart w:id="0" w:name="_GoBack"/>
      <w:bookmarkEnd w:id="0"/>
      <w:r>
        <w:t xml:space="preserve">egulation annexed to the </w:t>
      </w:r>
      <w:r w:rsidR="001B2546">
        <w:t>19</w:t>
      </w:r>
      <w:r>
        <w:t>58 Agreement.</w:t>
      </w:r>
    </w:p>
    <w:p w:rsidR="00B93828" w:rsidRPr="00997D6A" w:rsidRDefault="00B93828" w:rsidP="00283B1A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 w:rsidRPr="00997D6A">
        <w:t xml:space="preserve">The informal group shall </w:t>
      </w:r>
      <w:r w:rsidR="00DD5C10" w:rsidRPr="00997D6A">
        <w:t xml:space="preserve">address </w:t>
      </w:r>
      <w:r w:rsidRPr="00997D6A">
        <w:t>the following</w:t>
      </w:r>
      <w:r w:rsidR="00DD5C10" w:rsidRPr="00997D6A">
        <w:t xml:space="preserve"> issues</w:t>
      </w:r>
      <w:r w:rsidRPr="00997D6A">
        <w:t>:</w:t>
      </w:r>
    </w:p>
    <w:p w:rsidR="004E7570" w:rsidRPr="00997D6A" w:rsidRDefault="005E307A" w:rsidP="0063336F">
      <w:pPr>
        <w:numPr>
          <w:ilvl w:val="1"/>
          <w:numId w:val="6"/>
        </w:numPr>
        <w:tabs>
          <w:tab w:val="clear" w:pos="540"/>
          <w:tab w:val="num" w:pos="1418"/>
        </w:tabs>
        <w:autoSpaceDE w:val="0"/>
        <w:autoSpaceDN w:val="0"/>
        <w:adjustRightInd w:val="0"/>
        <w:spacing w:after="120"/>
        <w:ind w:left="1418" w:hanging="425"/>
        <w:jc w:val="both"/>
      </w:pPr>
      <w:r w:rsidRPr="00997D6A">
        <w:t xml:space="preserve">Define </w:t>
      </w:r>
      <w:r w:rsidR="00407080" w:rsidRPr="00997D6A">
        <w:t>AEBS</w:t>
      </w:r>
      <w:r w:rsidRPr="00997D6A">
        <w:rPr>
          <w:b/>
        </w:rPr>
        <w:t xml:space="preserve"> </w:t>
      </w:r>
      <w:r w:rsidRPr="00997D6A">
        <w:t xml:space="preserve">requirements </w:t>
      </w:r>
      <w:r w:rsidR="00863AE1">
        <w:t>adapted</w:t>
      </w:r>
      <w:r w:rsidR="0063336F">
        <w:t xml:space="preserve"> </w:t>
      </w:r>
      <w:r w:rsidR="00BE7252">
        <w:t>to</w:t>
      </w:r>
      <w:r w:rsidR="00BE7252" w:rsidRPr="00997D6A">
        <w:t xml:space="preserve"> moving</w:t>
      </w:r>
      <w:r w:rsidR="00407080" w:rsidRPr="00997D6A">
        <w:t xml:space="preserve"> and stationary obstacles</w:t>
      </w:r>
      <w:r w:rsidR="00482AD0">
        <w:t xml:space="preserve">. Priority will be given to rear end collision with </w:t>
      </w:r>
      <w:r w:rsidR="00E039F3">
        <w:t>M/N </w:t>
      </w:r>
      <w:r w:rsidR="00482AD0">
        <w:t>vehicles.</w:t>
      </w:r>
      <w:r w:rsidR="00A33A02">
        <w:t xml:space="preserve"> </w:t>
      </w:r>
      <w:r w:rsidR="00E83EDD" w:rsidRPr="00E83EDD">
        <w:rPr>
          <w:b/>
          <w:color w:val="FF0000"/>
        </w:rPr>
        <w:t>(C2C: Car to Car scenario)</w:t>
      </w:r>
    </w:p>
    <w:p w:rsidR="00B93828" w:rsidRDefault="00E71E87" w:rsidP="0018484E">
      <w:pPr>
        <w:numPr>
          <w:ilvl w:val="1"/>
          <w:numId w:val="6"/>
        </w:numPr>
        <w:tabs>
          <w:tab w:val="clear" w:pos="540"/>
          <w:tab w:val="num" w:pos="1418"/>
        </w:tabs>
        <w:autoSpaceDE w:val="0"/>
        <w:autoSpaceDN w:val="0"/>
        <w:adjustRightInd w:val="0"/>
        <w:spacing w:after="120"/>
        <w:ind w:left="1418" w:hanging="425"/>
        <w:jc w:val="both"/>
      </w:pPr>
      <w:r w:rsidRPr="00997D6A">
        <w:t xml:space="preserve">Define </w:t>
      </w:r>
      <w:r w:rsidR="00407080" w:rsidRPr="00997D6A">
        <w:t xml:space="preserve">AEBS requirements </w:t>
      </w:r>
      <w:r w:rsidR="00863AE1">
        <w:t>adapted to</w:t>
      </w:r>
      <w:r w:rsidR="00863AE1" w:rsidRPr="00997D6A">
        <w:t xml:space="preserve"> </w:t>
      </w:r>
      <w:r w:rsidR="00407080" w:rsidRPr="00997D6A">
        <w:t>pedestrian</w:t>
      </w:r>
      <w:r w:rsidR="00863AE1">
        <w:t>s</w:t>
      </w:r>
      <w:r w:rsidRPr="00997D6A">
        <w:t>.</w:t>
      </w:r>
      <w:r w:rsidR="00E83EDD" w:rsidRPr="00E83EDD">
        <w:rPr>
          <w:b/>
          <w:color w:val="FF0000"/>
        </w:rPr>
        <w:t xml:space="preserve"> (C2P: Car to Pedestrian scenario)</w:t>
      </w:r>
    </w:p>
    <w:p w:rsidR="00212DD9" w:rsidRDefault="00212DD9" w:rsidP="0018484E">
      <w:pPr>
        <w:numPr>
          <w:ilvl w:val="1"/>
          <w:numId w:val="6"/>
        </w:numPr>
        <w:tabs>
          <w:tab w:val="clear" w:pos="540"/>
          <w:tab w:val="num" w:pos="1418"/>
        </w:tabs>
        <w:autoSpaceDE w:val="0"/>
        <w:autoSpaceDN w:val="0"/>
        <w:adjustRightInd w:val="0"/>
        <w:spacing w:after="120"/>
        <w:ind w:left="1418" w:hanging="425"/>
        <w:jc w:val="both"/>
      </w:pPr>
      <w:r w:rsidRPr="00997D6A">
        <w:t xml:space="preserve">Define AEBS requirements </w:t>
      </w:r>
      <w:r>
        <w:t>adapted to</w:t>
      </w:r>
      <w:r w:rsidRPr="00997D6A">
        <w:t xml:space="preserve"> </w:t>
      </w:r>
      <w:r>
        <w:t>cyclists</w:t>
      </w:r>
      <w:r w:rsidR="00E83EDD">
        <w:t xml:space="preserve">. </w:t>
      </w:r>
      <w:r w:rsidR="00E83EDD" w:rsidRPr="00E83EDD">
        <w:rPr>
          <w:b/>
          <w:color w:val="FF0000"/>
        </w:rPr>
        <w:t>(C2B: Car to Bicycle scenario)</w:t>
      </w:r>
    </w:p>
    <w:p w:rsidR="003B559D" w:rsidRDefault="003B559D" w:rsidP="0018484E">
      <w:pPr>
        <w:numPr>
          <w:ilvl w:val="1"/>
          <w:numId w:val="6"/>
        </w:numPr>
        <w:tabs>
          <w:tab w:val="clear" w:pos="540"/>
          <w:tab w:val="num" w:pos="1418"/>
        </w:tabs>
        <w:autoSpaceDE w:val="0"/>
        <w:autoSpaceDN w:val="0"/>
        <w:adjustRightInd w:val="0"/>
        <w:spacing w:after="120"/>
        <w:ind w:left="1418" w:hanging="425"/>
        <w:jc w:val="both"/>
      </w:pPr>
      <w:r>
        <w:t>Shall provide a technical review for the extension of technical</w:t>
      </w:r>
      <w:r w:rsidRPr="003B559D">
        <w:t xml:space="preserve"> requirements</w:t>
      </w:r>
      <w:r>
        <w:t xml:space="preserve"> to include motorcyclists and large animals</w:t>
      </w:r>
      <w:r w:rsidR="00212DD9">
        <w:t>.</w:t>
      </w:r>
    </w:p>
    <w:p w:rsidR="006343A7" w:rsidRDefault="006343A7" w:rsidP="001E3987">
      <w:pPr>
        <w:autoSpaceDE w:val="0"/>
        <w:autoSpaceDN w:val="0"/>
        <w:adjustRightInd w:val="0"/>
        <w:spacing w:after="120"/>
        <w:jc w:val="both"/>
      </w:pPr>
    </w:p>
    <w:p w:rsidR="00B93828" w:rsidRPr="00997D6A" w:rsidRDefault="00B93828" w:rsidP="0018484E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 w:rsidRPr="00997D6A">
        <w:t xml:space="preserve">The group will focus on systems for vehicles of categories </w:t>
      </w:r>
      <w:r w:rsidR="00407080" w:rsidRPr="00997D6A">
        <w:t>M1</w:t>
      </w:r>
      <w:r w:rsidRPr="00997D6A">
        <w:t xml:space="preserve"> and </w:t>
      </w:r>
      <w:r w:rsidR="00407080" w:rsidRPr="00997D6A">
        <w:t>N1</w:t>
      </w:r>
    </w:p>
    <w:p w:rsidR="00B93828" w:rsidRPr="00997D6A" w:rsidRDefault="00B93828" w:rsidP="0018484E">
      <w:pPr>
        <w:autoSpaceDE w:val="0"/>
        <w:autoSpaceDN w:val="0"/>
        <w:adjustRightInd w:val="0"/>
        <w:jc w:val="both"/>
      </w:pPr>
    </w:p>
    <w:p w:rsidR="00B93828" w:rsidRPr="00997D6A" w:rsidRDefault="00B93828" w:rsidP="0018484E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120"/>
        <w:ind w:left="900" w:hanging="540"/>
        <w:jc w:val="both"/>
      </w:pPr>
      <w:r w:rsidRPr="00997D6A">
        <w:t>The group should take full account of existing data and research in developing its regulatory proposals. It should consider pre-existing standards</w:t>
      </w:r>
      <w:r w:rsidR="00407080" w:rsidRPr="00997D6A">
        <w:t xml:space="preserve">, </w:t>
      </w:r>
      <w:r w:rsidR="00F078FE">
        <w:t>existing r</w:t>
      </w:r>
      <w:r w:rsidR="00407080" w:rsidRPr="00997D6A">
        <w:t>egulations</w:t>
      </w:r>
      <w:r w:rsidR="00F078FE">
        <w:t xml:space="preserve"> or </w:t>
      </w:r>
      <w:r w:rsidR="0066458B">
        <w:t xml:space="preserve">test </w:t>
      </w:r>
      <w:r w:rsidR="005639EA">
        <w:t>protocol</w:t>
      </w:r>
      <w:r w:rsidR="00F078FE">
        <w:t>s</w:t>
      </w:r>
      <w:r w:rsidR="00407080" w:rsidRPr="00997D6A">
        <w:t xml:space="preserve"> </w:t>
      </w:r>
      <w:r w:rsidRPr="00997D6A">
        <w:t xml:space="preserve">from </w:t>
      </w:r>
      <w:r w:rsidR="00F078FE">
        <w:t>any region</w:t>
      </w:r>
      <w:r w:rsidR="00407080" w:rsidRPr="00997D6A">
        <w:t xml:space="preserve"> </w:t>
      </w:r>
      <w:r w:rsidRPr="00997D6A">
        <w:t xml:space="preserve">for developing its proposals. </w:t>
      </w:r>
    </w:p>
    <w:p w:rsidR="00B93828" w:rsidRPr="00997D6A" w:rsidRDefault="00B93828" w:rsidP="00D96AC4">
      <w:pPr>
        <w:pStyle w:val="ListParagraph"/>
        <w:ind w:left="0"/>
        <w:jc w:val="both"/>
      </w:pPr>
    </w:p>
    <w:p w:rsidR="006343A7" w:rsidRDefault="00B93828" w:rsidP="00C57416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</w:pPr>
      <w:r w:rsidRPr="00997D6A">
        <w:t>Draft regulatory texts</w:t>
      </w:r>
      <w:r w:rsidR="00997D6A" w:rsidRPr="00997D6A">
        <w:rPr>
          <w:rFonts w:hint="eastAsia"/>
          <w:lang w:eastAsia="ja-JP"/>
        </w:rPr>
        <w:t xml:space="preserve"> </w:t>
      </w:r>
      <w:r w:rsidR="00D5001F">
        <w:rPr>
          <w:rFonts w:hint="eastAsia"/>
          <w:lang w:eastAsia="ja-JP"/>
        </w:rPr>
        <w:t xml:space="preserve">of AEBS requirements </w:t>
      </w:r>
      <w:r w:rsidR="00E83EDD" w:rsidRPr="00E83EDD">
        <w:rPr>
          <w:b/>
          <w:color w:val="FF0000"/>
          <w:lang w:eastAsia="ja-JP"/>
        </w:rPr>
        <w:t>as 00 series</w:t>
      </w:r>
      <w:r w:rsidR="00E83EDD">
        <w:rPr>
          <w:lang w:eastAsia="ja-JP"/>
        </w:rPr>
        <w:t xml:space="preserve"> </w:t>
      </w:r>
      <w:r w:rsidR="006343A7" w:rsidRPr="00997D6A">
        <w:t xml:space="preserve">should be submitted to the </w:t>
      </w:r>
      <w:r w:rsidR="00A33A02" w:rsidRPr="00E83EDD">
        <w:rPr>
          <w:b/>
          <w:color w:val="FF0000"/>
        </w:rPr>
        <w:t>first</w:t>
      </w:r>
      <w:r w:rsidR="006343A7" w:rsidRPr="00E83EDD">
        <w:rPr>
          <w:b/>
          <w:color w:val="FF0000"/>
        </w:rPr>
        <w:t xml:space="preserve"> session</w:t>
      </w:r>
      <w:r w:rsidR="00A33A02" w:rsidRPr="00E83EDD">
        <w:rPr>
          <w:b/>
          <w:color w:val="FF0000"/>
        </w:rPr>
        <w:t xml:space="preserve"> of GRVA</w:t>
      </w:r>
      <w:r w:rsidR="006343A7" w:rsidRPr="00997D6A">
        <w:t xml:space="preserve"> in</w:t>
      </w:r>
      <w:r w:rsidR="006343A7">
        <w:t xml:space="preserve"> September 2018</w:t>
      </w:r>
      <w:r w:rsidR="008A5CFA">
        <w:t>.</w:t>
      </w:r>
      <w:r w:rsidR="00E00118">
        <w:t xml:space="preserve"> </w:t>
      </w:r>
      <w:r w:rsidR="00E00118" w:rsidRPr="00E00118">
        <w:rPr>
          <w:b/>
          <w:color w:val="FF0000"/>
        </w:rPr>
        <w:t>Target is C2C scenario including moving and stationary obstacles and C2P as 1</w:t>
      </w:r>
      <w:r w:rsidR="00E00118" w:rsidRPr="00E00118">
        <w:rPr>
          <w:b/>
          <w:color w:val="FF0000"/>
          <w:vertAlign w:val="superscript"/>
        </w:rPr>
        <w:t>st</w:t>
      </w:r>
      <w:r w:rsidR="00E00118" w:rsidRPr="00E00118">
        <w:rPr>
          <w:b/>
          <w:color w:val="FF0000"/>
        </w:rPr>
        <w:t xml:space="preserve"> step.</w:t>
      </w:r>
      <w:r w:rsidR="00E83EDD">
        <w:t xml:space="preserve"> </w:t>
      </w:r>
      <w:r w:rsidR="00E83EDD" w:rsidRPr="00E00118">
        <w:rPr>
          <w:b/>
          <w:color w:val="FF0000"/>
        </w:rPr>
        <w:t>(Informal document of GRVA)</w:t>
      </w:r>
    </w:p>
    <w:p w:rsidR="00E83EDD" w:rsidRDefault="00E83EDD" w:rsidP="00E83EDD">
      <w:pPr>
        <w:pStyle w:val="ListParagraph"/>
      </w:pPr>
    </w:p>
    <w:p w:rsidR="00E83EDD" w:rsidRPr="00E00118" w:rsidRDefault="00E83EDD" w:rsidP="00E83EDD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</w:pPr>
      <w:r>
        <w:t>R</w:t>
      </w:r>
      <w:r w:rsidRPr="00997D6A">
        <w:t>egulatory texts</w:t>
      </w:r>
      <w:r w:rsidRPr="00997D6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of AEBS requirements </w:t>
      </w:r>
      <w:r w:rsidRPr="00E83EDD">
        <w:rPr>
          <w:b/>
          <w:color w:val="FF0000"/>
          <w:lang w:eastAsia="ja-JP"/>
        </w:rPr>
        <w:t>as 00 series</w:t>
      </w:r>
      <w:r>
        <w:rPr>
          <w:lang w:eastAsia="ja-JP"/>
        </w:rPr>
        <w:t xml:space="preserve"> </w:t>
      </w:r>
      <w:r w:rsidRPr="00997D6A">
        <w:t xml:space="preserve">should be submitted to the </w:t>
      </w:r>
      <w:r w:rsidR="00E00118">
        <w:rPr>
          <w:b/>
          <w:color w:val="FF0000"/>
        </w:rPr>
        <w:t>second</w:t>
      </w:r>
      <w:r w:rsidRPr="00E83EDD">
        <w:rPr>
          <w:b/>
          <w:color w:val="FF0000"/>
        </w:rPr>
        <w:t xml:space="preserve"> session of GRVA</w:t>
      </w:r>
      <w:r w:rsidRPr="00997D6A">
        <w:t xml:space="preserve"> in</w:t>
      </w:r>
      <w:r>
        <w:t xml:space="preserve"> </w:t>
      </w:r>
      <w:r w:rsidR="00E00118">
        <w:rPr>
          <w:b/>
          <w:color w:val="FF0000"/>
        </w:rPr>
        <w:t>February</w:t>
      </w:r>
      <w:r>
        <w:t xml:space="preserve"> 201</w:t>
      </w:r>
      <w:r w:rsidR="00E00118">
        <w:t>9</w:t>
      </w:r>
      <w:r>
        <w:t>.</w:t>
      </w:r>
      <w:r w:rsidR="00E00118">
        <w:t xml:space="preserve"> </w:t>
      </w:r>
      <w:r w:rsidR="00E00118" w:rsidRPr="00E00118">
        <w:rPr>
          <w:b/>
          <w:color w:val="FF0000"/>
        </w:rPr>
        <w:t>Target is C2C scenario including moving and stationary obstacles and C2P as 1</w:t>
      </w:r>
      <w:r w:rsidR="00E00118" w:rsidRPr="00E00118">
        <w:rPr>
          <w:b/>
          <w:color w:val="FF0000"/>
          <w:vertAlign w:val="superscript"/>
        </w:rPr>
        <w:t>st</w:t>
      </w:r>
      <w:r w:rsidR="00E00118" w:rsidRPr="00E00118">
        <w:rPr>
          <w:b/>
          <w:color w:val="FF0000"/>
        </w:rPr>
        <w:t xml:space="preserve"> step. (</w:t>
      </w:r>
      <w:r w:rsidR="00E00118">
        <w:rPr>
          <w:b/>
          <w:color w:val="FF0000"/>
        </w:rPr>
        <w:t>F</w:t>
      </w:r>
      <w:r w:rsidR="00E00118" w:rsidRPr="00E00118">
        <w:rPr>
          <w:b/>
          <w:color w:val="FF0000"/>
        </w:rPr>
        <w:t>ormal document of GRVA)</w:t>
      </w:r>
    </w:p>
    <w:p w:rsidR="00E00118" w:rsidRDefault="00E00118" w:rsidP="00E00118">
      <w:pPr>
        <w:pStyle w:val="ListParagraph"/>
      </w:pPr>
    </w:p>
    <w:p w:rsidR="00E00118" w:rsidRDefault="00E00118" w:rsidP="00E00118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  <w:rPr>
          <w:b/>
          <w:color w:val="FF0000"/>
        </w:rPr>
      </w:pPr>
      <w:r w:rsidRPr="00E00118">
        <w:rPr>
          <w:b/>
          <w:color w:val="FF0000"/>
        </w:rPr>
        <w:t>Draft regulatory texts</w:t>
      </w:r>
      <w:r w:rsidRPr="00E00118">
        <w:rPr>
          <w:rFonts w:hint="eastAsia"/>
          <w:b/>
          <w:color w:val="FF0000"/>
          <w:lang w:eastAsia="ja-JP"/>
        </w:rPr>
        <w:t xml:space="preserve"> of AEBS requirements </w:t>
      </w:r>
      <w:r w:rsidRPr="00E00118">
        <w:rPr>
          <w:b/>
          <w:color w:val="FF0000"/>
          <w:lang w:eastAsia="ja-JP"/>
        </w:rPr>
        <w:t xml:space="preserve">as 01 series </w:t>
      </w:r>
      <w:r w:rsidRPr="00E00118">
        <w:rPr>
          <w:b/>
          <w:color w:val="FF0000"/>
        </w:rPr>
        <w:t>should be submitted to the third session of GRVA in September 2019. Target is C2P scenario as 2</w:t>
      </w:r>
      <w:r w:rsidRPr="00E00118">
        <w:rPr>
          <w:b/>
          <w:color w:val="FF0000"/>
          <w:vertAlign w:val="superscript"/>
        </w:rPr>
        <w:t>nd</w:t>
      </w:r>
      <w:r w:rsidRPr="00E00118">
        <w:rPr>
          <w:b/>
          <w:color w:val="FF0000"/>
        </w:rPr>
        <w:t xml:space="preserve"> step and C2B scenario. (Informal document of GRVA)</w:t>
      </w:r>
    </w:p>
    <w:p w:rsidR="00E00118" w:rsidRDefault="00E00118" w:rsidP="00E00118">
      <w:pPr>
        <w:pStyle w:val="ListParagraph"/>
        <w:rPr>
          <w:b/>
          <w:color w:val="FF0000"/>
        </w:rPr>
      </w:pPr>
    </w:p>
    <w:p w:rsidR="00E83EDD" w:rsidRPr="00E00118" w:rsidRDefault="00E00118" w:rsidP="00E00118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  <w:rPr>
          <w:b/>
          <w:color w:val="FF0000"/>
        </w:rPr>
      </w:pPr>
      <w:r w:rsidRPr="00E00118">
        <w:rPr>
          <w:b/>
          <w:color w:val="FF0000"/>
        </w:rPr>
        <w:t>Regulatory texts</w:t>
      </w:r>
      <w:r w:rsidRPr="00E00118">
        <w:rPr>
          <w:rFonts w:hint="eastAsia"/>
          <w:b/>
          <w:color w:val="FF0000"/>
          <w:lang w:eastAsia="ja-JP"/>
        </w:rPr>
        <w:t xml:space="preserve"> of AEBS requirements </w:t>
      </w:r>
      <w:r>
        <w:rPr>
          <w:b/>
          <w:color w:val="FF0000"/>
          <w:lang w:eastAsia="ja-JP"/>
        </w:rPr>
        <w:t>as 01</w:t>
      </w:r>
      <w:r w:rsidRPr="00E00118">
        <w:rPr>
          <w:b/>
          <w:color w:val="FF0000"/>
          <w:lang w:eastAsia="ja-JP"/>
        </w:rPr>
        <w:t xml:space="preserve"> series </w:t>
      </w:r>
      <w:r w:rsidRPr="00E00118">
        <w:rPr>
          <w:b/>
          <w:color w:val="FF0000"/>
        </w:rPr>
        <w:t xml:space="preserve">should be submitted to the </w:t>
      </w:r>
      <w:r>
        <w:rPr>
          <w:b/>
          <w:color w:val="FF0000"/>
        </w:rPr>
        <w:t>fourth</w:t>
      </w:r>
      <w:r w:rsidRPr="00E00118">
        <w:rPr>
          <w:b/>
          <w:color w:val="FF0000"/>
        </w:rPr>
        <w:t xml:space="preserve"> session of GRVA in February</w:t>
      </w:r>
      <w:r>
        <w:rPr>
          <w:b/>
          <w:color w:val="FF0000"/>
        </w:rPr>
        <w:t xml:space="preserve"> 2020</w:t>
      </w:r>
      <w:r w:rsidRPr="00E00118">
        <w:rPr>
          <w:b/>
          <w:color w:val="FF0000"/>
        </w:rPr>
        <w:t>. Target is C2P scenario as 2</w:t>
      </w:r>
      <w:r w:rsidRPr="00E00118">
        <w:rPr>
          <w:b/>
          <w:color w:val="FF0000"/>
          <w:vertAlign w:val="superscript"/>
        </w:rPr>
        <w:t>nd</w:t>
      </w:r>
      <w:r w:rsidRPr="00E00118">
        <w:rPr>
          <w:b/>
          <w:color w:val="FF0000"/>
        </w:rPr>
        <w:t xml:space="preserve"> step and C2B scenario. (Formal document of GRVA)</w:t>
      </w:r>
    </w:p>
    <w:p w:rsidR="00E83EDD" w:rsidRDefault="00E83EDD" w:rsidP="001E3987">
      <w:pPr>
        <w:pStyle w:val="ListParagraph"/>
        <w:rPr>
          <w:lang w:eastAsia="ja-JP"/>
        </w:rPr>
      </w:pPr>
    </w:p>
    <w:p w:rsidR="006343A7" w:rsidRDefault="006343A7" w:rsidP="00C57416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</w:pPr>
      <w:r>
        <w:t>The informal group will advise WP29 if as part of the discussion, it is recognized that there will be a delay in the delivery of one or more of the technical measures</w:t>
      </w:r>
      <w:r w:rsidR="008A5CFA">
        <w:t xml:space="preserve"> of paragraph 3</w:t>
      </w:r>
      <w:r>
        <w:t>.</w:t>
      </w:r>
    </w:p>
    <w:p w:rsidR="00C57416" w:rsidRPr="00997D6A" w:rsidRDefault="00C57416" w:rsidP="00D96AC4">
      <w:pPr>
        <w:jc w:val="both"/>
      </w:pPr>
    </w:p>
    <w:p w:rsidR="00B93828" w:rsidRPr="00997D6A" w:rsidRDefault="00B93828" w:rsidP="001E3987">
      <w:pPr>
        <w:numPr>
          <w:ilvl w:val="0"/>
          <w:numId w:val="6"/>
        </w:numPr>
        <w:tabs>
          <w:tab w:val="num" w:pos="900"/>
          <w:tab w:val="num" w:pos="1440"/>
        </w:tabs>
        <w:autoSpaceDE w:val="0"/>
        <w:autoSpaceDN w:val="0"/>
        <w:adjustRightInd w:val="0"/>
        <w:ind w:left="896" w:hanging="539"/>
        <w:jc w:val="both"/>
      </w:pPr>
      <w:r w:rsidRPr="00997D6A">
        <w:t>A final decision on regulatory proposals rests with WP</w:t>
      </w:r>
      <w:r w:rsidR="00C62237" w:rsidRPr="00997D6A">
        <w:t>.</w:t>
      </w:r>
      <w:r w:rsidRPr="00997D6A">
        <w:t>29 and the Contracting Parties</w:t>
      </w:r>
      <w:r w:rsidR="00863AE1">
        <w:t xml:space="preserve"> to the 58 Agreement</w:t>
      </w:r>
      <w:r w:rsidRPr="00997D6A">
        <w:t>.</w:t>
      </w:r>
    </w:p>
    <w:p w:rsidR="001B2546" w:rsidRDefault="001B2546">
      <w:pPr>
        <w:rPr>
          <w:b/>
          <w:sz w:val="28"/>
          <w:szCs w:val="28"/>
        </w:rPr>
      </w:pPr>
    </w:p>
    <w:p w:rsidR="00B93828" w:rsidRPr="00997D6A" w:rsidRDefault="00B93828">
      <w:pPr>
        <w:rPr>
          <w:sz w:val="28"/>
          <w:szCs w:val="28"/>
        </w:rPr>
      </w:pPr>
      <w:r w:rsidRPr="00997D6A">
        <w:rPr>
          <w:b/>
          <w:sz w:val="28"/>
          <w:szCs w:val="28"/>
        </w:rPr>
        <w:t>Rules of Procedure</w:t>
      </w:r>
    </w:p>
    <w:p w:rsidR="00B93828" w:rsidRPr="00997D6A" w:rsidRDefault="00B93828"/>
    <w:p w:rsidR="00B93828" w:rsidRPr="00997D6A" w:rsidRDefault="00B93828"/>
    <w:p w:rsidR="00B93828" w:rsidRPr="00997D6A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The informal group is a sub group of GR</w:t>
      </w:r>
      <w:r w:rsidR="001B2546">
        <w:t>VA</w:t>
      </w:r>
      <w:r w:rsidRPr="00997D6A">
        <w:t xml:space="preserve">, and is </w:t>
      </w:r>
      <w:r w:rsidR="001B2546">
        <w:t>open to all participants of WP.29</w:t>
      </w:r>
      <w:r w:rsidRPr="00997D6A">
        <w:t>.</w:t>
      </w: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</w:pPr>
    </w:p>
    <w:p w:rsidR="00B93828" w:rsidRPr="00997D6A" w:rsidRDefault="002C7930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Two</w:t>
      </w:r>
      <w:r w:rsidR="00E16DCF" w:rsidRPr="00997D6A">
        <w:t xml:space="preserve"> </w:t>
      </w:r>
      <w:r w:rsidR="00863AE1">
        <w:t>c</w:t>
      </w:r>
      <w:r w:rsidR="00E16DCF" w:rsidRPr="00997D6A">
        <w:t>o-</w:t>
      </w:r>
      <w:r w:rsidR="00863AE1">
        <w:t>C</w:t>
      </w:r>
      <w:r w:rsidR="00E16DCF" w:rsidRPr="00997D6A">
        <w:t>hair</w:t>
      </w:r>
      <w:r w:rsidRPr="00997D6A">
        <w:t>s</w:t>
      </w:r>
      <w:r w:rsidR="00B93828" w:rsidRPr="00997D6A">
        <w:t xml:space="preserve"> and a Secretary will manage the informal group.</w:t>
      </w: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</w:pPr>
    </w:p>
    <w:p w:rsidR="00B93828" w:rsidRPr="00997D6A" w:rsidRDefault="00534177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>
        <w:t>The working</w:t>
      </w:r>
      <w:r w:rsidR="00B93828" w:rsidRPr="00997D6A">
        <w:t xml:space="preserve"> language of the informal group will be English.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All documents and/or proposals must be submitted to the Secretary of the group in a suitable electronic format in advance of the meeting. The group may refuse to discuss any item or proposal</w:t>
      </w:r>
      <w:r w:rsidR="00C62237" w:rsidRPr="00997D6A">
        <w:t xml:space="preserve"> which has not been circulated </w:t>
      </w:r>
      <w:r w:rsidR="0018484E" w:rsidRPr="00997D6A">
        <w:t>ten</w:t>
      </w:r>
      <w:r w:rsidR="00C62237" w:rsidRPr="00997D6A">
        <w:t xml:space="preserve"> </w:t>
      </w:r>
      <w:r w:rsidRPr="00997D6A">
        <w:t>working days in advance</w:t>
      </w:r>
      <w:r w:rsidR="00863AE1">
        <w:t xml:space="preserve"> to the meeting</w:t>
      </w:r>
      <w:r w:rsidRPr="00997D6A">
        <w:t>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>An agenda and related documents will be circulated to all members of the informal group in advance of all scheduled meetings.</w:t>
      </w:r>
    </w:p>
    <w:p w:rsidR="0018484E" w:rsidRPr="00997D6A" w:rsidRDefault="0018484E" w:rsidP="0018484E">
      <w:pPr>
        <w:ind w:left="360"/>
        <w:jc w:val="both"/>
      </w:pPr>
    </w:p>
    <w:p w:rsidR="00B93828" w:rsidRPr="00997D6A" w:rsidRDefault="00B93828" w:rsidP="0018484E">
      <w:pPr>
        <w:numPr>
          <w:ilvl w:val="0"/>
          <w:numId w:val="8"/>
        </w:numPr>
        <w:tabs>
          <w:tab w:val="clear" w:pos="720"/>
          <w:tab w:val="num" w:pos="900"/>
        </w:tabs>
        <w:ind w:left="900" w:hanging="540"/>
        <w:jc w:val="both"/>
      </w:pPr>
      <w:r w:rsidRPr="00997D6A">
        <w:t xml:space="preserve">Decisions will be reached by consensus. When consensus cannot be reached, the </w:t>
      </w:r>
      <w:r w:rsidR="00863AE1">
        <w:t>co-Chairs</w:t>
      </w:r>
      <w:r w:rsidR="00863AE1" w:rsidRPr="00997D6A">
        <w:t xml:space="preserve"> </w:t>
      </w:r>
      <w:r w:rsidRPr="00997D6A">
        <w:t>of the group shall present the different points of view to GR</w:t>
      </w:r>
      <w:r w:rsidR="001B2546">
        <w:t>VA</w:t>
      </w:r>
      <w:r w:rsidRPr="00997D6A">
        <w:t xml:space="preserve">. The </w:t>
      </w:r>
      <w:r w:rsidR="00863AE1">
        <w:t>co-Chairs</w:t>
      </w:r>
      <w:r w:rsidR="00863AE1" w:rsidRPr="00997D6A">
        <w:t xml:space="preserve"> </w:t>
      </w:r>
      <w:r w:rsidRPr="00997D6A">
        <w:t>may seek guidance from G</w:t>
      </w:r>
      <w:r w:rsidR="001B2546">
        <w:t>RVA</w:t>
      </w:r>
      <w:r w:rsidRPr="00997D6A">
        <w:t xml:space="preserve"> as appropriate.</w:t>
      </w:r>
    </w:p>
    <w:p w:rsidR="00D96AC4" w:rsidRPr="00997D6A" w:rsidRDefault="00D96AC4" w:rsidP="00D96AC4">
      <w:pPr>
        <w:ind w:left="360"/>
        <w:jc w:val="both"/>
      </w:pPr>
    </w:p>
    <w:p w:rsidR="00B93828" w:rsidRPr="00997D6A" w:rsidRDefault="00B93828" w:rsidP="0018484E">
      <w:pPr>
        <w:numPr>
          <w:ilvl w:val="0"/>
          <w:numId w:val="9"/>
        </w:numPr>
        <w:tabs>
          <w:tab w:val="clear" w:pos="720"/>
          <w:tab w:val="num" w:pos="900"/>
        </w:tabs>
        <w:ind w:left="900" w:hanging="540"/>
        <w:jc w:val="both"/>
        <w:rPr>
          <w:lang w:val="en-US"/>
        </w:rPr>
      </w:pPr>
      <w:r w:rsidRPr="00997D6A">
        <w:rPr>
          <w:lang w:val="en-US"/>
        </w:rPr>
        <w:t>The progress of the informal group will be routinely reported to GR</w:t>
      </w:r>
      <w:r w:rsidR="001B2546">
        <w:rPr>
          <w:lang w:val="en-US"/>
        </w:rPr>
        <w:t>VA</w:t>
      </w:r>
      <w:r w:rsidRPr="00997D6A">
        <w:rPr>
          <w:lang w:val="en-US"/>
        </w:rPr>
        <w:t xml:space="preserve"> – wherever possible as an informal document and presented by the </w:t>
      </w:r>
      <w:r w:rsidR="00863AE1">
        <w:t>co-Chairs</w:t>
      </w:r>
      <w:r w:rsidR="00863AE1" w:rsidRPr="00997D6A">
        <w:t xml:space="preserve"> </w:t>
      </w:r>
      <w:r w:rsidRPr="00997D6A">
        <w:rPr>
          <w:lang w:val="en-US"/>
        </w:rPr>
        <w:t xml:space="preserve">or </w:t>
      </w:r>
      <w:r w:rsidR="00863AE1">
        <w:rPr>
          <w:lang w:val="en-US"/>
        </w:rPr>
        <w:t>their</w:t>
      </w:r>
      <w:r w:rsidR="00863AE1" w:rsidRPr="00997D6A">
        <w:rPr>
          <w:lang w:val="en-US"/>
        </w:rPr>
        <w:t xml:space="preserve"> </w:t>
      </w:r>
      <w:r w:rsidRPr="00997D6A">
        <w:rPr>
          <w:lang w:val="en-US"/>
        </w:rPr>
        <w:t>representative</w:t>
      </w:r>
      <w:r w:rsidR="0064629D">
        <w:rPr>
          <w:lang w:val="en-US"/>
        </w:rPr>
        <w:t>s</w:t>
      </w:r>
      <w:r w:rsidRPr="00997D6A">
        <w:rPr>
          <w:lang w:val="en-US"/>
        </w:rPr>
        <w:t xml:space="preserve">. </w:t>
      </w:r>
    </w:p>
    <w:p w:rsidR="0018484E" w:rsidRPr="00997D6A" w:rsidRDefault="0018484E" w:rsidP="0018484E">
      <w:pPr>
        <w:ind w:left="360"/>
        <w:jc w:val="both"/>
        <w:rPr>
          <w:lang w:val="en-US"/>
        </w:rPr>
      </w:pPr>
    </w:p>
    <w:p w:rsidR="00B93828" w:rsidRPr="00997D6A" w:rsidRDefault="00B93828" w:rsidP="0018484E">
      <w:pPr>
        <w:tabs>
          <w:tab w:val="num" w:pos="900"/>
        </w:tabs>
        <w:ind w:left="900" w:hanging="540"/>
        <w:jc w:val="both"/>
        <w:rPr>
          <w:lang w:val="en-US"/>
        </w:rPr>
      </w:pPr>
      <w:r w:rsidRPr="00997D6A">
        <w:rPr>
          <w:lang w:val="en-US"/>
        </w:rPr>
        <w:t xml:space="preserve">8. </w:t>
      </w:r>
      <w:r w:rsidRPr="00997D6A">
        <w:rPr>
          <w:lang w:val="en-US"/>
        </w:rPr>
        <w:tab/>
        <w:t>All documents sh</w:t>
      </w:r>
      <w:r w:rsidR="00DD18EB" w:rsidRPr="00997D6A">
        <w:rPr>
          <w:lang w:val="en-US"/>
        </w:rPr>
        <w:t>all</w:t>
      </w:r>
      <w:r w:rsidRPr="00997D6A">
        <w:rPr>
          <w:lang w:val="en-US"/>
        </w:rPr>
        <w:t xml:space="preserve"> be distributed in digital format. Meeting documents should be made available to the </w:t>
      </w:r>
      <w:r w:rsidR="00DD18EB" w:rsidRPr="00997D6A">
        <w:rPr>
          <w:lang w:val="en-US"/>
        </w:rPr>
        <w:t>S</w:t>
      </w:r>
      <w:r w:rsidRPr="00997D6A">
        <w:rPr>
          <w:lang w:val="en-US"/>
        </w:rPr>
        <w:t>ecretar</w:t>
      </w:r>
      <w:r w:rsidR="00DD18EB" w:rsidRPr="00997D6A">
        <w:rPr>
          <w:lang w:val="en-US"/>
        </w:rPr>
        <w:t>y</w:t>
      </w:r>
      <w:r w:rsidRPr="00997D6A">
        <w:rPr>
          <w:lang w:val="en-US"/>
        </w:rPr>
        <w:t xml:space="preserve"> for publication on the </w:t>
      </w:r>
      <w:r w:rsidR="00DD18EB" w:rsidRPr="00997D6A">
        <w:rPr>
          <w:lang w:val="en-US"/>
        </w:rPr>
        <w:t>dedicated w</w:t>
      </w:r>
      <w:r w:rsidRPr="00997D6A">
        <w:rPr>
          <w:lang w:val="en-US"/>
        </w:rPr>
        <w:t>ebsite.</w:t>
      </w:r>
    </w:p>
    <w:p w:rsidR="0018484E" w:rsidRPr="00997D6A" w:rsidRDefault="0018484E" w:rsidP="0018484E">
      <w:pPr>
        <w:tabs>
          <w:tab w:val="num" w:pos="900"/>
        </w:tabs>
        <w:ind w:left="900" w:hanging="540"/>
        <w:jc w:val="center"/>
        <w:rPr>
          <w:u w:val="single"/>
          <w:lang w:val="en-US"/>
        </w:rPr>
      </w:pPr>
      <w:r w:rsidRPr="00997D6A">
        <w:rPr>
          <w:u w:val="single"/>
          <w:lang w:val="en-US"/>
        </w:rPr>
        <w:tab/>
      </w:r>
      <w:r w:rsidRPr="00997D6A">
        <w:rPr>
          <w:u w:val="single"/>
          <w:lang w:val="en-US"/>
        </w:rPr>
        <w:tab/>
      </w:r>
      <w:r w:rsidRPr="00997D6A">
        <w:rPr>
          <w:u w:val="single"/>
          <w:lang w:val="en-US"/>
        </w:rPr>
        <w:tab/>
      </w:r>
    </w:p>
    <w:sectPr w:rsidR="0018484E" w:rsidRPr="00997D6A" w:rsidSect="0018484E">
      <w:pgSz w:w="11906" w:h="16838"/>
      <w:pgMar w:top="1134" w:right="164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33" w:rsidRDefault="00F62033" w:rsidP="00D759F3">
      <w:r>
        <w:separator/>
      </w:r>
    </w:p>
  </w:endnote>
  <w:endnote w:type="continuationSeparator" w:id="0">
    <w:p w:rsidR="00F62033" w:rsidRDefault="00F62033" w:rsidP="00D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33" w:rsidRDefault="00F62033" w:rsidP="00D759F3">
      <w:r>
        <w:separator/>
      </w:r>
    </w:p>
  </w:footnote>
  <w:footnote w:type="continuationSeparator" w:id="0">
    <w:p w:rsidR="00F62033" w:rsidRDefault="00F62033" w:rsidP="00D7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9B3"/>
    <w:multiLevelType w:val="hybridMultilevel"/>
    <w:tmpl w:val="61323552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1182D36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6D4A38"/>
    <w:multiLevelType w:val="multilevel"/>
    <w:tmpl w:val="47C24C3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9C71A1B"/>
    <w:multiLevelType w:val="hybridMultilevel"/>
    <w:tmpl w:val="46A82A4C"/>
    <w:lvl w:ilvl="0" w:tplc="DB062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B1089"/>
    <w:multiLevelType w:val="hybridMultilevel"/>
    <w:tmpl w:val="BEB01AB2"/>
    <w:lvl w:ilvl="0" w:tplc="614E7570"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B6208"/>
    <w:multiLevelType w:val="hybridMultilevel"/>
    <w:tmpl w:val="0D9C5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61BF1"/>
    <w:multiLevelType w:val="hybridMultilevel"/>
    <w:tmpl w:val="91481F7E"/>
    <w:lvl w:ilvl="0" w:tplc="DB06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9EC82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5362C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68C4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DCEE2F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9062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E0C87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A804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38CD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4147097"/>
    <w:multiLevelType w:val="hybridMultilevel"/>
    <w:tmpl w:val="6150C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A7086"/>
    <w:multiLevelType w:val="hybridMultilevel"/>
    <w:tmpl w:val="0A4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6132F3F1"/>
  </w:docVars>
  <w:rsids>
    <w:rsidRoot w:val="00D759F3"/>
    <w:rsid w:val="00002F3F"/>
    <w:rsid w:val="00006EFD"/>
    <w:rsid w:val="00014F08"/>
    <w:rsid w:val="0002615F"/>
    <w:rsid w:val="00026B7D"/>
    <w:rsid w:val="00046595"/>
    <w:rsid w:val="000948EE"/>
    <w:rsid w:val="000A09A0"/>
    <w:rsid w:val="00101F9C"/>
    <w:rsid w:val="001538D7"/>
    <w:rsid w:val="00156E60"/>
    <w:rsid w:val="00174572"/>
    <w:rsid w:val="0018484E"/>
    <w:rsid w:val="00186D95"/>
    <w:rsid w:val="001B2546"/>
    <w:rsid w:val="001C1501"/>
    <w:rsid w:val="001D3653"/>
    <w:rsid w:val="001E3987"/>
    <w:rsid w:val="00206BD5"/>
    <w:rsid w:val="00212DD9"/>
    <w:rsid w:val="00217ADF"/>
    <w:rsid w:val="00283B1A"/>
    <w:rsid w:val="00291098"/>
    <w:rsid w:val="00293D5C"/>
    <w:rsid w:val="002A54A5"/>
    <w:rsid w:val="002B195B"/>
    <w:rsid w:val="002C4A17"/>
    <w:rsid w:val="002C7930"/>
    <w:rsid w:val="002F3E55"/>
    <w:rsid w:val="003266FD"/>
    <w:rsid w:val="00327CA2"/>
    <w:rsid w:val="00331DA8"/>
    <w:rsid w:val="00356943"/>
    <w:rsid w:val="003710E4"/>
    <w:rsid w:val="003B559D"/>
    <w:rsid w:val="003C4DFA"/>
    <w:rsid w:val="003F104C"/>
    <w:rsid w:val="003F524A"/>
    <w:rsid w:val="00407080"/>
    <w:rsid w:val="004203C6"/>
    <w:rsid w:val="004407DE"/>
    <w:rsid w:val="00443F1E"/>
    <w:rsid w:val="00447D63"/>
    <w:rsid w:val="00482AD0"/>
    <w:rsid w:val="0048509B"/>
    <w:rsid w:val="00492748"/>
    <w:rsid w:val="004971B8"/>
    <w:rsid w:val="004B0906"/>
    <w:rsid w:val="004E4CB2"/>
    <w:rsid w:val="004E7570"/>
    <w:rsid w:val="00514BBF"/>
    <w:rsid w:val="00534177"/>
    <w:rsid w:val="00551CE4"/>
    <w:rsid w:val="005639EA"/>
    <w:rsid w:val="00586ED9"/>
    <w:rsid w:val="0059235B"/>
    <w:rsid w:val="005E307A"/>
    <w:rsid w:val="006014E3"/>
    <w:rsid w:val="0060173D"/>
    <w:rsid w:val="00606EF9"/>
    <w:rsid w:val="0062740C"/>
    <w:rsid w:val="0063336F"/>
    <w:rsid w:val="006343A7"/>
    <w:rsid w:val="0064629D"/>
    <w:rsid w:val="00663FC9"/>
    <w:rsid w:val="0066458B"/>
    <w:rsid w:val="006778BE"/>
    <w:rsid w:val="0068078D"/>
    <w:rsid w:val="00681DFB"/>
    <w:rsid w:val="006C0A0C"/>
    <w:rsid w:val="006C493D"/>
    <w:rsid w:val="006D4135"/>
    <w:rsid w:val="006E1F96"/>
    <w:rsid w:val="006F7100"/>
    <w:rsid w:val="00725C58"/>
    <w:rsid w:val="00735F92"/>
    <w:rsid w:val="00736E4F"/>
    <w:rsid w:val="007408E3"/>
    <w:rsid w:val="007A17CA"/>
    <w:rsid w:val="007B6ECF"/>
    <w:rsid w:val="007E4735"/>
    <w:rsid w:val="007F5EB3"/>
    <w:rsid w:val="00822791"/>
    <w:rsid w:val="008458FF"/>
    <w:rsid w:val="008470D4"/>
    <w:rsid w:val="00863AE1"/>
    <w:rsid w:val="00864FD7"/>
    <w:rsid w:val="00876197"/>
    <w:rsid w:val="00877DAC"/>
    <w:rsid w:val="008A5CFA"/>
    <w:rsid w:val="008B5917"/>
    <w:rsid w:val="00991888"/>
    <w:rsid w:val="00997D6A"/>
    <w:rsid w:val="009E11C7"/>
    <w:rsid w:val="00A0162D"/>
    <w:rsid w:val="00A24F4F"/>
    <w:rsid w:val="00A272B2"/>
    <w:rsid w:val="00A33A02"/>
    <w:rsid w:val="00A50764"/>
    <w:rsid w:val="00A86184"/>
    <w:rsid w:val="00AA12C6"/>
    <w:rsid w:val="00AA3F85"/>
    <w:rsid w:val="00AC171E"/>
    <w:rsid w:val="00AE1224"/>
    <w:rsid w:val="00AF11A6"/>
    <w:rsid w:val="00B72635"/>
    <w:rsid w:val="00B93828"/>
    <w:rsid w:val="00B96A64"/>
    <w:rsid w:val="00BA640F"/>
    <w:rsid w:val="00BB56BA"/>
    <w:rsid w:val="00BC19AF"/>
    <w:rsid w:val="00BE20E4"/>
    <w:rsid w:val="00BE430C"/>
    <w:rsid w:val="00BE7252"/>
    <w:rsid w:val="00C03751"/>
    <w:rsid w:val="00C40921"/>
    <w:rsid w:val="00C53BFF"/>
    <w:rsid w:val="00C56C94"/>
    <w:rsid w:val="00C57416"/>
    <w:rsid w:val="00C62237"/>
    <w:rsid w:val="00C67372"/>
    <w:rsid w:val="00C71CF3"/>
    <w:rsid w:val="00C7541C"/>
    <w:rsid w:val="00CA528A"/>
    <w:rsid w:val="00D149B2"/>
    <w:rsid w:val="00D17094"/>
    <w:rsid w:val="00D221A3"/>
    <w:rsid w:val="00D250AC"/>
    <w:rsid w:val="00D5001F"/>
    <w:rsid w:val="00D54383"/>
    <w:rsid w:val="00D759F3"/>
    <w:rsid w:val="00D82862"/>
    <w:rsid w:val="00D96AC4"/>
    <w:rsid w:val="00D979B0"/>
    <w:rsid w:val="00D97C74"/>
    <w:rsid w:val="00DC76BD"/>
    <w:rsid w:val="00DD18EB"/>
    <w:rsid w:val="00DD2455"/>
    <w:rsid w:val="00DD31FE"/>
    <w:rsid w:val="00DD5C10"/>
    <w:rsid w:val="00DD7CC2"/>
    <w:rsid w:val="00DE63DD"/>
    <w:rsid w:val="00E00118"/>
    <w:rsid w:val="00E039F3"/>
    <w:rsid w:val="00E16DCF"/>
    <w:rsid w:val="00E44CDD"/>
    <w:rsid w:val="00E514AF"/>
    <w:rsid w:val="00E65263"/>
    <w:rsid w:val="00E718A0"/>
    <w:rsid w:val="00E71E87"/>
    <w:rsid w:val="00E74B5B"/>
    <w:rsid w:val="00E83EDD"/>
    <w:rsid w:val="00EA7B5B"/>
    <w:rsid w:val="00EB4001"/>
    <w:rsid w:val="00EF6101"/>
    <w:rsid w:val="00F078FE"/>
    <w:rsid w:val="00F54492"/>
    <w:rsid w:val="00F61AE7"/>
    <w:rsid w:val="00F62033"/>
    <w:rsid w:val="00F715C1"/>
    <w:rsid w:val="00F9492D"/>
    <w:rsid w:val="00FA111D"/>
    <w:rsid w:val="00FA2054"/>
    <w:rsid w:val="00FA6FBE"/>
    <w:rsid w:val="00FB5E75"/>
    <w:rsid w:val="00FC1A61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065C10"/>
  <w15:chartTrackingRefBased/>
  <w15:docId w15:val="{2F2AD010-EE16-4D1C-9BEC-A53F4A00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BalloonText">
    <w:name w:val="Balloon Text"/>
    <w:basedOn w:val="Normal"/>
    <w:link w:val="BalloonTextChar"/>
    <w:rsid w:val="00D759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59F3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D759F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759F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D759F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759F3"/>
    <w:rPr>
      <w:sz w:val="24"/>
      <w:szCs w:val="24"/>
      <w:lang w:val="en-GB" w:eastAsia="en-GB"/>
    </w:rPr>
  </w:style>
  <w:style w:type="character" w:styleId="CommentReference">
    <w:name w:val="annotation reference"/>
    <w:rsid w:val="00FC1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1A61"/>
  </w:style>
  <w:style w:type="paragraph" w:styleId="CommentSubject">
    <w:name w:val="annotation subject"/>
    <w:basedOn w:val="CommentText"/>
    <w:next w:val="CommentText"/>
    <w:link w:val="CommentSubjectChar"/>
    <w:rsid w:val="00FC1A6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C1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BB73-8A78-4728-96D4-59C45A8A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3069</Characters>
  <Application>Microsoft Office Word</Application>
  <DocSecurity>0</DocSecurity>
  <Lines>73</Lines>
  <Paragraphs>27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BMVBS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Oliver.Kloeckner@bmvi.bund.de</dc:creator>
  <cp:keywords/>
  <cp:lastModifiedBy>Francois Guichard</cp:lastModifiedBy>
  <cp:revision>4</cp:revision>
  <cp:lastPrinted>2017-01-17T08:49:00Z</cp:lastPrinted>
  <dcterms:created xsi:type="dcterms:W3CDTF">2018-09-19T14:58:00Z</dcterms:created>
  <dcterms:modified xsi:type="dcterms:W3CDTF">2018-09-19T15:50:00Z</dcterms:modified>
</cp:coreProperties>
</file>