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F7CC52B" w14:textId="77777777" w:rsidTr="00F01738">
        <w:trPr>
          <w:trHeight w:hRule="exact" w:val="851"/>
        </w:trPr>
        <w:tc>
          <w:tcPr>
            <w:tcW w:w="1276" w:type="dxa"/>
            <w:tcBorders>
              <w:bottom w:val="single" w:sz="4" w:space="0" w:color="auto"/>
            </w:tcBorders>
          </w:tcPr>
          <w:p w14:paraId="4916DD32" w14:textId="77777777" w:rsidR="00132EA9" w:rsidRPr="00DB58B5" w:rsidRDefault="00132EA9" w:rsidP="00AB26CB">
            <w:bookmarkStart w:id="0" w:name="_GoBack"/>
            <w:bookmarkEnd w:id="0"/>
          </w:p>
        </w:tc>
        <w:tc>
          <w:tcPr>
            <w:tcW w:w="2268" w:type="dxa"/>
            <w:tcBorders>
              <w:bottom w:val="single" w:sz="4" w:space="0" w:color="auto"/>
            </w:tcBorders>
            <w:vAlign w:val="bottom"/>
          </w:tcPr>
          <w:p w14:paraId="0D3090E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B3370D8" w14:textId="77777777" w:rsidR="00132EA9" w:rsidRPr="00DB58B5" w:rsidRDefault="00AB26CB" w:rsidP="00AB26CB">
            <w:pPr>
              <w:jc w:val="right"/>
            </w:pPr>
            <w:r w:rsidRPr="00AB26CB">
              <w:rPr>
                <w:sz w:val="40"/>
              </w:rPr>
              <w:t>ST</w:t>
            </w:r>
            <w:r>
              <w:t>/SG/AC.10/C.4/2019/9</w:t>
            </w:r>
          </w:p>
        </w:tc>
      </w:tr>
      <w:tr w:rsidR="00132EA9" w:rsidRPr="00DB58B5" w14:paraId="45A7CFF3" w14:textId="77777777" w:rsidTr="00F01738">
        <w:trPr>
          <w:trHeight w:hRule="exact" w:val="2835"/>
        </w:trPr>
        <w:tc>
          <w:tcPr>
            <w:tcW w:w="1276" w:type="dxa"/>
            <w:tcBorders>
              <w:top w:val="single" w:sz="4" w:space="0" w:color="auto"/>
              <w:bottom w:val="single" w:sz="12" w:space="0" w:color="auto"/>
            </w:tcBorders>
          </w:tcPr>
          <w:p w14:paraId="10A4CD07" w14:textId="77777777" w:rsidR="00132EA9" w:rsidRPr="00DB58B5" w:rsidRDefault="00132EA9" w:rsidP="00F01738">
            <w:pPr>
              <w:spacing w:before="120"/>
              <w:jc w:val="center"/>
            </w:pPr>
            <w:r>
              <w:rPr>
                <w:noProof/>
                <w:lang w:eastAsia="fr-CH"/>
              </w:rPr>
              <w:drawing>
                <wp:inline distT="0" distB="0" distL="0" distR="0" wp14:anchorId="7544CE7A" wp14:editId="6BB2214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5A472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B698E0C" w14:textId="77777777" w:rsidR="00132EA9" w:rsidRDefault="00AB26CB" w:rsidP="00F01738">
            <w:pPr>
              <w:spacing w:before="240"/>
            </w:pPr>
            <w:r>
              <w:t>Distr. générale</w:t>
            </w:r>
          </w:p>
          <w:p w14:paraId="0B7B3023" w14:textId="77777777" w:rsidR="00AB26CB" w:rsidRDefault="00AB26CB" w:rsidP="00AB26CB">
            <w:pPr>
              <w:spacing w:line="240" w:lineRule="exact"/>
            </w:pPr>
            <w:r>
              <w:t>13 septembre 2019</w:t>
            </w:r>
          </w:p>
          <w:p w14:paraId="0FF27706" w14:textId="77777777" w:rsidR="00AB26CB" w:rsidRDefault="00AB26CB" w:rsidP="00AB26CB">
            <w:pPr>
              <w:spacing w:line="240" w:lineRule="exact"/>
            </w:pPr>
            <w:r>
              <w:t>Français</w:t>
            </w:r>
          </w:p>
          <w:p w14:paraId="63CCDF85" w14:textId="77777777" w:rsidR="00AB26CB" w:rsidRPr="00DB58B5" w:rsidRDefault="00AB26CB" w:rsidP="00AB26CB">
            <w:pPr>
              <w:spacing w:line="240" w:lineRule="exact"/>
            </w:pPr>
            <w:r>
              <w:t>Original</w:t>
            </w:r>
            <w:r w:rsidR="00732937" w:rsidRPr="00732937">
              <w:t> :</w:t>
            </w:r>
            <w:r>
              <w:t xml:space="preserve"> anglais</w:t>
            </w:r>
          </w:p>
        </w:tc>
      </w:tr>
    </w:tbl>
    <w:p w14:paraId="51E186ED" w14:textId="77777777" w:rsidR="00AB26CB" w:rsidRPr="00AB26CB" w:rsidRDefault="00AB26CB" w:rsidP="00AB26CB">
      <w:pPr>
        <w:spacing w:before="120"/>
        <w:rPr>
          <w:b/>
          <w:sz w:val="24"/>
          <w:szCs w:val="24"/>
        </w:rPr>
      </w:pPr>
      <w:r w:rsidRPr="00AB26CB">
        <w:rPr>
          <w:b/>
          <w:bCs/>
          <w:sz w:val="24"/>
          <w:szCs w:val="24"/>
        </w:rPr>
        <w:t xml:space="preserve">Comité d’experts du transport des marchandises dangereuses </w:t>
      </w:r>
      <w:r w:rsidR="00732937">
        <w:rPr>
          <w:b/>
          <w:bCs/>
          <w:sz w:val="24"/>
          <w:szCs w:val="24"/>
        </w:rPr>
        <w:br/>
      </w:r>
      <w:r w:rsidRPr="00AB26CB">
        <w:rPr>
          <w:b/>
          <w:bCs/>
          <w:sz w:val="24"/>
          <w:szCs w:val="24"/>
        </w:rPr>
        <w:t xml:space="preserve">et du Système général harmonisé de classification </w:t>
      </w:r>
      <w:r w:rsidR="00732937">
        <w:rPr>
          <w:b/>
          <w:bCs/>
          <w:sz w:val="24"/>
          <w:szCs w:val="24"/>
        </w:rPr>
        <w:br/>
      </w:r>
      <w:r w:rsidRPr="00AB26CB">
        <w:rPr>
          <w:b/>
          <w:bCs/>
          <w:sz w:val="24"/>
          <w:szCs w:val="24"/>
        </w:rPr>
        <w:t>et d’étiquetage des produits chimiques</w:t>
      </w:r>
    </w:p>
    <w:p w14:paraId="54021048" w14:textId="77777777" w:rsidR="00AB26CB" w:rsidRPr="00732937" w:rsidRDefault="00AB26CB" w:rsidP="00AB26CB">
      <w:pPr>
        <w:spacing w:before="120"/>
      </w:pPr>
      <w:r w:rsidRPr="00702F78">
        <w:rPr>
          <w:b/>
          <w:bCs/>
        </w:rPr>
        <w:t xml:space="preserve">Sous-Comité d’experts du Système général harmonisé </w:t>
      </w:r>
      <w:r w:rsidR="00732937">
        <w:rPr>
          <w:b/>
          <w:bCs/>
        </w:rPr>
        <w:br/>
      </w:r>
      <w:r w:rsidRPr="00702F78">
        <w:rPr>
          <w:b/>
          <w:bCs/>
        </w:rPr>
        <w:t>de classification et d’étiquetage des produits chimiques</w:t>
      </w:r>
    </w:p>
    <w:p w14:paraId="6E37805B" w14:textId="77777777" w:rsidR="00AB26CB" w:rsidRPr="00732937" w:rsidRDefault="00AB26CB" w:rsidP="00AB26CB">
      <w:pPr>
        <w:spacing w:before="120"/>
      </w:pPr>
      <w:r w:rsidRPr="00702F78">
        <w:rPr>
          <w:b/>
          <w:bCs/>
        </w:rPr>
        <w:t>Trente-huitième session</w:t>
      </w:r>
    </w:p>
    <w:p w14:paraId="624419F8" w14:textId="77777777" w:rsidR="00AB26CB" w:rsidRPr="00702F78" w:rsidRDefault="00AB26CB" w:rsidP="00AB26CB">
      <w:pPr>
        <w:jc w:val="both"/>
      </w:pPr>
      <w:r w:rsidRPr="00702F78">
        <w:t>Genève, 11-13 décembre 2019</w:t>
      </w:r>
    </w:p>
    <w:p w14:paraId="69A5231F" w14:textId="77777777" w:rsidR="00AB26CB" w:rsidRPr="00702F78" w:rsidRDefault="00AB26CB" w:rsidP="00AB26CB">
      <w:pPr>
        <w:jc w:val="both"/>
      </w:pPr>
      <w:r w:rsidRPr="00702F78">
        <w:t>Point 2 h) de l’ordre du jour provisoire</w:t>
      </w:r>
    </w:p>
    <w:p w14:paraId="7F4148E7" w14:textId="77777777" w:rsidR="00AB26CB" w:rsidRPr="00732937" w:rsidRDefault="00AB26CB" w:rsidP="00732937">
      <w:r w:rsidRPr="00702F78">
        <w:rPr>
          <w:b/>
          <w:bCs/>
        </w:rPr>
        <w:t>Critères de classification et communication des dangers y relatifs</w:t>
      </w:r>
      <w:r w:rsidR="00732937" w:rsidRPr="00732937">
        <w:rPr>
          <w:bCs/>
        </w:rPr>
        <w:t> :</w:t>
      </w:r>
      <w:r w:rsidRPr="00702F78">
        <w:t xml:space="preserve"> </w:t>
      </w:r>
      <w:r w:rsidR="00732937">
        <w:br/>
      </w:r>
      <w:r w:rsidRPr="00702F78">
        <w:rPr>
          <w:b/>
          <w:bCs/>
        </w:rPr>
        <w:t>Autres questions</w:t>
      </w:r>
    </w:p>
    <w:p w14:paraId="0696D4A9" w14:textId="77777777" w:rsidR="00AB26CB" w:rsidRPr="00702F78" w:rsidRDefault="00AB26CB" w:rsidP="00AB26CB">
      <w:pPr>
        <w:pStyle w:val="HChG"/>
      </w:pPr>
      <w:r w:rsidRPr="00702F78">
        <w:tab/>
      </w:r>
      <w:r w:rsidRPr="00702F78">
        <w:tab/>
        <w:t xml:space="preserve">Référence au Règlement type, liste des critères </w:t>
      </w:r>
      <w:r w:rsidR="00732937">
        <w:br/>
      </w:r>
      <w:r w:rsidRPr="00702F78">
        <w:t>dans les tableaux 2.3.1 et 3.2.2, correction à l’annexe 7 (exemple 10) et présentation des diagrammes de décision</w:t>
      </w:r>
    </w:p>
    <w:p w14:paraId="63690BEB" w14:textId="77777777" w:rsidR="00AB26CB" w:rsidRPr="00702F78" w:rsidRDefault="00AB26CB" w:rsidP="00AB26CB">
      <w:pPr>
        <w:pStyle w:val="H1G"/>
      </w:pPr>
      <w:r w:rsidRPr="00702F78">
        <w:tab/>
      </w:r>
      <w:r w:rsidRPr="00702F78">
        <w:tab/>
        <w:t>Note du secrétariat</w:t>
      </w:r>
      <w:r w:rsidRPr="00702F78">
        <w:rPr>
          <w:rStyle w:val="FootnoteReference"/>
          <w:b w:val="0"/>
          <w:bCs/>
          <w:sz w:val="20"/>
          <w:vertAlign w:val="baseline"/>
        </w:rPr>
        <w:footnoteReference w:customMarkFollows="1" w:id="2"/>
        <w:t>*</w:t>
      </w:r>
    </w:p>
    <w:p w14:paraId="4FFB1CDF" w14:textId="77777777" w:rsidR="00AB26CB" w:rsidRPr="00702F78" w:rsidRDefault="00AB26CB" w:rsidP="00AB26CB">
      <w:pPr>
        <w:pStyle w:val="HChG"/>
      </w:pPr>
      <w:r w:rsidRPr="00702F78">
        <w:tab/>
      </w:r>
      <w:r w:rsidRPr="00702F78">
        <w:tab/>
        <w:t>Référence au Règlement type dans le Système général harmonisé (SGH)</w:t>
      </w:r>
    </w:p>
    <w:p w14:paraId="6F8F836E" w14:textId="77777777" w:rsidR="00732937" w:rsidRDefault="00AB26CB" w:rsidP="00732937">
      <w:pPr>
        <w:pStyle w:val="SingleTxtG"/>
        <w:keepNext/>
      </w:pPr>
      <w:r w:rsidRPr="00702F78">
        <w:t>1.</w:t>
      </w:r>
      <w:r w:rsidRPr="00702F78">
        <w:tab/>
        <w:t>Le chapitre 1.2 du Système général harmonisé (SGH), qui définit les termes et les abréviations les plus couramment utilisés dans le document, contient actuellement l’entrée suivante, consacrée au Règlement type</w:t>
      </w:r>
      <w:r w:rsidR="00732937" w:rsidRPr="00732937">
        <w:t> :</w:t>
      </w:r>
    </w:p>
    <w:p w14:paraId="6FB20CCB" w14:textId="77777777" w:rsidR="00AB26CB" w:rsidRPr="00702F78" w:rsidRDefault="00732937" w:rsidP="00AB26CB">
      <w:pPr>
        <w:pStyle w:val="SingleTxtG"/>
        <w:ind w:left="1701"/>
        <w:rPr>
          <w:iCs/>
        </w:rPr>
      </w:pPr>
      <w:r w:rsidRPr="00732937">
        <w:rPr>
          <w:iCs/>
        </w:rPr>
        <w:t>« </w:t>
      </w:r>
      <w:r w:rsidR="00AB26CB" w:rsidRPr="00702F78">
        <w:rPr>
          <w:b/>
          <w:bCs/>
          <w:i/>
          <w:iCs/>
        </w:rPr>
        <w:t>Recommandations relatives au transport des marchandises dangereuses, Règlement type,</w:t>
      </w:r>
      <w:r w:rsidR="00AB26CB" w:rsidRPr="00702F78">
        <w:rPr>
          <w:i/>
          <w:iCs/>
        </w:rPr>
        <w:t xml:space="preserve"> la dernière édition à jour de la publication des Nations Unies portant ce titre et tout amendement publié y relatif</w:t>
      </w:r>
      <w:r w:rsidRPr="00732937">
        <w:rPr>
          <w:iCs/>
        </w:rPr>
        <w:t> ; »</w:t>
      </w:r>
      <w:r w:rsidR="00AB26CB" w:rsidRPr="00702F78">
        <w:rPr>
          <w:iCs/>
        </w:rPr>
        <w:t>.</w:t>
      </w:r>
    </w:p>
    <w:p w14:paraId="1CA1AF13" w14:textId="77777777" w:rsidR="00AB26CB" w:rsidRPr="00702F78" w:rsidRDefault="00AB26CB" w:rsidP="00732937">
      <w:pPr>
        <w:pStyle w:val="SingleTxtG"/>
        <w:keepNext/>
      </w:pPr>
      <w:r w:rsidRPr="00702F78">
        <w:t>2.</w:t>
      </w:r>
      <w:r w:rsidRPr="00702F78">
        <w:tab/>
        <w:t>Dans le texte du SGH, il est fait référence au Règlement type de façon incohérente</w:t>
      </w:r>
      <w:r w:rsidR="00732937" w:rsidRPr="00732937">
        <w:t> :</w:t>
      </w:r>
    </w:p>
    <w:p w14:paraId="01C631F7" w14:textId="77777777" w:rsidR="00AB26CB" w:rsidRPr="00AB26CB" w:rsidRDefault="00AB26CB" w:rsidP="00AB26CB">
      <w:pPr>
        <w:pStyle w:val="Bullet1G"/>
        <w:rPr>
          <w:i/>
          <w:iCs/>
        </w:rPr>
      </w:pPr>
      <w:r w:rsidRPr="00AB26CB">
        <w:rPr>
          <w:i/>
          <w:iCs/>
        </w:rPr>
        <w:t>Recommandations relatives au transport des marchandises dangereuses, Règlement type</w:t>
      </w:r>
      <w:r w:rsidR="00732937" w:rsidRPr="00732937">
        <w:rPr>
          <w:iCs/>
        </w:rPr>
        <w:t> ;</w:t>
      </w:r>
    </w:p>
    <w:p w14:paraId="2B777DD7" w14:textId="77777777" w:rsidR="00AB26CB" w:rsidRPr="00AB26CB" w:rsidRDefault="00AB26CB" w:rsidP="00AB26CB">
      <w:pPr>
        <w:pStyle w:val="Bullet1G"/>
        <w:rPr>
          <w:i/>
          <w:iCs/>
        </w:rPr>
      </w:pPr>
      <w:r w:rsidRPr="00AB26CB">
        <w:rPr>
          <w:i/>
          <w:iCs/>
        </w:rPr>
        <w:t>Règlement type</w:t>
      </w:r>
      <w:r w:rsidR="00732937" w:rsidRPr="00732937">
        <w:rPr>
          <w:iCs/>
        </w:rPr>
        <w:t> ;</w:t>
      </w:r>
    </w:p>
    <w:p w14:paraId="222361EC" w14:textId="77777777" w:rsidR="00AB26CB" w:rsidRPr="00AB26CB" w:rsidRDefault="00AB26CB" w:rsidP="00AB26CB">
      <w:pPr>
        <w:pStyle w:val="Bullet1G"/>
        <w:rPr>
          <w:i/>
          <w:iCs/>
        </w:rPr>
      </w:pPr>
      <w:r w:rsidRPr="00AB26CB">
        <w:rPr>
          <w:i/>
          <w:iCs/>
        </w:rPr>
        <w:t>Règlement type de l’ONU</w:t>
      </w:r>
      <w:r w:rsidR="00732937" w:rsidRPr="00732937">
        <w:rPr>
          <w:iCs/>
        </w:rPr>
        <w:t> ;</w:t>
      </w:r>
    </w:p>
    <w:p w14:paraId="427069C9" w14:textId="77777777" w:rsidR="00732937" w:rsidRDefault="00AB26CB" w:rsidP="00AB26CB">
      <w:pPr>
        <w:pStyle w:val="Bullet1G"/>
        <w:rPr>
          <w:i/>
          <w:iCs/>
        </w:rPr>
      </w:pPr>
      <w:r w:rsidRPr="00AB26CB">
        <w:rPr>
          <w:i/>
          <w:iCs/>
        </w:rPr>
        <w:t>Recommandations relatives au transport des marchandises dangereuses (Règlement type)</w:t>
      </w:r>
      <w:r w:rsidR="00732937" w:rsidRPr="00732937">
        <w:rPr>
          <w:iCs/>
        </w:rPr>
        <w:t> ;</w:t>
      </w:r>
    </w:p>
    <w:p w14:paraId="6D970FB2" w14:textId="77777777" w:rsidR="00AB26CB" w:rsidRPr="00AB26CB" w:rsidRDefault="00AB26CB" w:rsidP="00AB26CB">
      <w:pPr>
        <w:pStyle w:val="Bullet1G"/>
        <w:rPr>
          <w:i/>
          <w:iCs/>
        </w:rPr>
      </w:pPr>
      <w:r w:rsidRPr="00AB26CB">
        <w:rPr>
          <w:i/>
          <w:iCs/>
        </w:rPr>
        <w:t>Règlement type des Nations Unies pour le transport des marchandises dangereuses.</w:t>
      </w:r>
    </w:p>
    <w:p w14:paraId="57420B09" w14:textId="77777777" w:rsidR="00732937" w:rsidRDefault="00AB26CB" w:rsidP="00AB26CB">
      <w:pPr>
        <w:pStyle w:val="SingleTxtG"/>
      </w:pPr>
      <w:r w:rsidRPr="00702F78">
        <w:lastRenderedPageBreak/>
        <w:t>3.</w:t>
      </w:r>
      <w:r w:rsidRPr="00702F78">
        <w:tab/>
        <w:t>Afin de simplifier, d’abréger et d’harmoniser l’ensemble des références au Règlement type dans le SGH, mais aussi de les aligner sur</w:t>
      </w:r>
      <w:r>
        <w:t xml:space="preserve"> </w:t>
      </w:r>
      <w:r w:rsidRPr="00702F78">
        <w:t>celles employées dans d’autres publications où ce Règlement est cité, le secrétariat invite le Sous-Comité à étudier la proposition ci-après.</w:t>
      </w:r>
    </w:p>
    <w:p w14:paraId="1BAE3D5A" w14:textId="77777777" w:rsidR="00AB26CB" w:rsidRPr="00702F78" w:rsidRDefault="00AB26CB" w:rsidP="00AB26CB">
      <w:pPr>
        <w:pStyle w:val="H1G"/>
      </w:pPr>
      <w:r w:rsidRPr="00702F78">
        <w:tab/>
      </w:r>
      <w:r w:rsidRPr="00702F78">
        <w:tab/>
        <w:t>Proposition</w:t>
      </w:r>
    </w:p>
    <w:p w14:paraId="06745A73" w14:textId="77777777" w:rsidR="00732937" w:rsidRDefault="00AB26CB" w:rsidP="00AB26CB">
      <w:pPr>
        <w:pStyle w:val="SingleTxtG"/>
      </w:pPr>
      <w:r w:rsidRPr="00702F78">
        <w:t>4.</w:t>
      </w:r>
      <w:r w:rsidRPr="00702F78">
        <w:tab/>
        <w:t xml:space="preserve">Chapitre 1.2, définition de </w:t>
      </w:r>
      <w:r w:rsidR="00732937" w:rsidRPr="00732937">
        <w:t>« </w:t>
      </w:r>
      <w:r w:rsidRPr="00AB26CB">
        <w:rPr>
          <w:b/>
          <w:bCs/>
          <w:i/>
          <w:iCs/>
        </w:rPr>
        <w:t>Recommandations relatives au transport des marchandises dangereuses, Règlement type</w:t>
      </w:r>
      <w:r w:rsidR="00732937" w:rsidRPr="00732937">
        <w:t> »</w:t>
      </w:r>
      <w:r w:rsidRPr="00702F78">
        <w:t>, lire</w:t>
      </w:r>
      <w:r w:rsidR="00732937" w:rsidRPr="00732937">
        <w:t> :</w:t>
      </w:r>
    </w:p>
    <w:p w14:paraId="38BE9C75" w14:textId="77777777" w:rsidR="00AB26CB" w:rsidRPr="00702F78" w:rsidRDefault="00732937" w:rsidP="00AB26CB">
      <w:pPr>
        <w:pStyle w:val="SingleTxtG"/>
        <w:ind w:left="1701"/>
      </w:pPr>
      <w:r w:rsidRPr="00732937">
        <w:t>« </w:t>
      </w:r>
      <w:r w:rsidR="00AB26CB" w:rsidRPr="00702F78">
        <w:rPr>
          <w:b/>
          <w:bCs/>
          <w:i/>
          <w:iCs/>
        </w:rPr>
        <w:t>Règlement type de l’ONU</w:t>
      </w:r>
      <w:r w:rsidR="00AB26CB" w:rsidRPr="00702F78">
        <w:t>, le Règlement type annexé à l’édition révisée la plus récente des Recommandations relatives au transport des marchandises dangereuses publiée par l’Organisation des Nations Unies</w:t>
      </w:r>
      <w:r w:rsidRPr="00732937">
        <w:t> ; »</w:t>
      </w:r>
      <w:r w:rsidR="00AB26CB" w:rsidRPr="00702F78">
        <w:t>.</w:t>
      </w:r>
    </w:p>
    <w:p w14:paraId="03851491" w14:textId="77777777" w:rsidR="00732937" w:rsidRDefault="00AB26CB" w:rsidP="00AB26CB">
      <w:pPr>
        <w:pStyle w:val="H4G"/>
      </w:pPr>
      <w:r>
        <w:tab/>
      </w:r>
      <w:r>
        <w:tab/>
      </w:r>
      <w:r w:rsidRPr="00702F78">
        <w:t>Amendement de conséquence</w:t>
      </w:r>
      <w:r w:rsidR="00732937" w:rsidRPr="00732937">
        <w:rPr>
          <w:i w:val="0"/>
        </w:rPr>
        <w:t> :</w:t>
      </w:r>
    </w:p>
    <w:p w14:paraId="2372ACE9" w14:textId="77777777" w:rsidR="00AB26CB" w:rsidRPr="00702F78" w:rsidRDefault="00AB26CB" w:rsidP="00732937">
      <w:pPr>
        <w:pStyle w:val="SingleTxtG"/>
        <w:ind w:firstLine="567"/>
      </w:pPr>
      <w:r w:rsidRPr="00702F78">
        <w:t>Remplacer toutes les références existantes (voir par</w:t>
      </w:r>
      <w:r w:rsidR="00732937">
        <w:t>. </w:t>
      </w:r>
      <w:r w:rsidRPr="00702F78">
        <w:t xml:space="preserve">2 ci-avant) par </w:t>
      </w:r>
      <w:r w:rsidR="00732937" w:rsidRPr="00732937">
        <w:t>« </w:t>
      </w:r>
      <w:r w:rsidRPr="00702F78">
        <w:t>Règlement type de l’ONU</w:t>
      </w:r>
      <w:r w:rsidR="00732937" w:rsidRPr="00732937">
        <w:t> »</w:t>
      </w:r>
      <w:r w:rsidRPr="00702F78">
        <w:t>.</w:t>
      </w:r>
    </w:p>
    <w:p w14:paraId="01601CE6" w14:textId="77777777" w:rsidR="00AB26CB" w:rsidRPr="00702F78" w:rsidRDefault="00AB26CB" w:rsidP="00AB26CB">
      <w:pPr>
        <w:pStyle w:val="HChG"/>
      </w:pPr>
      <w:r w:rsidRPr="00702F78">
        <w:tab/>
      </w:r>
      <w:r w:rsidRPr="00702F78">
        <w:tab/>
        <w:t>Liste des critères dans les tableaux 2.3.1 et 3.2.2</w:t>
      </w:r>
    </w:p>
    <w:p w14:paraId="5F414426" w14:textId="77777777" w:rsidR="00AB26CB" w:rsidRPr="00702F78" w:rsidRDefault="00AB26CB" w:rsidP="00AB26CB">
      <w:pPr>
        <w:pStyle w:val="SingleTxtG"/>
      </w:pPr>
      <w:r w:rsidRPr="00702F78">
        <w:t>5.</w:t>
      </w:r>
      <w:r w:rsidRPr="00702F78">
        <w:tab/>
        <w:t>Dans les tableaux de chaque chapitre des parties 1 à 4 du SGH, les critères sont généralement listés au moyen de lettres, ce qui permet d’y faire référence plus facilement au besoin et réduit le risque de confusion avec la numérotation utilisée pour les catégories de classification. Ce principe est mis en œuvre de façon uniforme dans le SGH, à l’exception des tableaux 2.3.1 et 3.2.2. Pour y remédier, le secrétariat invite le Sous-Comité à examiner la proposition ci-après.</w:t>
      </w:r>
    </w:p>
    <w:p w14:paraId="65E0402B" w14:textId="77777777" w:rsidR="00AB26CB" w:rsidRPr="00702F78" w:rsidRDefault="00AB26CB" w:rsidP="00AB26CB">
      <w:pPr>
        <w:pStyle w:val="H1G"/>
      </w:pPr>
      <w:r w:rsidRPr="00702F78">
        <w:tab/>
      </w:r>
      <w:r w:rsidRPr="00702F78">
        <w:tab/>
        <w:t>Proposition</w:t>
      </w:r>
    </w:p>
    <w:p w14:paraId="670A992C" w14:textId="77777777" w:rsidR="00AB26CB" w:rsidRPr="00702F78" w:rsidRDefault="00AB26CB" w:rsidP="00732937">
      <w:pPr>
        <w:pStyle w:val="SingleTxtG"/>
        <w:keepNext/>
      </w:pPr>
      <w:r w:rsidRPr="00702F78">
        <w:t>6.</w:t>
      </w:r>
      <w:r w:rsidRPr="00702F78">
        <w:tab/>
        <w:t xml:space="preserve">Chapitre 2.3, tableau 2.3.1, colonne </w:t>
      </w:r>
      <w:r w:rsidR="00732937" w:rsidRPr="00732937">
        <w:t>« </w:t>
      </w:r>
      <w:r w:rsidRPr="00702F78">
        <w:t>Critères</w:t>
      </w:r>
      <w:r w:rsidR="00732937" w:rsidRPr="00732937">
        <w:t> » :</w:t>
      </w:r>
    </w:p>
    <w:p w14:paraId="1CA307E0" w14:textId="77777777" w:rsidR="00AB26CB" w:rsidRPr="00AB26CB" w:rsidRDefault="00AB26CB" w:rsidP="00AB26CB">
      <w:pPr>
        <w:pStyle w:val="Bullet1G"/>
      </w:pPr>
      <w:r w:rsidRPr="00AB26CB">
        <w:t xml:space="preserve">Remplacer </w:t>
      </w:r>
      <w:r w:rsidR="00732937" w:rsidRPr="00732937">
        <w:t>« </w:t>
      </w:r>
      <w:r w:rsidRPr="00AB26CB">
        <w:t>1)</w:t>
      </w:r>
      <w:r w:rsidR="00732937" w:rsidRPr="00732937">
        <w:t> »</w:t>
      </w:r>
      <w:r w:rsidRPr="00AB26CB">
        <w:t xml:space="preserve">, </w:t>
      </w:r>
      <w:r w:rsidR="00732937" w:rsidRPr="00732937">
        <w:t>« </w:t>
      </w:r>
      <w:r w:rsidRPr="00AB26CB">
        <w:t>2)</w:t>
      </w:r>
      <w:r w:rsidR="00732937" w:rsidRPr="00732937">
        <w:t> »</w:t>
      </w:r>
      <w:r w:rsidRPr="00AB26CB">
        <w:t xml:space="preserve"> et </w:t>
      </w:r>
      <w:r w:rsidR="00732937" w:rsidRPr="00732937">
        <w:t>« </w:t>
      </w:r>
      <w:r w:rsidRPr="00AB26CB">
        <w:t>3)</w:t>
      </w:r>
      <w:r w:rsidR="00732937" w:rsidRPr="00732937">
        <w:t> »</w:t>
      </w:r>
      <w:r w:rsidRPr="00AB26CB">
        <w:t xml:space="preserve"> par </w:t>
      </w:r>
      <w:r w:rsidR="00732937" w:rsidRPr="00732937">
        <w:t>« </w:t>
      </w:r>
      <w:r w:rsidRPr="00AB26CB">
        <w:t>a)</w:t>
      </w:r>
      <w:r w:rsidR="00732937" w:rsidRPr="00732937">
        <w:t> »</w:t>
      </w:r>
      <w:r w:rsidRPr="00AB26CB">
        <w:t xml:space="preserve">, </w:t>
      </w:r>
      <w:r w:rsidR="00732937" w:rsidRPr="00732937">
        <w:t>« </w:t>
      </w:r>
      <w:r w:rsidRPr="00AB26CB">
        <w:t>b)</w:t>
      </w:r>
      <w:r w:rsidR="00732937" w:rsidRPr="00732937">
        <w:t> »</w:t>
      </w:r>
      <w:r w:rsidRPr="00AB26CB">
        <w:t xml:space="preserve"> et </w:t>
      </w:r>
      <w:r w:rsidR="00732937" w:rsidRPr="00732937">
        <w:t>« </w:t>
      </w:r>
      <w:r w:rsidRPr="00AB26CB">
        <w:t>c)</w:t>
      </w:r>
      <w:r w:rsidR="00732937" w:rsidRPr="00732937">
        <w:t> » ;</w:t>
      </w:r>
    </w:p>
    <w:p w14:paraId="3571DC84" w14:textId="77777777" w:rsidR="00AB26CB" w:rsidRPr="00702F78" w:rsidRDefault="00AB26CB" w:rsidP="00AB26CB">
      <w:pPr>
        <w:pStyle w:val="Bullet1G"/>
      </w:pPr>
      <w:r w:rsidRPr="00AB26CB">
        <w:t>Rem</w:t>
      </w:r>
      <w:r w:rsidRPr="00702F78">
        <w:t xml:space="preserve">placer </w:t>
      </w:r>
      <w:r w:rsidR="00732937" w:rsidRPr="00732937">
        <w:t>« </w:t>
      </w:r>
      <w:r w:rsidRPr="00702F78">
        <w:t>a)</w:t>
      </w:r>
      <w:r w:rsidR="00732937" w:rsidRPr="00732937">
        <w:t> »</w:t>
      </w:r>
      <w:r w:rsidRPr="00702F78">
        <w:t xml:space="preserve">, </w:t>
      </w:r>
      <w:r w:rsidR="00732937" w:rsidRPr="00732937">
        <w:t>« </w:t>
      </w:r>
      <w:r w:rsidRPr="00702F78">
        <w:t>b)</w:t>
      </w:r>
      <w:r w:rsidR="00732937" w:rsidRPr="00732937">
        <w:t> »</w:t>
      </w:r>
      <w:r w:rsidRPr="00702F78">
        <w:t xml:space="preserve"> et </w:t>
      </w:r>
      <w:r w:rsidR="00732937" w:rsidRPr="00732937">
        <w:t>« </w:t>
      </w:r>
      <w:r w:rsidRPr="00702F78">
        <w:t>c)</w:t>
      </w:r>
      <w:r w:rsidR="00732937" w:rsidRPr="00732937">
        <w:t> »</w:t>
      </w:r>
      <w:r w:rsidRPr="00702F78">
        <w:t xml:space="preserve"> par </w:t>
      </w:r>
      <w:r w:rsidR="00732937" w:rsidRPr="00732937">
        <w:t>« </w:t>
      </w:r>
      <w:r w:rsidRPr="00702F78">
        <w:t>i)</w:t>
      </w:r>
      <w:r w:rsidR="00732937" w:rsidRPr="00732937">
        <w:t> »</w:t>
      </w:r>
      <w:r w:rsidRPr="00702F78">
        <w:t xml:space="preserve">, </w:t>
      </w:r>
      <w:r w:rsidR="00732937" w:rsidRPr="00732937">
        <w:t>« </w:t>
      </w:r>
      <w:r w:rsidRPr="00702F78">
        <w:t>ii)</w:t>
      </w:r>
      <w:r w:rsidR="00732937" w:rsidRPr="00732937">
        <w:t> »</w:t>
      </w:r>
      <w:r w:rsidRPr="00702F78">
        <w:t xml:space="preserve"> et </w:t>
      </w:r>
      <w:r w:rsidR="00732937" w:rsidRPr="00732937">
        <w:t>« </w:t>
      </w:r>
      <w:r w:rsidRPr="00702F78">
        <w:t>iii)</w:t>
      </w:r>
      <w:r w:rsidR="00732937" w:rsidRPr="00732937">
        <w:t> »</w:t>
      </w:r>
      <w:r w:rsidRPr="00702F78">
        <w:t>.</w:t>
      </w:r>
    </w:p>
    <w:p w14:paraId="6C257A02" w14:textId="77777777" w:rsidR="00AB26CB" w:rsidRPr="00702F78" w:rsidRDefault="00AB26CB" w:rsidP="00732937">
      <w:pPr>
        <w:pStyle w:val="SingleTxtG"/>
        <w:keepNext/>
      </w:pPr>
      <w:r w:rsidRPr="00702F78">
        <w:t>7.</w:t>
      </w:r>
      <w:r w:rsidRPr="00702F78">
        <w:tab/>
        <w:t xml:space="preserve">Chapitre 3.2, tableau 3.2.2, colonne </w:t>
      </w:r>
      <w:r w:rsidR="00732937" w:rsidRPr="00732937">
        <w:t>« </w:t>
      </w:r>
      <w:r w:rsidRPr="00702F78">
        <w:t>Critères</w:t>
      </w:r>
      <w:r w:rsidR="00732937" w:rsidRPr="00732937">
        <w:t> » :</w:t>
      </w:r>
    </w:p>
    <w:p w14:paraId="74C6988F" w14:textId="77777777" w:rsidR="00AB26CB" w:rsidRPr="00702F78" w:rsidRDefault="00AB26CB" w:rsidP="00AB26CB">
      <w:pPr>
        <w:pStyle w:val="Bullet1G"/>
      </w:pPr>
      <w:r w:rsidRPr="00702F78">
        <w:t xml:space="preserve">Remplacer </w:t>
      </w:r>
      <w:r w:rsidR="00732937" w:rsidRPr="00732937">
        <w:t>« </w:t>
      </w:r>
      <w:r w:rsidRPr="00702F78">
        <w:t>1)</w:t>
      </w:r>
      <w:r w:rsidR="00732937" w:rsidRPr="00732937">
        <w:t> »</w:t>
      </w:r>
      <w:r w:rsidRPr="00702F78">
        <w:t xml:space="preserve">, </w:t>
      </w:r>
      <w:r w:rsidR="00732937" w:rsidRPr="00732937">
        <w:t>« </w:t>
      </w:r>
      <w:r w:rsidRPr="00702F78">
        <w:t>2)</w:t>
      </w:r>
      <w:r w:rsidR="00732937" w:rsidRPr="00732937">
        <w:t> »</w:t>
      </w:r>
      <w:r w:rsidRPr="00702F78">
        <w:t xml:space="preserve"> et </w:t>
      </w:r>
      <w:r w:rsidR="00732937" w:rsidRPr="00732937">
        <w:t>« </w:t>
      </w:r>
      <w:r w:rsidRPr="00702F78">
        <w:t>3)</w:t>
      </w:r>
      <w:r w:rsidR="00732937" w:rsidRPr="00732937">
        <w:t> »</w:t>
      </w:r>
      <w:r w:rsidRPr="00702F78">
        <w:t xml:space="preserve"> par </w:t>
      </w:r>
      <w:r w:rsidR="00732937" w:rsidRPr="00732937">
        <w:t>« </w:t>
      </w:r>
      <w:r w:rsidRPr="00702F78">
        <w:t>a)</w:t>
      </w:r>
      <w:r w:rsidR="00732937" w:rsidRPr="00732937">
        <w:t> »</w:t>
      </w:r>
      <w:r w:rsidRPr="00702F78">
        <w:t xml:space="preserve">, </w:t>
      </w:r>
      <w:r w:rsidR="00732937" w:rsidRPr="00732937">
        <w:t>« </w:t>
      </w:r>
      <w:r w:rsidRPr="00702F78">
        <w:t>b)</w:t>
      </w:r>
      <w:r w:rsidR="00732937" w:rsidRPr="00732937">
        <w:t> »</w:t>
      </w:r>
      <w:r w:rsidRPr="00702F78">
        <w:t xml:space="preserve"> et </w:t>
      </w:r>
      <w:r w:rsidR="00732937" w:rsidRPr="00732937">
        <w:t>« </w:t>
      </w:r>
      <w:r w:rsidRPr="00702F78">
        <w:t>c)</w:t>
      </w:r>
      <w:r w:rsidR="00732937" w:rsidRPr="00732937">
        <w:t> »</w:t>
      </w:r>
      <w:r w:rsidRPr="00702F78">
        <w:t>.</w:t>
      </w:r>
    </w:p>
    <w:p w14:paraId="01D78D48" w14:textId="77777777" w:rsidR="00AB26CB" w:rsidRPr="00702F78" w:rsidRDefault="00AB26CB" w:rsidP="00AB26CB">
      <w:pPr>
        <w:pStyle w:val="HChG"/>
      </w:pPr>
      <w:r w:rsidRPr="00702F78">
        <w:tab/>
      </w:r>
      <w:r w:rsidRPr="00702F78">
        <w:tab/>
        <w:t>Correction à l’annexe 7, exemple 10</w:t>
      </w:r>
    </w:p>
    <w:p w14:paraId="4553A2DA" w14:textId="77777777" w:rsidR="00AB26CB" w:rsidRPr="00702F78" w:rsidRDefault="00AB26CB" w:rsidP="00AB26CB">
      <w:pPr>
        <w:pStyle w:val="SingleTxtG"/>
      </w:pPr>
      <w:r w:rsidRPr="00702F78">
        <w:t>8.</w:t>
      </w:r>
      <w:r w:rsidRPr="00702F78">
        <w:tab/>
        <w:t>Le secrétariat a été informé d’une erreur d’impression dans l’exemple 10 de l’annexe 7 (version anglaise)</w:t>
      </w:r>
      <w:r w:rsidR="00732937" w:rsidRPr="00732937">
        <w:t> :</w:t>
      </w:r>
      <w:r w:rsidRPr="00702F78">
        <w:t xml:space="preserve"> sous le cas de figure B, il manque la mention </w:t>
      </w:r>
      <w:r w:rsidR="00732937" w:rsidRPr="00732937">
        <w:t>« </w:t>
      </w:r>
      <w:r w:rsidRPr="00702F78">
        <w:t xml:space="preserve">Read full label </w:t>
      </w:r>
      <w:proofErr w:type="spellStart"/>
      <w:r w:rsidRPr="00702F78">
        <w:t>enclosed</w:t>
      </w:r>
      <w:proofErr w:type="spellEnd"/>
      <w:r w:rsidR="00732937" w:rsidRPr="00732937">
        <w:t> »</w:t>
      </w:r>
      <w:r w:rsidRPr="00702F78">
        <w:t xml:space="preserve"> dans la figure représentant l’étiquette d’un récipient intérieur (pour information, voir la liste récapitulative des amendements au SGH, dans le document ST/SG/AC.10/46/Add.3).</w:t>
      </w:r>
    </w:p>
    <w:p w14:paraId="349B58AB" w14:textId="77777777" w:rsidR="00AB26CB" w:rsidRPr="00702F78" w:rsidRDefault="00AB26CB" w:rsidP="00AB26CB">
      <w:pPr>
        <w:pStyle w:val="SingleTxtG"/>
      </w:pPr>
      <w:r w:rsidRPr="00702F78">
        <w:t>9.</w:t>
      </w:r>
      <w:r w:rsidRPr="00702F78">
        <w:tab/>
        <w:t>Le Sous-Comité est invité à noter que la correction suivante sera intégrée à un rectificatif à la huitième édition révisée du SGH. Cette correction est sans objet en français.</w:t>
      </w:r>
    </w:p>
    <w:p w14:paraId="46A56FF0" w14:textId="77777777" w:rsidR="00AB26CB" w:rsidRPr="00702F78" w:rsidRDefault="00AB26CB" w:rsidP="00AB26CB">
      <w:pPr>
        <w:pStyle w:val="H1G"/>
      </w:pPr>
      <w:r>
        <w:tab/>
      </w:r>
      <w:r>
        <w:tab/>
      </w:r>
      <w:r w:rsidRPr="00702F78">
        <w:t>Correction</w:t>
      </w:r>
    </w:p>
    <w:p w14:paraId="53C41F88" w14:textId="77777777" w:rsidR="00AB26CB" w:rsidRPr="00AB26CB" w:rsidRDefault="00732937" w:rsidP="00AB26CB">
      <w:pPr>
        <w:pStyle w:val="SingleTxtG"/>
        <w:rPr>
          <w:b/>
          <w:bCs/>
        </w:rPr>
      </w:pPr>
      <w:r w:rsidRPr="00732937">
        <w:t>« </w:t>
      </w:r>
      <w:r w:rsidR="00AB26CB" w:rsidRPr="00AB26CB">
        <w:rPr>
          <w:b/>
          <w:bCs/>
        </w:rPr>
        <w:t>Annexe 7, exemple 10, cas de figure B</w:t>
      </w:r>
    </w:p>
    <w:p w14:paraId="25FA79FA" w14:textId="77777777" w:rsidR="00AB26CB" w:rsidRPr="00702F78" w:rsidRDefault="00AB26CB" w:rsidP="00732937">
      <w:pPr>
        <w:pStyle w:val="SingleTxtG"/>
        <w:ind w:firstLine="567"/>
      </w:pPr>
      <w:r w:rsidRPr="00702F78">
        <w:t>Dans la version anglaise, remplacer la figure représentant un exemple d’étiquette d’un récipient intérieur pour l’échantillon 1 par la figure ci-dessous</w:t>
      </w:r>
      <w:r w:rsidR="00732937" w:rsidRPr="00732937">
        <w:t> :</w:t>
      </w:r>
    </w:p>
    <w:p w14:paraId="15262FEF" w14:textId="77777777" w:rsidR="00AB26CB" w:rsidRPr="00702F78" w:rsidRDefault="00AB26CB" w:rsidP="00732937">
      <w:pPr>
        <w:pStyle w:val="SingleTxtG"/>
        <w:jc w:val="center"/>
      </w:pPr>
      <w:r w:rsidRPr="00702F78">
        <w:rPr>
          <w:noProof/>
          <w:lang w:eastAsia="fr-FR"/>
        </w:rPr>
        <w:lastRenderedPageBreak/>
        <w:drawing>
          <wp:inline distT="0" distB="0" distL="0" distR="0" wp14:anchorId="2BB42791" wp14:editId="395EC01D">
            <wp:extent cx="2645544" cy="2604578"/>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9907" cy="2628564"/>
                    </a:xfrm>
                    <a:prstGeom prst="rect">
                      <a:avLst/>
                    </a:prstGeom>
                    <a:noFill/>
                    <a:ln>
                      <a:noFill/>
                    </a:ln>
                  </pic:spPr>
                </pic:pic>
              </a:graphicData>
            </a:graphic>
          </wp:inline>
        </w:drawing>
      </w:r>
      <w:r w:rsidR="00732937" w:rsidRPr="00732937">
        <w:t>»</w:t>
      </w:r>
      <w:r w:rsidRPr="00702F78">
        <w:t>.</w:t>
      </w:r>
    </w:p>
    <w:p w14:paraId="75099B91" w14:textId="77777777" w:rsidR="00AB26CB" w:rsidRPr="00702F78" w:rsidRDefault="00AB26CB" w:rsidP="00AB26CB">
      <w:pPr>
        <w:pStyle w:val="HChG"/>
      </w:pPr>
      <w:r w:rsidRPr="00702F78">
        <w:tab/>
      </w:r>
      <w:r w:rsidRPr="00702F78">
        <w:tab/>
        <w:t>Présentation des diagrammes de décision dans le SGH</w:t>
      </w:r>
    </w:p>
    <w:p w14:paraId="0CA20F47" w14:textId="77777777" w:rsidR="00AB26CB" w:rsidRPr="00702F78" w:rsidRDefault="00AB26CB" w:rsidP="00AB26CB">
      <w:pPr>
        <w:pStyle w:val="SingleTxtG"/>
      </w:pPr>
      <w:r w:rsidRPr="00702F78">
        <w:t>10.</w:t>
      </w:r>
      <w:r w:rsidRPr="00702F78">
        <w:tab/>
        <w:t>Dans le SGH, les diagrammes de décision sont des encadrés et des flèches avec un effet d’ombre, dont l’apparence est inchangée depuis la première édition.</w:t>
      </w:r>
    </w:p>
    <w:p w14:paraId="4030C52D" w14:textId="77777777" w:rsidR="00AB26CB" w:rsidRPr="00702F78" w:rsidRDefault="00AB26CB" w:rsidP="00AB26CB">
      <w:pPr>
        <w:pStyle w:val="SingleTxtG"/>
      </w:pPr>
      <w:r w:rsidRPr="00702F78">
        <w:t>11.</w:t>
      </w:r>
      <w:r w:rsidRPr="00702F78">
        <w:tab/>
        <w:t>Il y a quelques années déjà,</w:t>
      </w:r>
      <w:r>
        <w:t xml:space="preserve"> </w:t>
      </w:r>
      <w:r w:rsidRPr="00702F78">
        <w:t>à la suite de mises à jour de logiciels, le secrétariat a commencé à rencontrer des difficultés avec ces diagrammes au moment de préparer les éditions révisées</w:t>
      </w:r>
      <w:r>
        <w:t xml:space="preserve"> </w:t>
      </w:r>
      <w:r w:rsidRPr="00702F78">
        <w:t>complètes du SGH. Ces difficultés résultent de problèmes de compatibilité de fichiers entre les versions successives du programme de traitement de texte utilisé.</w:t>
      </w:r>
    </w:p>
    <w:p w14:paraId="2A091389" w14:textId="77777777" w:rsidR="00AB26CB" w:rsidRPr="00702F78" w:rsidRDefault="00AB26CB" w:rsidP="00AB26CB">
      <w:pPr>
        <w:pStyle w:val="SingleTxtG"/>
      </w:pPr>
      <w:r w:rsidRPr="00702F78">
        <w:t>12.</w:t>
      </w:r>
      <w:r w:rsidRPr="00702F78">
        <w:tab/>
        <w:t>Même si le secrétariat est jusqu’à présent parvenu à surmonter ces difficultés, de nouveaux problèmes de compatibilité sont survenus récemment, auxquels les solutions trouvées auparavant ne s’appliquent pas. La figure ci-dessous illustre certains problèmes rencontrés.</w:t>
      </w:r>
    </w:p>
    <w:p w14:paraId="393F2D7C" w14:textId="77777777" w:rsidR="00AB26CB" w:rsidRPr="00702F78" w:rsidRDefault="00AB26CB" w:rsidP="00732937">
      <w:pPr>
        <w:pStyle w:val="SingleTxtG"/>
        <w:jc w:val="center"/>
      </w:pPr>
      <w:r w:rsidRPr="00702F78">
        <w:rPr>
          <w:noProof/>
          <w:lang w:eastAsia="fr-FR"/>
        </w:rPr>
        <w:drawing>
          <wp:inline distT="0" distB="0" distL="0" distR="0" wp14:anchorId="02FCFB98" wp14:editId="3E4CAEA4">
            <wp:extent cx="3504376" cy="3750049"/>
            <wp:effectExtent l="0" t="0" r="1270" b="31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8004" cy="4010756"/>
                    </a:xfrm>
                    <a:prstGeom prst="rect">
                      <a:avLst/>
                    </a:prstGeom>
                  </pic:spPr>
                </pic:pic>
              </a:graphicData>
            </a:graphic>
          </wp:inline>
        </w:drawing>
      </w:r>
    </w:p>
    <w:p w14:paraId="47C0C929" w14:textId="77777777" w:rsidR="00AB26CB" w:rsidRPr="00702F78" w:rsidRDefault="00AB26CB" w:rsidP="00AB26CB">
      <w:pPr>
        <w:pStyle w:val="H1G"/>
      </w:pPr>
      <w:r w:rsidRPr="00702F78">
        <w:lastRenderedPageBreak/>
        <w:tab/>
      </w:r>
      <w:r w:rsidRPr="00702F78">
        <w:tab/>
        <w:t>Mesure demandée</w:t>
      </w:r>
    </w:p>
    <w:p w14:paraId="49F1FEF0" w14:textId="77777777" w:rsidR="00AB26CB" w:rsidRPr="00702F78" w:rsidRDefault="00AB26CB" w:rsidP="00AB26CB">
      <w:pPr>
        <w:pStyle w:val="SingleTxtG"/>
      </w:pPr>
      <w:r w:rsidRPr="00702F78">
        <w:t>13.</w:t>
      </w:r>
      <w:r w:rsidRPr="00702F78">
        <w:tab/>
        <w:t>Vu ce qui précède, le secrétariat invite le Sous-Comité à noter que, pour la prochaine édition du SGH, tous les diagrammes de décision seront convertis dans un format compatible avec la dernière version du programme de traitement de texte utilisé, ce qui pourrait modifier leur apparence.</w:t>
      </w:r>
    </w:p>
    <w:p w14:paraId="63CE1D3E" w14:textId="77777777" w:rsidR="00446FE5" w:rsidRPr="00AB26CB" w:rsidRDefault="00AB26CB" w:rsidP="00AB26CB">
      <w:pPr>
        <w:pStyle w:val="SingleTxtG"/>
        <w:spacing w:before="240" w:after="0"/>
        <w:jc w:val="center"/>
        <w:rPr>
          <w:u w:val="single"/>
        </w:rPr>
      </w:pPr>
      <w:r>
        <w:rPr>
          <w:u w:val="single"/>
        </w:rPr>
        <w:tab/>
      </w:r>
      <w:r>
        <w:rPr>
          <w:u w:val="single"/>
        </w:rPr>
        <w:tab/>
      </w:r>
      <w:r>
        <w:rPr>
          <w:u w:val="single"/>
        </w:rPr>
        <w:tab/>
      </w:r>
    </w:p>
    <w:sectPr w:rsidR="00446FE5" w:rsidRPr="00AB26CB" w:rsidSect="00AB26C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4D85C" w14:textId="77777777" w:rsidR="006463DD" w:rsidRDefault="006463DD" w:rsidP="00F95C08">
      <w:pPr>
        <w:spacing w:line="240" w:lineRule="auto"/>
      </w:pPr>
    </w:p>
  </w:endnote>
  <w:endnote w:type="continuationSeparator" w:id="0">
    <w:p w14:paraId="6F78CB23" w14:textId="77777777" w:rsidR="006463DD" w:rsidRPr="00AC3823" w:rsidRDefault="006463DD" w:rsidP="00AC3823">
      <w:pPr>
        <w:pStyle w:val="Footer"/>
      </w:pPr>
    </w:p>
  </w:endnote>
  <w:endnote w:type="continuationNotice" w:id="1">
    <w:p w14:paraId="4F47CBB5" w14:textId="77777777" w:rsidR="006463DD" w:rsidRDefault="006463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9FEA" w14:textId="77777777" w:rsidR="00AB26CB" w:rsidRPr="00AB26CB" w:rsidRDefault="00AB26CB" w:rsidP="00AB26CB">
    <w:pPr>
      <w:pStyle w:val="Footer"/>
      <w:tabs>
        <w:tab w:val="right" w:pos="9638"/>
      </w:tabs>
    </w:pPr>
    <w:r w:rsidRPr="00AB26CB">
      <w:rPr>
        <w:b/>
        <w:sz w:val="18"/>
      </w:rPr>
      <w:fldChar w:fldCharType="begin"/>
    </w:r>
    <w:r w:rsidRPr="00AB26CB">
      <w:rPr>
        <w:b/>
        <w:sz w:val="18"/>
      </w:rPr>
      <w:instrText xml:space="preserve"> PAGE  \* MERGEFORMAT </w:instrText>
    </w:r>
    <w:r w:rsidRPr="00AB26CB">
      <w:rPr>
        <w:b/>
        <w:sz w:val="18"/>
      </w:rPr>
      <w:fldChar w:fldCharType="separate"/>
    </w:r>
    <w:r w:rsidRPr="00AB26CB">
      <w:rPr>
        <w:b/>
        <w:noProof/>
        <w:sz w:val="18"/>
      </w:rPr>
      <w:t>2</w:t>
    </w:r>
    <w:r w:rsidRPr="00AB26CB">
      <w:rPr>
        <w:b/>
        <w:sz w:val="18"/>
      </w:rPr>
      <w:fldChar w:fldCharType="end"/>
    </w:r>
    <w:r>
      <w:rPr>
        <w:b/>
        <w:sz w:val="18"/>
      </w:rPr>
      <w:tab/>
    </w:r>
    <w:r>
      <w:t>GE.19-15649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FBB8" w14:textId="77777777" w:rsidR="00AB26CB" w:rsidRPr="00AB26CB" w:rsidRDefault="00AB26CB" w:rsidP="00AB26CB">
    <w:pPr>
      <w:pStyle w:val="Footer"/>
      <w:tabs>
        <w:tab w:val="right" w:pos="9638"/>
      </w:tabs>
      <w:rPr>
        <w:b/>
        <w:sz w:val="18"/>
      </w:rPr>
    </w:pPr>
    <w:r>
      <w:t>GE.19-15649</w:t>
    </w:r>
    <w:r>
      <w:tab/>
    </w:r>
    <w:r w:rsidRPr="00AB26CB">
      <w:rPr>
        <w:b/>
        <w:sz w:val="18"/>
      </w:rPr>
      <w:fldChar w:fldCharType="begin"/>
    </w:r>
    <w:r w:rsidRPr="00AB26CB">
      <w:rPr>
        <w:b/>
        <w:sz w:val="18"/>
      </w:rPr>
      <w:instrText xml:space="preserve"> PAGE  \* MERGEFORMAT </w:instrText>
    </w:r>
    <w:r w:rsidRPr="00AB26CB">
      <w:rPr>
        <w:b/>
        <w:sz w:val="18"/>
      </w:rPr>
      <w:fldChar w:fldCharType="separate"/>
    </w:r>
    <w:r w:rsidRPr="00AB26CB">
      <w:rPr>
        <w:b/>
        <w:noProof/>
        <w:sz w:val="18"/>
      </w:rPr>
      <w:t>3</w:t>
    </w:r>
    <w:r w:rsidRPr="00AB26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F7BB" w14:textId="77777777" w:rsidR="0068456F" w:rsidRPr="00AB26CB" w:rsidRDefault="00AB26CB" w:rsidP="00AB26CB">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3AC10170" wp14:editId="1961035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19-15649  (F)    211019    231019</w:t>
    </w:r>
    <w:r>
      <w:rPr>
        <w:sz w:val="20"/>
      </w:rPr>
      <w:br/>
    </w:r>
    <w:r w:rsidRPr="00AB26CB">
      <w:rPr>
        <w:rFonts w:ascii="C39T30Lfz" w:hAnsi="C39T30Lfz"/>
        <w:sz w:val="56"/>
      </w:rPr>
      <w:t></w:t>
    </w:r>
    <w:r w:rsidRPr="00AB26CB">
      <w:rPr>
        <w:rFonts w:ascii="C39T30Lfz" w:hAnsi="C39T30Lfz"/>
        <w:sz w:val="56"/>
      </w:rPr>
      <w:t></w:t>
    </w:r>
    <w:r w:rsidRPr="00AB26CB">
      <w:rPr>
        <w:rFonts w:ascii="C39T30Lfz" w:hAnsi="C39T30Lfz"/>
        <w:sz w:val="56"/>
      </w:rPr>
      <w:t></w:t>
    </w:r>
    <w:r w:rsidRPr="00AB26CB">
      <w:rPr>
        <w:rFonts w:ascii="C39T30Lfz" w:hAnsi="C39T30Lfz"/>
        <w:sz w:val="56"/>
      </w:rPr>
      <w:t></w:t>
    </w:r>
    <w:r w:rsidRPr="00AB26CB">
      <w:rPr>
        <w:rFonts w:ascii="C39T30Lfz" w:hAnsi="C39T30Lfz"/>
        <w:sz w:val="56"/>
      </w:rPr>
      <w:t></w:t>
    </w:r>
    <w:r w:rsidRPr="00AB26CB">
      <w:rPr>
        <w:rFonts w:ascii="C39T30Lfz" w:hAnsi="C39T30Lfz"/>
        <w:sz w:val="56"/>
      </w:rPr>
      <w:t></w:t>
    </w:r>
    <w:r w:rsidRPr="00AB26CB">
      <w:rPr>
        <w:rFonts w:ascii="C39T30Lfz" w:hAnsi="C39T30Lfz"/>
        <w:sz w:val="56"/>
      </w:rPr>
      <w:t></w:t>
    </w:r>
    <w:r w:rsidRPr="00AB26CB">
      <w:rPr>
        <w:rFonts w:ascii="C39T30Lfz" w:hAnsi="C39T30Lfz"/>
        <w:sz w:val="56"/>
      </w:rPr>
      <w:t></w:t>
    </w:r>
    <w:r w:rsidRPr="00AB26CB">
      <w:rPr>
        <w:rFonts w:ascii="C39T30Lfz" w:hAnsi="C39T30Lfz"/>
        <w:sz w:val="56"/>
      </w:rPr>
      <w:t></w:t>
    </w:r>
    <w:r>
      <w:rPr>
        <w:noProof/>
        <w:sz w:val="20"/>
      </w:rPr>
      <w:drawing>
        <wp:anchor distT="0" distB="0" distL="114300" distR="114300" simplePos="0" relativeHeight="251658240" behindDoc="0" locked="0" layoutInCell="1" allowOverlap="1" wp14:anchorId="39CA491F" wp14:editId="2063F14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9/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9/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49ACE" w14:textId="77777777" w:rsidR="006463DD" w:rsidRPr="00AC3823" w:rsidRDefault="006463DD" w:rsidP="00AC3823">
      <w:pPr>
        <w:pStyle w:val="Footer"/>
        <w:tabs>
          <w:tab w:val="right" w:pos="2155"/>
        </w:tabs>
        <w:spacing w:after="80" w:line="240" w:lineRule="atLeast"/>
        <w:ind w:left="680"/>
        <w:rPr>
          <w:u w:val="single"/>
        </w:rPr>
      </w:pPr>
      <w:r>
        <w:rPr>
          <w:u w:val="single"/>
        </w:rPr>
        <w:tab/>
      </w:r>
    </w:p>
  </w:footnote>
  <w:footnote w:type="continuationSeparator" w:id="0">
    <w:p w14:paraId="0514C1C3" w14:textId="77777777" w:rsidR="006463DD" w:rsidRPr="00AC3823" w:rsidRDefault="006463DD" w:rsidP="00AC3823">
      <w:pPr>
        <w:pStyle w:val="Footer"/>
        <w:tabs>
          <w:tab w:val="right" w:pos="2155"/>
        </w:tabs>
        <w:spacing w:after="80" w:line="240" w:lineRule="atLeast"/>
        <w:ind w:left="680"/>
        <w:rPr>
          <w:u w:val="single"/>
        </w:rPr>
      </w:pPr>
      <w:r>
        <w:rPr>
          <w:u w:val="single"/>
        </w:rPr>
        <w:tab/>
      </w:r>
    </w:p>
  </w:footnote>
  <w:footnote w:type="continuationNotice" w:id="1">
    <w:p w14:paraId="7ED134DD" w14:textId="77777777" w:rsidR="006463DD" w:rsidRPr="00AC3823" w:rsidRDefault="006463DD">
      <w:pPr>
        <w:spacing w:line="240" w:lineRule="auto"/>
        <w:rPr>
          <w:sz w:val="2"/>
          <w:szCs w:val="2"/>
        </w:rPr>
      </w:pPr>
    </w:p>
  </w:footnote>
  <w:footnote w:id="2">
    <w:p w14:paraId="352CAB94" w14:textId="77777777" w:rsidR="00AB26CB" w:rsidRPr="00702F78" w:rsidRDefault="00AB26CB" w:rsidP="00AB26CB">
      <w:pPr>
        <w:pStyle w:val="FootnoteText"/>
        <w:rPr>
          <w:lang w:val="fr-FR"/>
        </w:rPr>
      </w:pPr>
      <w:r w:rsidRPr="00702F78">
        <w:rPr>
          <w:sz w:val="20"/>
          <w:lang w:val="fr-FR"/>
        </w:rPr>
        <w:tab/>
        <w:t>*</w:t>
      </w:r>
      <w:r w:rsidRPr="00702F78">
        <w:rPr>
          <w:sz w:val="20"/>
          <w:lang w:val="fr-FR"/>
        </w:rPr>
        <w:tab/>
      </w:r>
      <w:r w:rsidRPr="00702F78">
        <w:rPr>
          <w:lang w:val="fr-FR"/>
        </w:rPr>
        <w:t>Conformément au programme de travail du Sous-Comité pour la période 2019-2020, approuvé par le Comité à sa neuvième session (voir ST/SG/AC.10/C.3/108, par.</w:t>
      </w:r>
      <w:r w:rsidR="00732937">
        <w:rPr>
          <w:lang w:val="fr-FR"/>
        </w:rPr>
        <w:t> </w:t>
      </w:r>
      <w:r w:rsidRPr="00702F78">
        <w:rPr>
          <w:lang w:val="fr-FR"/>
        </w:rPr>
        <w:t>141</w:t>
      </w:r>
      <w:r w:rsidR="00732937">
        <w:rPr>
          <w:lang w:val="fr-FR"/>
        </w:rPr>
        <w:t>,</w:t>
      </w:r>
      <w:r w:rsidRPr="00702F78">
        <w:rPr>
          <w:lang w:val="fr-FR"/>
        </w:rPr>
        <w:t xml:space="preserve"> et ST/SG/AC.10/46, par.</w:t>
      </w:r>
      <w:r w:rsidR="00732937">
        <w:rPr>
          <w:lang w:val="fr-FR"/>
        </w:rPr>
        <w:t> </w:t>
      </w:r>
      <w:r w:rsidRPr="00702F78">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2321" w14:textId="2BA562F6" w:rsidR="00AB26CB" w:rsidRPr="00AB26CB" w:rsidRDefault="0009605B">
    <w:pPr>
      <w:pStyle w:val="Header"/>
    </w:pPr>
    <w:r>
      <w:fldChar w:fldCharType="begin"/>
    </w:r>
    <w:r>
      <w:instrText xml:space="preserve"> TITLE  \* MERGEFORMAT </w:instrText>
    </w:r>
    <w:r>
      <w:fldChar w:fldCharType="separate"/>
    </w:r>
    <w:r>
      <w:t>ST/SG/AC.10/C.4/2019/9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69FB" w14:textId="56B39042" w:rsidR="00AB26CB" w:rsidRPr="00AB26CB" w:rsidRDefault="0009605B" w:rsidP="00AB26CB">
    <w:pPr>
      <w:pStyle w:val="Header"/>
      <w:jc w:val="right"/>
    </w:pPr>
    <w:r>
      <w:fldChar w:fldCharType="begin"/>
    </w:r>
    <w:r>
      <w:instrText xml:space="preserve"> TITLE  \* MERGEFORMAT </w:instrText>
    </w:r>
    <w:r>
      <w:fldChar w:fldCharType="separate"/>
    </w:r>
    <w:r>
      <w:t>ST/SG/AC.10/C.4/2019/9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DD"/>
    <w:rsid w:val="00017F94"/>
    <w:rsid w:val="00023842"/>
    <w:rsid w:val="000305D3"/>
    <w:rsid w:val="000334F9"/>
    <w:rsid w:val="00055E8A"/>
    <w:rsid w:val="0007796D"/>
    <w:rsid w:val="0009605B"/>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463DD"/>
    <w:rsid w:val="0068456F"/>
    <w:rsid w:val="00692BB1"/>
    <w:rsid w:val="0071601D"/>
    <w:rsid w:val="00732937"/>
    <w:rsid w:val="007A62E6"/>
    <w:rsid w:val="0080684C"/>
    <w:rsid w:val="00871C75"/>
    <w:rsid w:val="008776DC"/>
    <w:rsid w:val="008B40CD"/>
    <w:rsid w:val="009705C8"/>
    <w:rsid w:val="009C1CF4"/>
    <w:rsid w:val="00A30353"/>
    <w:rsid w:val="00AB26CB"/>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EF44E"/>
  <w15:docId w15:val="{A21896D0-5B5B-422A-9255-765C053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4413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ST/SG/AC.10/C.4/2019/9</vt:lpstr>
      <vt:lpstr>ST/SG/AC.10/C.4/2019/9</vt:lpstr>
    </vt:vector>
  </TitlesOfParts>
  <Company>DCM</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ST/SG/AC.10/C.4/2019/9</dc:title>
  <dc:subject/>
  <dc:creator>Nicolas MORIN</dc:creator>
  <cp:keywords/>
  <cp:lastModifiedBy>Laurence Berthet</cp:lastModifiedBy>
  <cp:revision>3</cp:revision>
  <cp:lastPrinted>2019-10-23T07:54:00Z</cp:lastPrinted>
  <dcterms:created xsi:type="dcterms:W3CDTF">2019-10-23T07:53:00Z</dcterms:created>
  <dcterms:modified xsi:type="dcterms:W3CDTF">2019-10-23T07:54:00Z</dcterms:modified>
</cp:coreProperties>
</file>