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68D02FD4" w14:textId="77777777" w:rsidTr="009F0F06">
        <w:trPr>
          <w:trHeight w:val="851"/>
        </w:trPr>
        <w:tc>
          <w:tcPr>
            <w:tcW w:w="1259" w:type="dxa"/>
            <w:tcBorders>
              <w:top w:val="nil"/>
              <w:left w:val="nil"/>
              <w:bottom w:val="single" w:sz="4" w:space="0" w:color="auto"/>
              <w:right w:val="nil"/>
            </w:tcBorders>
          </w:tcPr>
          <w:p w14:paraId="68FA8649" w14:textId="77777777"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14:paraId="6DFE859E"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858FC34" w14:textId="73B2488C" w:rsidR="00446DE4" w:rsidRPr="002309A7" w:rsidRDefault="008F020A" w:rsidP="008F020A">
            <w:pPr>
              <w:jc w:val="right"/>
            </w:pPr>
            <w:r w:rsidRPr="008F020A">
              <w:rPr>
                <w:sz w:val="40"/>
              </w:rPr>
              <w:t>ST</w:t>
            </w:r>
            <w:r>
              <w:t>/SG/AC.10/C.4/7</w:t>
            </w:r>
            <w:r w:rsidR="00C00C8F">
              <w:t>6</w:t>
            </w:r>
          </w:p>
        </w:tc>
      </w:tr>
      <w:tr w:rsidR="003107FA" w14:paraId="7DD1C6BD" w14:textId="77777777" w:rsidTr="009F0F06">
        <w:trPr>
          <w:trHeight w:val="2835"/>
        </w:trPr>
        <w:tc>
          <w:tcPr>
            <w:tcW w:w="1259" w:type="dxa"/>
            <w:tcBorders>
              <w:top w:val="single" w:sz="4" w:space="0" w:color="auto"/>
              <w:left w:val="nil"/>
              <w:bottom w:val="single" w:sz="12" w:space="0" w:color="auto"/>
              <w:right w:val="nil"/>
            </w:tcBorders>
          </w:tcPr>
          <w:p w14:paraId="15C7C929" w14:textId="77777777" w:rsidR="003107FA" w:rsidRDefault="00057FD8" w:rsidP="002B1CDA">
            <w:pPr>
              <w:spacing w:before="120"/>
              <w:jc w:val="center"/>
            </w:pPr>
            <w:r>
              <w:rPr>
                <w:noProof/>
                <w:lang w:eastAsia="en-GB"/>
              </w:rPr>
              <w:drawing>
                <wp:inline distT="0" distB="0" distL="0" distR="0" wp14:anchorId="37D5B035" wp14:editId="1BD5B67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7CE803"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EDD84D2" w14:textId="77777777" w:rsidR="003107FA" w:rsidRDefault="008F020A" w:rsidP="008F020A">
            <w:pPr>
              <w:spacing w:before="240" w:line="240" w:lineRule="exact"/>
            </w:pPr>
            <w:r>
              <w:t>Distr.: General</w:t>
            </w:r>
          </w:p>
          <w:p w14:paraId="233D3BF1" w14:textId="0962B3ED" w:rsidR="008F020A" w:rsidRDefault="009B495C" w:rsidP="008F020A">
            <w:pPr>
              <w:spacing w:line="240" w:lineRule="exact"/>
            </w:pPr>
            <w:r>
              <w:t>8 January 2020</w:t>
            </w:r>
          </w:p>
          <w:p w14:paraId="7F31433F" w14:textId="282ECF4C" w:rsidR="008F020A" w:rsidRDefault="008F020A" w:rsidP="008F020A">
            <w:pPr>
              <w:spacing w:line="240" w:lineRule="exact"/>
            </w:pPr>
          </w:p>
          <w:p w14:paraId="1FEDB8A8" w14:textId="26D359E6" w:rsidR="008F020A" w:rsidRDefault="008F020A" w:rsidP="008F020A">
            <w:pPr>
              <w:spacing w:line="240" w:lineRule="exact"/>
            </w:pPr>
            <w:r>
              <w:t>Original: English</w:t>
            </w:r>
          </w:p>
        </w:tc>
      </w:tr>
    </w:tbl>
    <w:p w14:paraId="73C24C53"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7FF6FC2B"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134ECBD" w14:textId="2B414DA9" w:rsidR="008F020A" w:rsidRPr="008867C1" w:rsidRDefault="008F020A" w:rsidP="008F020A">
      <w:pPr>
        <w:pStyle w:val="HChG"/>
      </w:pPr>
      <w:r>
        <w:tab/>
      </w:r>
      <w:r>
        <w:tab/>
      </w:r>
      <w:r w:rsidRPr="008867C1">
        <w:t>Report of the Sub-Committee of Experts on the Globally Harmonized System of Classification and Labelling of Chemicals on its thirt</w:t>
      </w:r>
      <w:r>
        <w:t>y-</w:t>
      </w:r>
      <w:r w:rsidR="00C00C8F">
        <w:t>eighth</w:t>
      </w:r>
      <w:r w:rsidRPr="008867C1">
        <w:t xml:space="preserve"> session</w:t>
      </w:r>
    </w:p>
    <w:p w14:paraId="266AF6E3" w14:textId="73B9825E" w:rsidR="008F020A" w:rsidRDefault="008F020A" w:rsidP="008F020A">
      <w:pPr>
        <w:pStyle w:val="H23G"/>
        <w:rPr>
          <w:b w:val="0"/>
        </w:rPr>
      </w:pPr>
      <w:r w:rsidRPr="00FB2A74">
        <w:tab/>
      </w:r>
      <w:r w:rsidRPr="00FB2A74">
        <w:tab/>
      </w:r>
      <w:r w:rsidRPr="00FB2A74">
        <w:rPr>
          <w:b w:val="0"/>
        </w:rPr>
        <w:t xml:space="preserve">held in Geneva from </w:t>
      </w:r>
      <w:r w:rsidR="00C00C8F">
        <w:rPr>
          <w:b w:val="0"/>
        </w:rPr>
        <w:t>1</w:t>
      </w:r>
      <w:r w:rsidR="00250154">
        <w:rPr>
          <w:b w:val="0"/>
        </w:rPr>
        <w:t>1</w:t>
      </w:r>
      <w:r>
        <w:rPr>
          <w:b w:val="0"/>
        </w:rPr>
        <w:t xml:space="preserve"> to </w:t>
      </w:r>
      <w:r w:rsidR="00A1034B">
        <w:rPr>
          <w:b w:val="0"/>
        </w:rPr>
        <w:t>1</w:t>
      </w:r>
      <w:r w:rsidR="00C00C8F">
        <w:rPr>
          <w:b w:val="0"/>
        </w:rPr>
        <w:t>3 December</w:t>
      </w:r>
      <w:r w:rsidR="006E41C2">
        <w:rPr>
          <w:b w:val="0"/>
        </w:rPr>
        <w:t xml:space="preserve"> </w:t>
      </w:r>
      <w:r w:rsidR="00A1034B">
        <w:rPr>
          <w:b w:val="0"/>
        </w:rPr>
        <w:t>2019</w:t>
      </w:r>
    </w:p>
    <w:p w14:paraId="708E2F57" w14:textId="77777777" w:rsidR="008F020A" w:rsidRDefault="008F020A" w:rsidP="008F020A">
      <w:pPr>
        <w:spacing w:before="120"/>
        <w:rPr>
          <w:b/>
          <w:bCs/>
        </w:rPr>
      </w:pPr>
    </w:p>
    <w:p w14:paraId="19BB0462" w14:textId="77777777" w:rsidR="008F020A" w:rsidRPr="00AB4195" w:rsidRDefault="00082B83" w:rsidP="00082B83">
      <w:pPr>
        <w:spacing w:after="120"/>
        <w:rPr>
          <w:sz w:val="28"/>
          <w:lang w:val="fr-CH"/>
        </w:rPr>
      </w:pPr>
      <w:r w:rsidRPr="00AB4195">
        <w:rPr>
          <w:sz w:val="28"/>
          <w:lang w:val="fr-CH"/>
        </w:rPr>
        <w:t>Contents</w:t>
      </w:r>
    </w:p>
    <w:p w14:paraId="36A3ED1B" w14:textId="77777777" w:rsidR="00082B83" w:rsidRPr="00AB4195" w:rsidRDefault="00082B83" w:rsidP="00082B83">
      <w:pPr>
        <w:tabs>
          <w:tab w:val="right" w:pos="8929"/>
          <w:tab w:val="right" w:pos="9638"/>
        </w:tabs>
        <w:spacing w:after="120"/>
        <w:ind w:left="283"/>
        <w:rPr>
          <w:lang w:val="fr-CH"/>
        </w:rPr>
      </w:pPr>
      <w:r w:rsidRPr="00AB4195">
        <w:rPr>
          <w:i/>
          <w:sz w:val="18"/>
          <w:lang w:val="fr-CH"/>
        </w:rPr>
        <w:tab/>
      </w:r>
      <w:proofErr w:type="spellStart"/>
      <w:r w:rsidRPr="00AB4195">
        <w:rPr>
          <w:i/>
          <w:sz w:val="18"/>
          <w:lang w:val="fr-CH"/>
        </w:rPr>
        <w:t>Paragraphs</w:t>
      </w:r>
      <w:proofErr w:type="spellEnd"/>
      <w:r w:rsidRPr="00AB4195">
        <w:rPr>
          <w:i/>
          <w:sz w:val="18"/>
          <w:lang w:val="fr-CH"/>
        </w:rPr>
        <w:tab/>
        <w:t>Page</w:t>
      </w:r>
    </w:p>
    <w:p w14:paraId="6A45EDFC" w14:textId="124A7082" w:rsidR="00265F9B" w:rsidRPr="00F907D6" w:rsidRDefault="00265F9B" w:rsidP="00265F9B">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r>
      <w:r w:rsidRPr="00F907D6">
        <w:rPr>
          <w:lang w:val="fr-CH"/>
        </w:rPr>
        <w:t xml:space="preserve">I. </w:t>
      </w:r>
      <w:r w:rsidRPr="00F907D6">
        <w:rPr>
          <w:lang w:val="fr-CH"/>
        </w:rPr>
        <w:tab/>
        <w:t>Attendance</w:t>
      </w:r>
      <w:r w:rsidRPr="00F907D6">
        <w:rPr>
          <w:lang w:val="fr-CH"/>
        </w:rPr>
        <w:tab/>
      </w:r>
      <w:r w:rsidRPr="00F907D6">
        <w:rPr>
          <w:lang w:val="fr-CH"/>
        </w:rPr>
        <w:tab/>
      </w:r>
      <w:r w:rsidR="000E087D">
        <w:rPr>
          <w:lang w:val="fr-CH"/>
        </w:rPr>
        <w:t>1-5</w:t>
      </w:r>
      <w:r w:rsidR="000E087D">
        <w:rPr>
          <w:lang w:val="fr-CH"/>
        </w:rPr>
        <w:tab/>
      </w:r>
      <w:r w:rsidR="007E3DBA">
        <w:rPr>
          <w:lang w:val="fr-CH"/>
        </w:rPr>
        <w:t>4</w:t>
      </w:r>
    </w:p>
    <w:p w14:paraId="580B0041" w14:textId="1EA047A0" w:rsidR="00265F9B" w:rsidRDefault="00265F9B" w:rsidP="00265F9B">
      <w:pPr>
        <w:tabs>
          <w:tab w:val="right" w:pos="850"/>
          <w:tab w:val="left" w:pos="1134"/>
          <w:tab w:val="left" w:pos="1559"/>
          <w:tab w:val="left" w:pos="1984"/>
          <w:tab w:val="left" w:leader="dot" w:pos="8100"/>
          <w:tab w:val="right" w:pos="8929"/>
          <w:tab w:val="right" w:pos="9638"/>
        </w:tabs>
        <w:spacing w:after="100"/>
      </w:pPr>
      <w:r>
        <w:tab/>
        <w:t>II.</w:t>
      </w:r>
      <w:r>
        <w:tab/>
        <w:t>Adoption of the agenda (agenda item 1)</w:t>
      </w:r>
      <w:r>
        <w:tab/>
      </w:r>
      <w:r>
        <w:tab/>
      </w:r>
      <w:r w:rsidR="000E087D">
        <w:t>6-13</w:t>
      </w:r>
      <w:r w:rsidR="000E087D">
        <w:tab/>
      </w:r>
      <w:r w:rsidR="007E3DBA">
        <w:t>4</w:t>
      </w:r>
    </w:p>
    <w:p w14:paraId="64E8F16F" w14:textId="433F13EB" w:rsidR="00265F9B" w:rsidRDefault="00265F9B" w:rsidP="00265F9B">
      <w:pPr>
        <w:tabs>
          <w:tab w:val="right" w:pos="850"/>
          <w:tab w:val="left" w:pos="1134"/>
          <w:tab w:val="left" w:pos="1559"/>
          <w:tab w:val="left" w:pos="1984"/>
          <w:tab w:val="left" w:leader="dot" w:pos="8100"/>
          <w:tab w:val="right" w:pos="8929"/>
          <w:tab w:val="right" w:pos="9638"/>
        </w:tabs>
        <w:spacing w:after="100"/>
      </w:pPr>
      <w:r>
        <w:tab/>
      </w:r>
      <w:r>
        <w:tab/>
      </w:r>
      <w:r w:rsidR="00BE3687">
        <w:t>A.</w:t>
      </w:r>
      <w:r w:rsidR="00BE3687">
        <w:tab/>
      </w:r>
      <w:r>
        <w:t>Status of publications</w:t>
      </w:r>
      <w:r>
        <w:tab/>
      </w:r>
      <w:r>
        <w:tab/>
      </w:r>
      <w:r w:rsidR="000E087D">
        <w:t>7</w:t>
      </w:r>
      <w:r w:rsidR="000E087D">
        <w:tab/>
      </w:r>
      <w:r w:rsidR="007E3DBA">
        <w:t>4</w:t>
      </w:r>
    </w:p>
    <w:p w14:paraId="3915B161" w14:textId="283965D1" w:rsidR="00265F9B" w:rsidRDefault="00265F9B" w:rsidP="00265F9B">
      <w:pPr>
        <w:tabs>
          <w:tab w:val="right" w:pos="850"/>
          <w:tab w:val="left" w:pos="1134"/>
          <w:tab w:val="left" w:pos="1559"/>
          <w:tab w:val="left" w:pos="1984"/>
          <w:tab w:val="left" w:leader="dot" w:pos="8100"/>
          <w:tab w:val="right" w:pos="8929"/>
          <w:tab w:val="right" w:pos="9638"/>
        </w:tabs>
        <w:spacing w:after="100"/>
      </w:pPr>
      <w:r>
        <w:tab/>
      </w:r>
      <w:r>
        <w:tab/>
      </w:r>
      <w:r w:rsidR="00BE3687">
        <w:t>B.</w:t>
      </w:r>
      <w:r w:rsidR="00BE3687">
        <w:tab/>
      </w:r>
      <w:r>
        <w:t>Accreditation of experts</w:t>
      </w:r>
      <w:r>
        <w:tab/>
      </w:r>
      <w:r>
        <w:tab/>
      </w:r>
      <w:r w:rsidR="000E087D">
        <w:t>8-13</w:t>
      </w:r>
      <w:r w:rsidR="000E087D">
        <w:tab/>
      </w:r>
      <w:r w:rsidR="007E3DBA">
        <w:t>5</w:t>
      </w:r>
    </w:p>
    <w:p w14:paraId="1042A212" w14:textId="56C64D8F" w:rsidR="00265F9B" w:rsidRDefault="00265F9B" w:rsidP="00265F9B">
      <w:pPr>
        <w:tabs>
          <w:tab w:val="right" w:pos="850"/>
          <w:tab w:val="left" w:pos="1134"/>
          <w:tab w:val="left" w:pos="1559"/>
          <w:tab w:val="left" w:pos="1984"/>
          <w:tab w:val="left" w:leader="dot" w:pos="8100"/>
          <w:tab w:val="right" w:pos="8929"/>
          <w:tab w:val="right" w:pos="9638"/>
        </w:tabs>
        <w:spacing w:after="100"/>
      </w:pPr>
      <w:r>
        <w:tab/>
        <w:t>III.</w:t>
      </w:r>
      <w:r>
        <w:tab/>
        <w:t>Classification criteria and related hazard communication (agenda item 2)</w:t>
      </w:r>
      <w:r>
        <w:tab/>
      </w:r>
      <w:r>
        <w:tab/>
      </w:r>
      <w:r w:rsidR="000E087D">
        <w:t>14-32</w:t>
      </w:r>
      <w:r w:rsidR="000E087D">
        <w:tab/>
      </w:r>
      <w:r w:rsidR="007E3DBA">
        <w:t>5</w:t>
      </w:r>
    </w:p>
    <w:p w14:paraId="6750391F" w14:textId="07D14146" w:rsidR="00265F9B" w:rsidRDefault="00265F9B" w:rsidP="000E087D">
      <w:pPr>
        <w:pStyle w:val="ListParagraph"/>
        <w:numPr>
          <w:ilvl w:val="0"/>
          <w:numId w:val="39"/>
        </w:numPr>
        <w:tabs>
          <w:tab w:val="right" w:pos="850"/>
          <w:tab w:val="left" w:pos="1134"/>
          <w:tab w:val="left" w:pos="1559"/>
          <w:tab w:val="left" w:pos="1984"/>
          <w:tab w:val="left" w:leader="dot" w:pos="8100"/>
          <w:tab w:val="right" w:pos="8929"/>
          <w:tab w:val="right" w:pos="9638"/>
        </w:tabs>
        <w:spacing w:after="120"/>
        <w:ind w:left="1497" w:hanging="357"/>
      </w:pPr>
      <w:r>
        <w:t>Work of the Sub-Committee of Experts on the Transport of Dangerous</w:t>
      </w:r>
      <w:r>
        <w:br/>
        <w:t>Goods (TDG) on matters of interest to the GHS Sub-Committee</w:t>
      </w:r>
      <w:r>
        <w:tab/>
      </w:r>
      <w:r>
        <w:tab/>
      </w:r>
      <w:r w:rsidR="000E087D">
        <w:t>14-16</w:t>
      </w:r>
      <w:r w:rsidR="000E087D">
        <w:tab/>
      </w:r>
      <w:r w:rsidR="007E3DBA">
        <w:t>5</w:t>
      </w:r>
    </w:p>
    <w:p w14:paraId="30F750F4" w14:textId="05BF8F88" w:rsidR="008F74AF" w:rsidRDefault="008F74AF" w:rsidP="008F74AF">
      <w:pPr>
        <w:tabs>
          <w:tab w:val="right" w:pos="850"/>
          <w:tab w:val="left" w:pos="1134"/>
          <w:tab w:val="left" w:pos="1559"/>
          <w:tab w:val="left" w:pos="1984"/>
          <w:tab w:val="left" w:leader="dot" w:pos="8100"/>
          <w:tab w:val="right" w:pos="8929"/>
          <w:tab w:val="right" w:pos="9638"/>
        </w:tabs>
        <w:spacing w:after="120"/>
        <w:ind w:left="1140"/>
      </w:pPr>
      <w:r>
        <w:tab/>
        <w:t>1.</w:t>
      </w:r>
      <w:r>
        <w:tab/>
        <w:t>Testing of oxidizing substances</w:t>
      </w:r>
      <w:r>
        <w:tab/>
      </w:r>
      <w:r>
        <w:tab/>
        <w:t>14</w:t>
      </w:r>
      <w:r>
        <w:tab/>
      </w:r>
      <w:r w:rsidR="007E3DBA">
        <w:t>5</w:t>
      </w:r>
    </w:p>
    <w:p w14:paraId="782A0368" w14:textId="7F7BB965" w:rsidR="008F74AF" w:rsidRDefault="008F74AF" w:rsidP="008F74AF">
      <w:pPr>
        <w:tabs>
          <w:tab w:val="right" w:pos="850"/>
          <w:tab w:val="left" w:pos="1134"/>
          <w:tab w:val="left" w:pos="1559"/>
          <w:tab w:val="left" w:pos="1984"/>
          <w:tab w:val="left" w:leader="dot" w:pos="8100"/>
          <w:tab w:val="right" w:pos="8929"/>
          <w:tab w:val="right" w:pos="9638"/>
        </w:tabs>
        <w:spacing w:after="120"/>
        <w:ind w:left="1140"/>
      </w:pPr>
      <w:r>
        <w:tab/>
        <w:t>2.</w:t>
      </w:r>
      <w:r>
        <w:tab/>
        <w:t>Review of test series H</w:t>
      </w:r>
      <w:r>
        <w:tab/>
      </w:r>
      <w:r>
        <w:tab/>
        <w:t>15-16</w:t>
      </w:r>
      <w:r>
        <w:tab/>
      </w:r>
      <w:r w:rsidR="007E3DBA">
        <w:t>6</w:t>
      </w:r>
    </w:p>
    <w:p w14:paraId="06BC331A" w14:textId="16680246" w:rsidR="00265F9B" w:rsidRDefault="000E087D" w:rsidP="000E087D">
      <w:pPr>
        <w:tabs>
          <w:tab w:val="right" w:pos="850"/>
          <w:tab w:val="left" w:pos="1134"/>
          <w:tab w:val="left" w:pos="1559"/>
          <w:tab w:val="left" w:pos="1984"/>
          <w:tab w:val="left" w:leader="dot" w:pos="8100"/>
          <w:tab w:val="right" w:pos="8929"/>
          <w:tab w:val="right" w:pos="9638"/>
        </w:tabs>
        <w:spacing w:before="120" w:after="100"/>
        <w:ind w:left="1140"/>
      </w:pPr>
      <w:r>
        <w:t>B.</w:t>
      </w:r>
      <w:r>
        <w:tab/>
      </w:r>
      <w:r w:rsidR="00814A28">
        <w:t>Review of Chapter 2.1</w:t>
      </w:r>
      <w:r w:rsidR="00814A28">
        <w:tab/>
      </w:r>
      <w:r w:rsidR="00814A28">
        <w:tab/>
      </w:r>
      <w:r>
        <w:t>17</w:t>
      </w:r>
      <w:r>
        <w:tab/>
      </w:r>
      <w:r w:rsidR="007E3DBA">
        <w:t>6</w:t>
      </w:r>
    </w:p>
    <w:p w14:paraId="300386E8" w14:textId="42DCB815"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t>C.</w:t>
      </w:r>
      <w:r>
        <w:tab/>
        <w:t>Use of non-animal testing methods for classification of health hazards</w:t>
      </w:r>
      <w:r>
        <w:tab/>
      </w:r>
      <w:r>
        <w:tab/>
      </w:r>
      <w:r w:rsidR="000E087D">
        <w:t>18-19</w:t>
      </w:r>
      <w:r w:rsidR="000E087D">
        <w:tab/>
      </w:r>
      <w:r w:rsidR="007E3DBA">
        <w:t>6</w:t>
      </w:r>
    </w:p>
    <w:p w14:paraId="18DE747F" w14:textId="0B79C1EF"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t>D.</w:t>
      </w:r>
      <w:r>
        <w:tab/>
        <w:t>Practical classification issues</w:t>
      </w:r>
      <w:r>
        <w:tab/>
      </w:r>
      <w:r>
        <w:tab/>
      </w:r>
      <w:r w:rsidR="000E087D">
        <w:t>20-22</w:t>
      </w:r>
      <w:r w:rsidR="000E087D">
        <w:tab/>
      </w:r>
      <w:r w:rsidR="007E3DBA">
        <w:t>7</w:t>
      </w:r>
    </w:p>
    <w:p w14:paraId="6E1FFB15" w14:textId="12D08AE2"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t>E.</w:t>
      </w:r>
      <w:r>
        <w:tab/>
        <w:t>Aspiration hazard</w:t>
      </w:r>
      <w:r>
        <w:tab/>
      </w:r>
      <w:r>
        <w:tab/>
      </w:r>
      <w:r w:rsidR="000E087D">
        <w:t>23</w:t>
      </w:r>
      <w:r w:rsidR="000E087D">
        <w:tab/>
      </w:r>
      <w:r w:rsidR="007E3DBA">
        <w:t>7</w:t>
      </w:r>
    </w:p>
    <w:p w14:paraId="3AF5AF15" w14:textId="37FFDDDB"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t>F.</w:t>
      </w:r>
      <w:r>
        <w:tab/>
      </w:r>
      <w:r w:rsidRPr="00F907D6">
        <w:t>Nanomaterials</w:t>
      </w:r>
      <w:r>
        <w:tab/>
      </w:r>
      <w:r>
        <w:tab/>
      </w:r>
      <w:r w:rsidR="000E087D">
        <w:t>24</w:t>
      </w:r>
      <w:r w:rsidR="000E087D">
        <w:tab/>
      </w:r>
      <w:r w:rsidR="00137CAC">
        <w:t>7</w:t>
      </w:r>
    </w:p>
    <w:p w14:paraId="5086A8CD" w14:textId="01FAAC0D"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t>G.</w:t>
      </w:r>
      <w:r>
        <w:tab/>
        <w:t xml:space="preserve">Simultaneous classification in physical hazard classes </w:t>
      </w:r>
      <w:r>
        <w:br/>
      </w:r>
      <w:r>
        <w:tab/>
        <w:t>and precedence of hazards</w:t>
      </w:r>
      <w:r>
        <w:tab/>
      </w:r>
      <w:r>
        <w:tab/>
      </w:r>
      <w:r w:rsidR="008F74AF">
        <w:t>25</w:t>
      </w:r>
      <w:r w:rsidR="008F74AF">
        <w:tab/>
      </w:r>
      <w:r w:rsidR="00137CAC">
        <w:t>8</w:t>
      </w:r>
    </w:p>
    <w:p w14:paraId="4DD82A98" w14:textId="77777777" w:rsidR="008F74AF" w:rsidRDefault="008F74AF">
      <w:pPr>
        <w:suppressAutoHyphens w:val="0"/>
        <w:spacing w:line="240" w:lineRule="auto"/>
      </w:pPr>
      <w:r>
        <w:br w:type="page"/>
      </w:r>
    </w:p>
    <w:p w14:paraId="4E117588" w14:textId="0F284C95" w:rsidR="00814A28" w:rsidRDefault="00814A28" w:rsidP="00814A28">
      <w:pPr>
        <w:tabs>
          <w:tab w:val="right" w:pos="850"/>
          <w:tab w:val="left" w:pos="1134"/>
          <w:tab w:val="left" w:pos="1559"/>
          <w:tab w:val="left" w:pos="1984"/>
          <w:tab w:val="left" w:leader="dot" w:pos="8100"/>
          <w:tab w:val="right" w:pos="8929"/>
          <w:tab w:val="right" w:pos="9638"/>
        </w:tabs>
        <w:spacing w:before="120" w:after="100"/>
        <w:ind w:left="1140"/>
      </w:pPr>
      <w:r>
        <w:lastRenderedPageBreak/>
        <w:t>H.</w:t>
      </w:r>
      <w:r>
        <w:tab/>
        <w:t>Other issues</w:t>
      </w:r>
      <w:r>
        <w:tab/>
      </w:r>
      <w:r>
        <w:tab/>
      </w:r>
      <w:r w:rsidR="008F74AF">
        <w:t>26-32</w:t>
      </w:r>
      <w:r w:rsidR="008F74AF">
        <w:tab/>
      </w:r>
      <w:r w:rsidR="00137CAC">
        <w:t>8</w:t>
      </w:r>
    </w:p>
    <w:p w14:paraId="7DE0512C" w14:textId="07FCA09A" w:rsidR="008F74AF" w:rsidRDefault="008F74AF" w:rsidP="00814A28">
      <w:pPr>
        <w:tabs>
          <w:tab w:val="right" w:pos="850"/>
          <w:tab w:val="left" w:pos="1134"/>
          <w:tab w:val="left" w:pos="1559"/>
          <w:tab w:val="left" w:pos="1984"/>
          <w:tab w:val="left" w:leader="dot" w:pos="8100"/>
          <w:tab w:val="right" w:pos="8929"/>
          <w:tab w:val="right" w:pos="9638"/>
        </w:tabs>
        <w:spacing w:before="120" w:after="100"/>
        <w:ind w:left="1140"/>
      </w:pPr>
      <w:r>
        <w:tab/>
        <w:t>1.</w:t>
      </w:r>
      <w:r>
        <w:tab/>
        <w:t>References to the Model Regulations</w:t>
      </w:r>
      <w:r w:rsidR="00A71CD1">
        <w:tab/>
      </w:r>
      <w:r w:rsidR="00A71CD1">
        <w:tab/>
        <w:t>26-27</w:t>
      </w:r>
      <w:r w:rsidR="00A71CD1">
        <w:tab/>
      </w:r>
      <w:r w:rsidR="00137CAC">
        <w:t>8</w:t>
      </w:r>
    </w:p>
    <w:p w14:paraId="442D970B" w14:textId="6BF0D50F" w:rsidR="00A71CD1" w:rsidRDefault="00A71CD1" w:rsidP="00814A28">
      <w:pPr>
        <w:tabs>
          <w:tab w:val="right" w:pos="850"/>
          <w:tab w:val="left" w:pos="1134"/>
          <w:tab w:val="left" w:pos="1559"/>
          <w:tab w:val="left" w:pos="1984"/>
          <w:tab w:val="left" w:leader="dot" w:pos="8100"/>
          <w:tab w:val="right" w:pos="8929"/>
          <w:tab w:val="right" w:pos="9638"/>
        </w:tabs>
        <w:spacing w:before="120" w:after="100"/>
        <w:ind w:left="1140"/>
      </w:pPr>
      <w:r>
        <w:tab/>
        <w:t>2.</w:t>
      </w:r>
      <w:r>
        <w:tab/>
        <w:t>Corrections to the eighth revised edition of the GHS</w:t>
      </w:r>
      <w:r>
        <w:tab/>
      </w:r>
      <w:r>
        <w:tab/>
        <w:t>28</w:t>
      </w:r>
      <w:r>
        <w:tab/>
      </w:r>
      <w:r w:rsidR="00137CAC">
        <w:t>8</w:t>
      </w:r>
    </w:p>
    <w:p w14:paraId="05CB2187" w14:textId="27D43CC6" w:rsidR="00A71CD1" w:rsidRDefault="00A71CD1" w:rsidP="00814A28">
      <w:pPr>
        <w:tabs>
          <w:tab w:val="right" w:pos="850"/>
          <w:tab w:val="left" w:pos="1134"/>
          <w:tab w:val="left" w:pos="1559"/>
          <w:tab w:val="left" w:pos="1984"/>
          <w:tab w:val="left" w:leader="dot" w:pos="8100"/>
          <w:tab w:val="right" w:pos="8929"/>
          <w:tab w:val="right" w:pos="9638"/>
        </w:tabs>
        <w:spacing w:before="120" w:after="100"/>
        <w:ind w:left="1140"/>
      </w:pPr>
      <w:r>
        <w:tab/>
        <w:t>3.</w:t>
      </w:r>
      <w:r>
        <w:tab/>
        <w:t>Clarification of paragraph 2.9.3.4.3.4 of Model Regulations</w:t>
      </w:r>
      <w:r>
        <w:br/>
      </w:r>
      <w:r>
        <w:tab/>
      </w:r>
      <w:r>
        <w:tab/>
        <w:t>and paragraph 4.1.3.3.4 of GHS</w:t>
      </w:r>
      <w:r>
        <w:tab/>
      </w:r>
      <w:r>
        <w:tab/>
        <w:t>29-30</w:t>
      </w:r>
      <w:r>
        <w:tab/>
      </w:r>
      <w:r w:rsidR="00137CAC">
        <w:t>8</w:t>
      </w:r>
    </w:p>
    <w:p w14:paraId="36C2F494" w14:textId="02892CE8" w:rsidR="00A71CD1" w:rsidRDefault="00A71CD1" w:rsidP="00814A28">
      <w:pPr>
        <w:tabs>
          <w:tab w:val="right" w:pos="850"/>
          <w:tab w:val="left" w:pos="1134"/>
          <w:tab w:val="left" w:pos="1559"/>
          <w:tab w:val="left" w:pos="1984"/>
          <w:tab w:val="left" w:leader="dot" w:pos="8100"/>
          <w:tab w:val="right" w:pos="8929"/>
          <w:tab w:val="right" w:pos="9638"/>
        </w:tabs>
        <w:spacing w:before="120" w:after="100"/>
        <w:ind w:left="1140"/>
      </w:pPr>
      <w:r>
        <w:tab/>
        <w:t>4.</w:t>
      </w:r>
      <w:r>
        <w:tab/>
        <w:t>Proposed clarification of eye irritation sub-categorization</w:t>
      </w:r>
      <w:r>
        <w:tab/>
      </w:r>
      <w:r>
        <w:tab/>
        <w:t>31-32</w:t>
      </w:r>
      <w:r>
        <w:tab/>
      </w:r>
      <w:r w:rsidR="00137CAC">
        <w:t>9</w:t>
      </w:r>
    </w:p>
    <w:p w14:paraId="3E6DBF13" w14:textId="1F52BEDE" w:rsidR="00814A28" w:rsidRDefault="00814A28" w:rsidP="00814A28">
      <w:pPr>
        <w:tabs>
          <w:tab w:val="right" w:pos="850"/>
          <w:tab w:val="left" w:pos="1134"/>
          <w:tab w:val="left" w:pos="1559"/>
          <w:tab w:val="left" w:pos="1984"/>
          <w:tab w:val="left" w:leader="dot" w:pos="8100"/>
          <w:tab w:val="right" w:pos="8929"/>
          <w:tab w:val="right" w:pos="9638"/>
        </w:tabs>
        <w:spacing w:after="100"/>
      </w:pPr>
      <w:r>
        <w:tab/>
        <w:t>IV.</w:t>
      </w:r>
      <w:r>
        <w:tab/>
        <w:t>Hazard communication (agenda item 3)</w:t>
      </w:r>
      <w:r>
        <w:tab/>
      </w:r>
      <w:r>
        <w:tab/>
      </w:r>
      <w:r w:rsidR="008F74AF">
        <w:t>33-42</w:t>
      </w:r>
      <w:r w:rsidR="008F74AF">
        <w:tab/>
      </w:r>
      <w:r w:rsidR="00137CAC">
        <w:t>9</w:t>
      </w:r>
    </w:p>
    <w:p w14:paraId="2E9CCA3B" w14:textId="400549F3" w:rsidR="00814A28" w:rsidRDefault="00814A28" w:rsidP="00814A28">
      <w:pPr>
        <w:pStyle w:val="ListParagraph"/>
        <w:numPr>
          <w:ilvl w:val="0"/>
          <w:numId w:val="35"/>
        </w:numPr>
        <w:tabs>
          <w:tab w:val="right" w:pos="850"/>
          <w:tab w:val="left" w:pos="1134"/>
          <w:tab w:val="left" w:pos="1559"/>
          <w:tab w:val="left" w:pos="1984"/>
          <w:tab w:val="left" w:leader="dot" w:pos="8100"/>
          <w:tab w:val="right" w:pos="8929"/>
          <w:tab w:val="right" w:pos="9638"/>
        </w:tabs>
        <w:spacing w:before="120" w:after="100"/>
      </w:pPr>
      <w:r>
        <w:t>Practical labelling issues</w:t>
      </w:r>
      <w:r>
        <w:tab/>
      </w:r>
      <w:r>
        <w:tab/>
      </w:r>
      <w:r w:rsidR="008F74AF">
        <w:t>33-35</w:t>
      </w:r>
      <w:r w:rsidR="008F74AF">
        <w:tab/>
      </w:r>
      <w:r w:rsidR="00137CAC">
        <w:t>9</w:t>
      </w:r>
    </w:p>
    <w:p w14:paraId="736B3011" w14:textId="6DB899F7" w:rsidR="00A71CD1" w:rsidRDefault="00A71CD1" w:rsidP="00A71CD1">
      <w:pPr>
        <w:tabs>
          <w:tab w:val="right" w:pos="850"/>
          <w:tab w:val="left" w:pos="1134"/>
          <w:tab w:val="left" w:pos="1559"/>
          <w:tab w:val="left" w:pos="1984"/>
          <w:tab w:val="left" w:leader="dot" w:pos="8100"/>
          <w:tab w:val="right" w:pos="8929"/>
          <w:tab w:val="right" w:pos="9638"/>
        </w:tabs>
        <w:spacing w:before="120" w:after="100"/>
        <w:ind w:left="1500"/>
      </w:pPr>
      <w:r>
        <w:t>1.</w:t>
      </w:r>
      <w:r>
        <w:tab/>
        <w:t>Revision of examples 1 to 7 in Annex 7</w:t>
      </w:r>
      <w:r>
        <w:tab/>
      </w:r>
      <w:r>
        <w:tab/>
        <w:t>33</w:t>
      </w:r>
      <w:r>
        <w:tab/>
      </w:r>
      <w:r w:rsidR="00137CAC">
        <w:t>9</w:t>
      </w:r>
    </w:p>
    <w:p w14:paraId="3663160C" w14:textId="7CA1F25D" w:rsidR="00A71CD1" w:rsidRDefault="00A71CD1" w:rsidP="00A71CD1">
      <w:pPr>
        <w:tabs>
          <w:tab w:val="right" w:pos="850"/>
          <w:tab w:val="left" w:pos="1134"/>
          <w:tab w:val="left" w:pos="1559"/>
          <w:tab w:val="left" w:pos="1984"/>
          <w:tab w:val="left" w:leader="dot" w:pos="8100"/>
          <w:tab w:val="right" w:pos="8929"/>
          <w:tab w:val="right" w:pos="9638"/>
        </w:tabs>
        <w:spacing w:before="120" w:after="100"/>
        <w:ind w:left="1500"/>
      </w:pPr>
      <w:r>
        <w:t>2.</w:t>
      </w:r>
      <w:r>
        <w:tab/>
        <w:t>Digitalisation of hazard information</w:t>
      </w:r>
      <w:r>
        <w:tab/>
      </w:r>
      <w:r>
        <w:tab/>
        <w:t>34-35</w:t>
      </w:r>
      <w:r>
        <w:tab/>
      </w:r>
      <w:r w:rsidR="00137CAC">
        <w:t>9</w:t>
      </w:r>
    </w:p>
    <w:p w14:paraId="16C605FD" w14:textId="331796F2" w:rsidR="00C00C8F" w:rsidRDefault="008810A6" w:rsidP="00BE3687">
      <w:pPr>
        <w:tabs>
          <w:tab w:val="right" w:pos="850"/>
          <w:tab w:val="left" w:pos="1134"/>
          <w:tab w:val="left" w:pos="1559"/>
          <w:tab w:val="left" w:pos="1984"/>
          <w:tab w:val="left" w:leader="dot" w:pos="8100"/>
          <w:tab w:val="right" w:pos="8929"/>
          <w:tab w:val="right" w:pos="9638"/>
        </w:tabs>
        <w:spacing w:after="100"/>
        <w:ind w:left="1140"/>
      </w:pPr>
      <w:r>
        <w:t>B.</w:t>
      </w:r>
      <w:r>
        <w:tab/>
        <w:t xml:space="preserve">Improvement of annexes 1 to 3 and further rationalization </w:t>
      </w:r>
      <w:r>
        <w:br/>
      </w:r>
      <w:r>
        <w:tab/>
        <w:t>of precautionary statements</w:t>
      </w:r>
      <w:r w:rsidR="00BE3687">
        <w:tab/>
      </w:r>
      <w:r w:rsidR="00BE3687">
        <w:tab/>
      </w:r>
      <w:r w:rsidR="008F74AF">
        <w:t>36-39</w:t>
      </w:r>
      <w:r w:rsidR="008F74AF">
        <w:tab/>
      </w:r>
      <w:r w:rsidR="00137CAC">
        <w:t>10</w:t>
      </w:r>
    </w:p>
    <w:p w14:paraId="07B509DF" w14:textId="3C965926" w:rsidR="00A71CD1" w:rsidRDefault="00A71CD1" w:rsidP="00BE3687">
      <w:pPr>
        <w:tabs>
          <w:tab w:val="right" w:pos="850"/>
          <w:tab w:val="left" w:pos="1134"/>
          <w:tab w:val="left" w:pos="1559"/>
          <w:tab w:val="left" w:pos="1984"/>
          <w:tab w:val="left" w:leader="dot" w:pos="8100"/>
          <w:tab w:val="right" w:pos="8929"/>
          <w:tab w:val="right" w:pos="9638"/>
        </w:tabs>
        <w:spacing w:after="100"/>
        <w:ind w:left="1140"/>
      </w:pPr>
      <w:r>
        <w:tab/>
        <w:t>1.</w:t>
      </w:r>
      <w:r>
        <w:tab/>
        <w:t>Proposed changes to Annex 1 of the GHS</w:t>
      </w:r>
      <w:r>
        <w:tab/>
      </w:r>
      <w:r>
        <w:tab/>
        <w:t>36</w:t>
      </w:r>
      <w:r>
        <w:tab/>
      </w:r>
      <w:r w:rsidR="00137CAC">
        <w:t>10</w:t>
      </w:r>
    </w:p>
    <w:p w14:paraId="3AA97DE8" w14:textId="64D21230" w:rsidR="00A71CD1" w:rsidRDefault="00A71CD1" w:rsidP="00BE3687">
      <w:pPr>
        <w:tabs>
          <w:tab w:val="right" w:pos="850"/>
          <w:tab w:val="left" w:pos="1134"/>
          <w:tab w:val="left" w:pos="1559"/>
          <w:tab w:val="left" w:pos="1984"/>
          <w:tab w:val="left" w:leader="dot" w:pos="8100"/>
          <w:tab w:val="right" w:pos="8929"/>
          <w:tab w:val="right" w:pos="9638"/>
        </w:tabs>
        <w:spacing w:after="100"/>
        <w:ind w:left="1140"/>
      </w:pPr>
      <w:r>
        <w:tab/>
        <w:t>2.</w:t>
      </w:r>
      <w:r>
        <w:tab/>
        <w:t>Corrections and amendments to Annex 3, sections 2 and 3</w:t>
      </w:r>
      <w:r>
        <w:tab/>
      </w:r>
      <w:r>
        <w:tab/>
        <w:t>37</w:t>
      </w:r>
      <w:r>
        <w:tab/>
      </w:r>
      <w:r w:rsidR="00137CAC">
        <w:t>10</w:t>
      </w:r>
    </w:p>
    <w:p w14:paraId="0775E643" w14:textId="1F1544F0" w:rsidR="00A71CD1" w:rsidRDefault="00A71CD1" w:rsidP="00BE3687">
      <w:pPr>
        <w:tabs>
          <w:tab w:val="right" w:pos="850"/>
          <w:tab w:val="left" w:pos="1134"/>
          <w:tab w:val="left" w:pos="1559"/>
          <w:tab w:val="left" w:pos="1984"/>
          <w:tab w:val="left" w:leader="dot" w:pos="8100"/>
          <w:tab w:val="right" w:pos="8929"/>
          <w:tab w:val="right" w:pos="9638"/>
        </w:tabs>
        <w:spacing w:after="100"/>
        <w:ind w:left="1140"/>
      </w:pPr>
      <w:r>
        <w:tab/>
        <w:t>3.</w:t>
      </w:r>
      <w:r>
        <w:tab/>
        <w:t>Status of the work of the Annex 1-3 informal working group</w:t>
      </w:r>
      <w:r>
        <w:tab/>
      </w:r>
      <w:r>
        <w:tab/>
        <w:t>38-39</w:t>
      </w:r>
      <w:r>
        <w:tab/>
      </w:r>
      <w:r w:rsidR="00137CAC">
        <w:t>10</w:t>
      </w:r>
    </w:p>
    <w:p w14:paraId="44DCD96B" w14:textId="15BA9ECD" w:rsidR="008810A6" w:rsidRDefault="00A07628" w:rsidP="00BE3687">
      <w:pPr>
        <w:tabs>
          <w:tab w:val="right" w:pos="850"/>
          <w:tab w:val="left" w:pos="1134"/>
          <w:tab w:val="left" w:pos="1560"/>
          <w:tab w:val="left" w:leader="dot" w:pos="8100"/>
          <w:tab w:val="right" w:pos="8929"/>
          <w:tab w:val="right" w:pos="9638"/>
        </w:tabs>
        <w:spacing w:before="120" w:after="100"/>
        <w:ind w:left="1140"/>
      </w:pPr>
      <w:r>
        <w:t>C.</w:t>
      </w:r>
      <w:r>
        <w:tab/>
        <w:t>Review of Annex 4, sub-section A4.3.3.2.3</w:t>
      </w:r>
      <w:r w:rsidR="00BE3687">
        <w:tab/>
      </w:r>
      <w:r w:rsidR="00BE3687">
        <w:tab/>
      </w:r>
      <w:r w:rsidR="008F74AF">
        <w:t>40</w:t>
      </w:r>
      <w:r w:rsidR="008F74AF">
        <w:tab/>
      </w:r>
      <w:r w:rsidR="00137CAC">
        <w:t>10</w:t>
      </w:r>
    </w:p>
    <w:p w14:paraId="42F503C7" w14:textId="59484CCF" w:rsidR="00A07628" w:rsidRDefault="00A07628" w:rsidP="00BE3687">
      <w:pPr>
        <w:tabs>
          <w:tab w:val="right" w:pos="850"/>
          <w:tab w:val="left" w:pos="1134"/>
          <w:tab w:val="left" w:pos="1560"/>
          <w:tab w:val="left" w:leader="dot" w:pos="8100"/>
          <w:tab w:val="right" w:pos="8929"/>
          <w:tab w:val="right" w:pos="9638"/>
        </w:tabs>
        <w:spacing w:before="120" w:after="100"/>
        <w:ind w:left="1140"/>
      </w:pPr>
      <w:r>
        <w:t>D.</w:t>
      </w:r>
      <w:r>
        <w:tab/>
        <w:t>Other issues</w:t>
      </w:r>
      <w:r w:rsidR="00BE3687">
        <w:tab/>
      </w:r>
      <w:r w:rsidR="00BE3687">
        <w:tab/>
      </w:r>
      <w:r w:rsidR="008F74AF">
        <w:t>41-42</w:t>
      </w:r>
      <w:r w:rsidR="008F74AF">
        <w:tab/>
      </w:r>
      <w:r w:rsidR="00137CAC">
        <w:t>10</w:t>
      </w:r>
    </w:p>
    <w:p w14:paraId="74B664E9" w14:textId="37F3F264"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1.</w:t>
      </w:r>
      <w:r>
        <w:tab/>
        <w:t>Corrections to hazard statements H410, H411 and H412</w:t>
      </w:r>
      <w:r>
        <w:tab/>
      </w:r>
      <w:r>
        <w:tab/>
        <w:t>41</w:t>
      </w:r>
      <w:r>
        <w:tab/>
      </w:r>
      <w:r w:rsidR="00137CAC">
        <w:t>10</w:t>
      </w:r>
    </w:p>
    <w:p w14:paraId="7A581289" w14:textId="2CF31A1D"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2.</w:t>
      </w:r>
      <w:r>
        <w:tab/>
        <w:t>Proposed clarification for the heading of section 9 of the</w:t>
      </w:r>
      <w:r>
        <w:br/>
      </w:r>
      <w:r>
        <w:tab/>
      </w:r>
      <w:r>
        <w:tab/>
        <w:t>Safety Data Sheet</w:t>
      </w:r>
      <w:r>
        <w:tab/>
      </w:r>
      <w:r>
        <w:tab/>
        <w:t>42</w:t>
      </w:r>
      <w:r>
        <w:tab/>
        <w:t>1</w:t>
      </w:r>
      <w:r w:rsidR="00137CAC">
        <w:t>1</w:t>
      </w:r>
    </w:p>
    <w:p w14:paraId="2A3FB6E7" w14:textId="252BD2D7" w:rsidR="00A07628" w:rsidRDefault="00A07628" w:rsidP="00A07628">
      <w:pPr>
        <w:tabs>
          <w:tab w:val="right" w:pos="850"/>
          <w:tab w:val="left" w:pos="1134"/>
          <w:tab w:val="left" w:pos="1559"/>
          <w:tab w:val="left" w:pos="1984"/>
          <w:tab w:val="left" w:leader="dot" w:pos="8100"/>
          <w:tab w:val="right" w:pos="8929"/>
          <w:tab w:val="right" w:pos="9638"/>
        </w:tabs>
        <w:spacing w:before="120" w:after="100"/>
      </w:pPr>
      <w:r>
        <w:tab/>
        <w:t>V.</w:t>
      </w:r>
      <w:r>
        <w:tab/>
        <w:t>Implementation of the GHS (agenda item 4)</w:t>
      </w:r>
      <w:r>
        <w:tab/>
      </w:r>
      <w:r>
        <w:tab/>
      </w:r>
      <w:r w:rsidR="008F74AF">
        <w:t>43-53</w:t>
      </w:r>
      <w:r w:rsidR="008F74AF">
        <w:tab/>
        <w:t>1</w:t>
      </w:r>
      <w:r w:rsidR="00137CAC">
        <w:t>1</w:t>
      </w:r>
    </w:p>
    <w:p w14:paraId="69587B28" w14:textId="5D71FF2B" w:rsidR="00A07628" w:rsidRDefault="00A07628" w:rsidP="00A07628">
      <w:pPr>
        <w:pStyle w:val="ListParagraph"/>
        <w:numPr>
          <w:ilvl w:val="0"/>
          <w:numId w:val="36"/>
        </w:numPr>
        <w:tabs>
          <w:tab w:val="right" w:pos="850"/>
          <w:tab w:val="left" w:pos="1134"/>
          <w:tab w:val="left" w:pos="1984"/>
          <w:tab w:val="left" w:leader="dot" w:pos="8100"/>
          <w:tab w:val="right" w:pos="8929"/>
          <w:tab w:val="right" w:pos="9638"/>
        </w:tabs>
        <w:spacing w:before="120" w:after="100"/>
      </w:pPr>
      <w:r>
        <w:t xml:space="preserve">Possible development of a list of chemicals classified </w:t>
      </w:r>
      <w:r>
        <w:br/>
        <w:t>in accordance with the GHS</w:t>
      </w:r>
      <w:r>
        <w:tab/>
      </w:r>
      <w:r>
        <w:tab/>
      </w:r>
      <w:r w:rsidR="008F74AF">
        <w:t>43</w:t>
      </w:r>
      <w:r w:rsidR="008F74AF">
        <w:tab/>
        <w:t>1</w:t>
      </w:r>
      <w:r w:rsidR="00137CAC">
        <w:t>1</w:t>
      </w:r>
    </w:p>
    <w:p w14:paraId="51F12FDB" w14:textId="1AC42B7A" w:rsidR="00C00C8F" w:rsidRDefault="00A07628" w:rsidP="00310D86">
      <w:pPr>
        <w:tabs>
          <w:tab w:val="right" w:pos="850"/>
          <w:tab w:val="left" w:pos="1134"/>
          <w:tab w:val="left" w:pos="1560"/>
          <w:tab w:val="left" w:leader="dot" w:pos="8100"/>
          <w:tab w:val="right" w:pos="8929"/>
          <w:tab w:val="right" w:pos="9638"/>
        </w:tabs>
        <w:spacing w:before="120" w:after="100"/>
        <w:ind w:left="1140"/>
      </w:pPr>
      <w:r>
        <w:t>B.</w:t>
      </w:r>
      <w:r>
        <w:tab/>
        <w:t>Reports on the status of implementation</w:t>
      </w:r>
      <w:r>
        <w:tab/>
      </w:r>
      <w:r>
        <w:tab/>
      </w:r>
      <w:r w:rsidR="008F74AF">
        <w:t>44-48</w:t>
      </w:r>
      <w:r w:rsidR="008F74AF">
        <w:tab/>
        <w:t>1</w:t>
      </w:r>
      <w:r w:rsidR="00137CAC">
        <w:t>1</w:t>
      </w:r>
    </w:p>
    <w:p w14:paraId="3E7F88FD" w14:textId="7CB5474B"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1.</w:t>
      </w:r>
      <w:r>
        <w:tab/>
        <w:t>Australia</w:t>
      </w:r>
      <w:r>
        <w:tab/>
      </w:r>
      <w:r>
        <w:tab/>
        <w:t>44</w:t>
      </w:r>
      <w:r>
        <w:tab/>
        <w:t>1</w:t>
      </w:r>
      <w:r w:rsidR="00137CAC">
        <w:t>1</w:t>
      </w:r>
    </w:p>
    <w:p w14:paraId="7922F7CC" w14:textId="4480781C"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2.</w:t>
      </w:r>
      <w:r>
        <w:tab/>
        <w:t>European Union</w:t>
      </w:r>
      <w:r>
        <w:tab/>
      </w:r>
      <w:r>
        <w:tab/>
        <w:t>45</w:t>
      </w:r>
      <w:r>
        <w:tab/>
        <w:t>1</w:t>
      </w:r>
      <w:r w:rsidR="00137CAC">
        <w:t>1</w:t>
      </w:r>
    </w:p>
    <w:p w14:paraId="3548052F" w14:textId="235163AF"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3.</w:t>
      </w:r>
      <w:r>
        <w:tab/>
        <w:t>New Zealand and ANDEAN community</w:t>
      </w:r>
      <w:r>
        <w:tab/>
      </w:r>
      <w:r>
        <w:tab/>
        <w:t>46</w:t>
      </w:r>
      <w:r>
        <w:tab/>
        <w:t>1</w:t>
      </w:r>
      <w:r w:rsidR="00137CAC">
        <w:t>1</w:t>
      </w:r>
    </w:p>
    <w:p w14:paraId="630DF4EE" w14:textId="701ED8B5"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4.</w:t>
      </w:r>
      <w:r>
        <w:tab/>
        <w:t>Canada and the United States of America</w:t>
      </w:r>
      <w:r>
        <w:tab/>
      </w:r>
      <w:r>
        <w:tab/>
        <w:t>47</w:t>
      </w:r>
      <w:r>
        <w:tab/>
        <w:t>1</w:t>
      </w:r>
      <w:r w:rsidR="00137CAC">
        <w:t>1</w:t>
      </w:r>
    </w:p>
    <w:p w14:paraId="30358B74" w14:textId="4A3C4F91"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5.</w:t>
      </w:r>
      <w:r>
        <w:tab/>
        <w:t>Information on the status of implementation of the GHS</w:t>
      </w:r>
      <w:r>
        <w:tab/>
      </w:r>
      <w:r>
        <w:tab/>
        <w:t>48</w:t>
      </w:r>
      <w:r>
        <w:tab/>
        <w:t>10</w:t>
      </w:r>
    </w:p>
    <w:p w14:paraId="38ECA350" w14:textId="612899AE" w:rsidR="00C00C8F" w:rsidRDefault="00310D86" w:rsidP="00310D86">
      <w:pPr>
        <w:tabs>
          <w:tab w:val="right" w:pos="850"/>
          <w:tab w:val="left" w:pos="1134"/>
          <w:tab w:val="left" w:pos="1560"/>
          <w:tab w:val="left" w:leader="dot" w:pos="8100"/>
          <w:tab w:val="right" w:pos="8929"/>
          <w:tab w:val="right" w:pos="9638"/>
        </w:tabs>
        <w:spacing w:before="120" w:after="100"/>
        <w:ind w:left="1140"/>
      </w:pPr>
      <w:r>
        <w:t>C.</w:t>
      </w:r>
      <w:r w:rsidR="003C668D">
        <w:tab/>
        <w:t>Cooperation with other bodies or international organizations</w:t>
      </w:r>
      <w:r w:rsidR="003C668D">
        <w:tab/>
      </w:r>
      <w:r w:rsidR="003C668D">
        <w:tab/>
      </w:r>
      <w:r w:rsidR="008F74AF">
        <w:t>49-52</w:t>
      </w:r>
      <w:r w:rsidR="008F74AF">
        <w:tab/>
        <w:t>1</w:t>
      </w:r>
      <w:r w:rsidR="00137CAC">
        <w:t>2</w:t>
      </w:r>
    </w:p>
    <w:p w14:paraId="57A07848" w14:textId="2B1E7CE7"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1.</w:t>
      </w:r>
      <w:r>
        <w:tab/>
        <w:t>Review and update of references to OECD guidance documents</w:t>
      </w:r>
      <w:r>
        <w:br/>
      </w:r>
      <w:r>
        <w:tab/>
      </w:r>
      <w:r>
        <w:tab/>
        <w:t>and test guidelines in the GHS</w:t>
      </w:r>
      <w:r>
        <w:tab/>
      </w:r>
      <w:r>
        <w:tab/>
        <w:t>49-50</w:t>
      </w:r>
      <w:r>
        <w:tab/>
        <w:t>1</w:t>
      </w:r>
      <w:r w:rsidR="00137CAC">
        <w:t>2</w:t>
      </w:r>
    </w:p>
    <w:p w14:paraId="0B94B5EF" w14:textId="62C4F23D"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2.</w:t>
      </w:r>
      <w:r>
        <w:tab/>
        <w:t>Expert Working Group on the review of Annexes to the Basel Convention</w:t>
      </w:r>
      <w:r>
        <w:br/>
      </w:r>
      <w:r>
        <w:tab/>
      </w:r>
      <w:r>
        <w:tab/>
        <w:t xml:space="preserve">on the Control of Transboundary Movements of Hazardous Wastes and </w:t>
      </w:r>
      <w:r>
        <w:br/>
      </w:r>
      <w:r>
        <w:tab/>
      </w:r>
      <w:r>
        <w:tab/>
        <w:t>their disposal</w:t>
      </w:r>
      <w:r>
        <w:tab/>
      </w:r>
      <w:r>
        <w:tab/>
        <w:t>51</w:t>
      </w:r>
      <w:r>
        <w:tab/>
        <w:t>1</w:t>
      </w:r>
      <w:r w:rsidR="00137CAC">
        <w:t>2</w:t>
      </w:r>
    </w:p>
    <w:p w14:paraId="51FBA93F" w14:textId="3B59E803" w:rsidR="00A71CD1" w:rsidRDefault="00A71CD1" w:rsidP="00A71CD1">
      <w:pPr>
        <w:tabs>
          <w:tab w:val="right" w:pos="850"/>
          <w:tab w:val="left" w:pos="1134"/>
          <w:tab w:val="left" w:pos="1560"/>
          <w:tab w:val="left" w:pos="1985"/>
          <w:tab w:val="left" w:leader="dot" w:pos="8100"/>
          <w:tab w:val="right" w:pos="8929"/>
          <w:tab w:val="right" w:pos="9638"/>
        </w:tabs>
        <w:spacing w:before="120" w:after="100"/>
        <w:ind w:left="1140"/>
      </w:pPr>
      <w:r>
        <w:tab/>
        <w:t>3.</w:t>
      </w:r>
      <w:r>
        <w:tab/>
        <w:t xml:space="preserve">Strategic approach and sound management of chemicals and </w:t>
      </w:r>
      <w:r>
        <w:br/>
      </w:r>
      <w:r>
        <w:tab/>
      </w:r>
      <w:r>
        <w:tab/>
      </w:r>
      <w:proofErr w:type="spellStart"/>
      <w:r>
        <w:t>wate</w:t>
      </w:r>
      <w:proofErr w:type="spellEnd"/>
      <w:r>
        <w:t xml:space="preserve"> beyond 2020</w:t>
      </w:r>
      <w:r w:rsidR="00DC084E">
        <w:tab/>
      </w:r>
      <w:r w:rsidR="00DC084E">
        <w:tab/>
        <w:t>52</w:t>
      </w:r>
      <w:r w:rsidR="00DC084E">
        <w:tab/>
        <w:t>1</w:t>
      </w:r>
      <w:r w:rsidR="00137CAC">
        <w:t>2</w:t>
      </w:r>
    </w:p>
    <w:p w14:paraId="26E55F8A" w14:textId="78AB1176" w:rsidR="00C00C8F" w:rsidRDefault="00310D86" w:rsidP="0090102E">
      <w:pPr>
        <w:tabs>
          <w:tab w:val="right" w:pos="850"/>
          <w:tab w:val="left" w:pos="1134"/>
          <w:tab w:val="left" w:pos="1560"/>
          <w:tab w:val="left" w:leader="dot" w:pos="8100"/>
          <w:tab w:val="right" w:pos="8929"/>
          <w:tab w:val="right" w:pos="9638"/>
        </w:tabs>
        <w:spacing w:before="120" w:after="100"/>
        <w:ind w:left="1140"/>
      </w:pPr>
      <w:r>
        <w:t>D.</w:t>
      </w:r>
      <w:r w:rsidR="0090102E">
        <w:tab/>
      </w:r>
      <w:r>
        <w:t>Miscellaneous</w:t>
      </w:r>
      <w:r w:rsidR="0090102E">
        <w:tab/>
      </w:r>
      <w:r w:rsidR="0090102E">
        <w:tab/>
      </w:r>
      <w:r w:rsidR="008F74AF">
        <w:t>53</w:t>
      </w:r>
      <w:r w:rsidR="008F74AF">
        <w:tab/>
        <w:t>1</w:t>
      </w:r>
      <w:r w:rsidR="00137CAC">
        <w:t>2</w:t>
      </w:r>
    </w:p>
    <w:p w14:paraId="5845BBEE" w14:textId="38803015" w:rsidR="0090102E" w:rsidRDefault="0090102E" w:rsidP="0090102E">
      <w:pPr>
        <w:tabs>
          <w:tab w:val="right" w:pos="850"/>
          <w:tab w:val="left" w:pos="1134"/>
          <w:tab w:val="left" w:pos="1559"/>
          <w:tab w:val="left" w:pos="1984"/>
          <w:tab w:val="left" w:leader="dot" w:pos="8100"/>
          <w:tab w:val="right" w:pos="8929"/>
          <w:tab w:val="right" w:pos="9638"/>
        </w:tabs>
        <w:spacing w:before="120" w:after="100"/>
      </w:pPr>
      <w:r>
        <w:tab/>
        <w:t>VI.</w:t>
      </w:r>
      <w:r>
        <w:tab/>
        <w:t>Development of guidance on the application of GHS criteria (agenda item 5)</w:t>
      </w:r>
      <w:r>
        <w:tab/>
      </w:r>
      <w:r>
        <w:tab/>
      </w:r>
      <w:r w:rsidR="008F74AF">
        <w:t>54</w:t>
      </w:r>
      <w:r w:rsidR="008F74AF">
        <w:tab/>
        <w:t>1</w:t>
      </w:r>
      <w:r w:rsidR="00137CAC">
        <w:t>2</w:t>
      </w:r>
    </w:p>
    <w:p w14:paraId="2BAB26E9" w14:textId="1E209450" w:rsidR="0090102E" w:rsidRDefault="0090102E" w:rsidP="0090102E">
      <w:pPr>
        <w:tabs>
          <w:tab w:val="right" w:pos="850"/>
          <w:tab w:val="left" w:pos="1134"/>
          <w:tab w:val="left" w:pos="1559"/>
          <w:tab w:val="left" w:pos="1984"/>
          <w:tab w:val="left" w:leader="dot" w:pos="8100"/>
          <w:tab w:val="right" w:pos="8929"/>
          <w:tab w:val="right" w:pos="9638"/>
        </w:tabs>
        <w:spacing w:before="120" w:after="100"/>
      </w:pPr>
      <w:r>
        <w:lastRenderedPageBreak/>
        <w:tab/>
        <w:t>VII.</w:t>
      </w:r>
      <w:r>
        <w:tab/>
        <w:t>Capacity building (agenda item 6)</w:t>
      </w:r>
      <w:r>
        <w:tab/>
      </w:r>
      <w:r>
        <w:tab/>
      </w:r>
      <w:r w:rsidR="008F74AF">
        <w:t>55</w:t>
      </w:r>
      <w:r w:rsidR="008F74AF">
        <w:tab/>
        <w:t>1</w:t>
      </w:r>
      <w:r w:rsidR="00137CAC">
        <w:t>3</w:t>
      </w:r>
    </w:p>
    <w:p w14:paraId="2380EB1B" w14:textId="41BD9984" w:rsidR="0090102E" w:rsidRDefault="0090102E" w:rsidP="0090102E">
      <w:pPr>
        <w:tabs>
          <w:tab w:val="right" w:pos="850"/>
          <w:tab w:val="left" w:pos="1134"/>
          <w:tab w:val="left" w:pos="1559"/>
          <w:tab w:val="left" w:pos="1984"/>
          <w:tab w:val="left" w:leader="dot" w:pos="8100"/>
          <w:tab w:val="right" w:pos="8929"/>
          <w:tab w:val="right" w:pos="9638"/>
        </w:tabs>
        <w:spacing w:before="120" w:after="100"/>
      </w:pPr>
      <w:r>
        <w:tab/>
        <w:t>VIII.</w:t>
      </w:r>
      <w:r>
        <w:tab/>
        <w:t>Other business (agenda item 7)</w:t>
      </w:r>
      <w:r>
        <w:tab/>
      </w:r>
      <w:r>
        <w:tab/>
      </w:r>
      <w:r w:rsidR="008F74AF">
        <w:t>56-59</w:t>
      </w:r>
      <w:r w:rsidR="008F74AF">
        <w:tab/>
        <w:t>1</w:t>
      </w:r>
      <w:r w:rsidR="00137CAC">
        <w:t>3</w:t>
      </w:r>
    </w:p>
    <w:p w14:paraId="154E56BA" w14:textId="0BF1C49B" w:rsidR="00DC084E" w:rsidRDefault="00DC084E" w:rsidP="005C7D0B">
      <w:pPr>
        <w:tabs>
          <w:tab w:val="right" w:pos="851"/>
          <w:tab w:val="left" w:pos="1162"/>
          <w:tab w:val="left" w:pos="1559"/>
          <w:tab w:val="left" w:pos="1984"/>
          <w:tab w:val="left" w:leader="dot" w:pos="8100"/>
          <w:tab w:val="right" w:pos="8929"/>
          <w:tab w:val="right" w:pos="9638"/>
        </w:tabs>
        <w:spacing w:before="120" w:after="100"/>
        <w:ind w:left="675" w:firstLine="459"/>
      </w:pPr>
      <w:r>
        <w:t>A.</w:t>
      </w:r>
      <w:r>
        <w:tab/>
        <w:t xml:space="preserve">Condolences </w:t>
      </w:r>
      <w:r>
        <w:tab/>
      </w:r>
      <w:r>
        <w:tab/>
        <w:t>56</w:t>
      </w:r>
      <w:r>
        <w:tab/>
        <w:t>1</w:t>
      </w:r>
      <w:r w:rsidR="00137CAC">
        <w:t>3</w:t>
      </w:r>
    </w:p>
    <w:p w14:paraId="0DD92A31" w14:textId="64B6A72B" w:rsidR="00DC084E" w:rsidRDefault="00DC084E" w:rsidP="005C7D0B">
      <w:pPr>
        <w:tabs>
          <w:tab w:val="right" w:pos="851"/>
          <w:tab w:val="left" w:pos="1162"/>
          <w:tab w:val="left" w:pos="1559"/>
          <w:tab w:val="left" w:pos="1984"/>
          <w:tab w:val="left" w:leader="dot" w:pos="8100"/>
          <w:tab w:val="right" w:pos="8929"/>
          <w:tab w:val="right" w:pos="9638"/>
        </w:tabs>
        <w:spacing w:before="120" w:after="100"/>
        <w:ind w:left="675" w:firstLine="459"/>
      </w:pPr>
      <w:r>
        <w:t>B.</w:t>
      </w:r>
      <w:r>
        <w:tab/>
        <w:t>Definitions and use of acronyms and abbreviations in the GHS</w:t>
      </w:r>
      <w:r>
        <w:tab/>
      </w:r>
      <w:r>
        <w:tab/>
        <w:t>57</w:t>
      </w:r>
      <w:r>
        <w:tab/>
        <w:t>1</w:t>
      </w:r>
      <w:r w:rsidR="00137CAC">
        <w:t>3</w:t>
      </w:r>
    </w:p>
    <w:p w14:paraId="52338F75" w14:textId="54D43494" w:rsidR="00DC084E" w:rsidRDefault="00DC084E" w:rsidP="005C7D0B">
      <w:pPr>
        <w:tabs>
          <w:tab w:val="right" w:pos="851"/>
          <w:tab w:val="left" w:pos="1162"/>
          <w:tab w:val="left" w:pos="1559"/>
          <w:tab w:val="left" w:pos="1984"/>
          <w:tab w:val="left" w:leader="dot" w:pos="8100"/>
          <w:tab w:val="right" w:pos="8929"/>
          <w:tab w:val="right" w:pos="9638"/>
        </w:tabs>
        <w:spacing w:before="120" w:after="100"/>
        <w:ind w:left="675" w:firstLine="459"/>
      </w:pPr>
      <w:r>
        <w:t>C.</w:t>
      </w:r>
      <w:r>
        <w:tab/>
        <w:t>Joint session of the TDG and GHS subcommittees</w:t>
      </w:r>
      <w:r>
        <w:tab/>
      </w:r>
      <w:r>
        <w:tab/>
        <w:t>58-59</w:t>
      </w:r>
      <w:r>
        <w:tab/>
        <w:t>1</w:t>
      </w:r>
      <w:r w:rsidR="00137CAC">
        <w:t>3</w:t>
      </w:r>
    </w:p>
    <w:p w14:paraId="46829762" w14:textId="3F075B85" w:rsidR="0090102E" w:rsidRDefault="0090102E" w:rsidP="0090102E">
      <w:pPr>
        <w:tabs>
          <w:tab w:val="right" w:pos="850"/>
          <w:tab w:val="left" w:pos="1134"/>
          <w:tab w:val="left" w:pos="1559"/>
          <w:tab w:val="left" w:pos="1984"/>
          <w:tab w:val="left" w:leader="dot" w:pos="8100"/>
          <w:tab w:val="right" w:pos="8929"/>
          <w:tab w:val="right" w:pos="9638"/>
        </w:tabs>
        <w:spacing w:before="120" w:after="100"/>
      </w:pPr>
      <w:r>
        <w:tab/>
        <w:t>IX.</w:t>
      </w:r>
      <w:r>
        <w:tab/>
        <w:t>Adoption of the report (agenda item 8)</w:t>
      </w:r>
      <w:r>
        <w:tab/>
      </w:r>
      <w:r>
        <w:tab/>
      </w:r>
      <w:r w:rsidR="008F74AF">
        <w:t>60</w:t>
      </w:r>
      <w:r w:rsidR="008F74AF">
        <w:tab/>
        <w:t>1</w:t>
      </w:r>
      <w:r w:rsidR="00137CAC">
        <w:t>3</w:t>
      </w:r>
    </w:p>
    <w:p w14:paraId="576EE2F9" w14:textId="77777777" w:rsidR="00C00C8F" w:rsidRDefault="00C00C8F">
      <w:pPr>
        <w:suppressAutoHyphens w:val="0"/>
        <w:spacing w:line="240" w:lineRule="auto"/>
      </w:pPr>
    </w:p>
    <w:p w14:paraId="5F008815" w14:textId="6716F66C" w:rsidR="00BE3687" w:rsidRDefault="00BE3687" w:rsidP="00BE3687">
      <w:pPr>
        <w:tabs>
          <w:tab w:val="right" w:pos="850"/>
          <w:tab w:val="left" w:pos="1134"/>
          <w:tab w:val="left" w:pos="1559"/>
          <w:tab w:val="left" w:pos="1984"/>
          <w:tab w:val="left" w:leader="dot" w:pos="8100"/>
          <w:tab w:val="right" w:pos="8929"/>
          <w:tab w:val="right" w:pos="9638"/>
        </w:tabs>
        <w:spacing w:after="100"/>
      </w:pPr>
      <w:r>
        <w:t>Annexes</w:t>
      </w:r>
    </w:p>
    <w:p w14:paraId="32716812" w14:textId="77777777" w:rsidR="00BE3687" w:rsidRDefault="00BE3687" w:rsidP="00BE3687">
      <w:pPr>
        <w:tabs>
          <w:tab w:val="right" w:pos="850"/>
          <w:tab w:val="left" w:pos="1134"/>
          <w:tab w:val="left" w:pos="1559"/>
          <w:tab w:val="left" w:pos="1984"/>
          <w:tab w:val="left" w:leader="dot" w:pos="8100"/>
          <w:tab w:val="right" w:pos="8929"/>
          <w:tab w:val="right" w:pos="9638"/>
        </w:tabs>
        <w:spacing w:after="100"/>
      </w:pPr>
    </w:p>
    <w:p w14:paraId="43B2373B" w14:textId="2122C7EA" w:rsidR="00BE3687" w:rsidRDefault="00BE3687" w:rsidP="00BE3687">
      <w:pPr>
        <w:tabs>
          <w:tab w:val="right" w:pos="850"/>
          <w:tab w:val="left" w:pos="1134"/>
          <w:tab w:val="left" w:pos="1559"/>
          <w:tab w:val="left" w:pos="1984"/>
          <w:tab w:val="left" w:leader="dot" w:pos="8100"/>
          <w:tab w:val="right" w:pos="8929"/>
          <w:tab w:val="right" w:pos="9638"/>
        </w:tabs>
        <w:spacing w:after="100"/>
        <w:ind w:left="1134" w:hanging="708"/>
      </w:pPr>
      <w:r>
        <w:t>I.</w:t>
      </w:r>
      <w:r>
        <w:tab/>
      </w:r>
      <w:r>
        <w:tab/>
        <w:t>Draft amendments to the eighth revised edition of the Globally Harmonized</w:t>
      </w:r>
      <w:r>
        <w:br/>
        <w:t>System of Classification and Labelling of Chemicals (ST/SG/AC.10/30/Rev.8)</w:t>
      </w:r>
      <w:r>
        <w:tab/>
      </w:r>
      <w:r>
        <w:tab/>
      </w:r>
      <w:r w:rsidR="008F74AF">
        <w:tab/>
        <w:t>1</w:t>
      </w:r>
      <w:r w:rsidR="00137CAC">
        <w:t>4</w:t>
      </w:r>
    </w:p>
    <w:p w14:paraId="0EE72FC0" w14:textId="5A4E71F9" w:rsidR="00C00C8F" w:rsidRDefault="00C00C8F">
      <w:pPr>
        <w:suppressAutoHyphens w:val="0"/>
        <w:spacing w:line="240" w:lineRule="auto"/>
      </w:pPr>
    </w:p>
    <w:p w14:paraId="5A4CEC3B" w14:textId="4199225E" w:rsidR="00BE3687" w:rsidRDefault="00BE3687" w:rsidP="00BE3687">
      <w:pPr>
        <w:tabs>
          <w:tab w:val="right" w:pos="850"/>
          <w:tab w:val="left" w:pos="1134"/>
          <w:tab w:val="left" w:pos="1559"/>
          <w:tab w:val="left" w:pos="1984"/>
          <w:tab w:val="left" w:leader="dot" w:pos="8100"/>
          <w:tab w:val="right" w:pos="8929"/>
          <w:tab w:val="right" w:pos="9638"/>
        </w:tabs>
        <w:spacing w:after="100"/>
        <w:ind w:left="1134" w:hanging="708"/>
      </w:pPr>
      <w:r>
        <w:t>II.</w:t>
      </w:r>
      <w:r>
        <w:tab/>
      </w:r>
      <w:r>
        <w:tab/>
        <w:t>Corrections to the eighth revised edition of the Globally Harmonized</w:t>
      </w:r>
      <w:r>
        <w:br/>
        <w:t>System of Classification and Labelling of Chemicals (ST/SG/AC.10/30/Rev.8)</w:t>
      </w:r>
      <w:r>
        <w:tab/>
      </w:r>
      <w:r>
        <w:tab/>
      </w:r>
      <w:r w:rsidR="008F74AF">
        <w:tab/>
        <w:t>1</w:t>
      </w:r>
      <w:r w:rsidR="00137CAC">
        <w:t>7</w:t>
      </w:r>
    </w:p>
    <w:p w14:paraId="156446F3" w14:textId="77777777" w:rsidR="00C00C8F" w:rsidRDefault="00C00C8F">
      <w:pPr>
        <w:suppressAutoHyphens w:val="0"/>
        <w:spacing w:line="240" w:lineRule="auto"/>
      </w:pPr>
    </w:p>
    <w:p w14:paraId="10D74884" w14:textId="561F9A03" w:rsidR="00D91CF7" w:rsidRDefault="00D91CF7">
      <w:pPr>
        <w:suppressAutoHyphens w:val="0"/>
        <w:spacing w:line="240" w:lineRule="auto"/>
      </w:pPr>
      <w:r>
        <w:br w:type="page"/>
      </w:r>
    </w:p>
    <w:p w14:paraId="3084F747" w14:textId="77777777" w:rsidR="00C00C8F" w:rsidRPr="003C2A36" w:rsidRDefault="00C00C8F" w:rsidP="00C00C8F">
      <w:pPr>
        <w:pStyle w:val="HChG"/>
      </w:pPr>
      <w:bookmarkStart w:id="1" w:name="_Hlk13834182"/>
      <w:bookmarkStart w:id="2" w:name="_Hlk13835080"/>
      <w:r>
        <w:lastRenderedPageBreak/>
        <w:tab/>
      </w:r>
      <w:r w:rsidRPr="003C2A36">
        <w:t>I.</w:t>
      </w:r>
      <w:r w:rsidRPr="003C2A36">
        <w:tab/>
        <w:t>Attendance</w:t>
      </w:r>
    </w:p>
    <w:p w14:paraId="780F37F4" w14:textId="709C2CD8" w:rsidR="00C00C8F" w:rsidRPr="000D4CEF" w:rsidRDefault="00C00C8F" w:rsidP="00C00C8F">
      <w:pPr>
        <w:pStyle w:val="SingleTxtG"/>
      </w:pPr>
      <w:r w:rsidRPr="00324CC9">
        <w:t>1.</w:t>
      </w:r>
      <w:r w:rsidRPr="00324CC9">
        <w:tab/>
        <w:t>The Sub-Committee of Experts on the Globally Harmonized System of Classification and Labelling of Chemicals held its thirty-</w:t>
      </w:r>
      <w:r>
        <w:t xml:space="preserve">eighth </w:t>
      </w:r>
      <w:r w:rsidRPr="00324CC9">
        <w:t xml:space="preserve">session from </w:t>
      </w:r>
      <w:r>
        <w:t xml:space="preserve">11 </w:t>
      </w:r>
      <w:r w:rsidRPr="00324CC9">
        <w:t xml:space="preserve">to </w:t>
      </w:r>
      <w:r>
        <w:t>13 December 2019</w:t>
      </w:r>
      <w:r w:rsidRPr="00324CC9">
        <w:t>, with</w:t>
      </w:r>
      <w:r>
        <w:t xml:space="preserve"> </w:t>
      </w:r>
      <w:r w:rsidRPr="00324CC9">
        <w:t xml:space="preserve">Ms. Maureen Ruskin (United States of America) as Chair and </w:t>
      </w:r>
      <w:r w:rsidRPr="0082632A">
        <w:t xml:space="preserve">Mr. </w:t>
      </w:r>
      <w:r w:rsidR="0073100B" w:rsidRPr="0082632A">
        <w:t>Paul Taylor (Australia)</w:t>
      </w:r>
      <w:r w:rsidRPr="0082632A">
        <w:t xml:space="preserve"> as Vice-Chair</w:t>
      </w:r>
      <w:r>
        <w:t>.</w:t>
      </w:r>
    </w:p>
    <w:p w14:paraId="7AE291AF" w14:textId="0E94D219" w:rsidR="00C00C8F" w:rsidRPr="0074788E" w:rsidRDefault="00C00C8F" w:rsidP="00C00C8F">
      <w:pPr>
        <w:pStyle w:val="SingleTxtG"/>
      </w:pPr>
      <w:r w:rsidRPr="0074788E">
        <w:t>2.</w:t>
      </w:r>
      <w:r w:rsidRPr="0074788E">
        <w:tab/>
        <w:t xml:space="preserve">Experts from the following countries took part in the session: Australia, Austria, </w:t>
      </w:r>
      <w:r w:rsidR="0073100B">
        <w:t xml:space="preserve">Brazil, </w:t>
      </w:r>
      <w:r w:rsidRPr="0074788E">
        <w:t xml:space="preserve">Canada, China, France, Germany, Italy, Japan, Netherlands, Norway, </w:t>
      </w:r>
      <w:r w:rsidR="00F361CC">
        <w:t xml:space="preserve">Poland, </w:t>
      </w:r>
      <w:r w:rsidRPr="0082632A">
        <w:t>Republic of Korea</w:t>
      </w:r>
      <w:r w:rsidRPr="0074788E">
        <w:t xml:space="preserve">, </w:t>
      </w:r>
      <w:r>
        <w:t xml:space="preserve">Russian Federation, Serbia, Spain, </w:t>
      </w:r>
      <w:r w:rsidRPr="0074788E">
        <w:t>Sweden, United Kingdom and United States of America.</w:t>
      </w:r>
    </w:p>
    <w:p w14:paraId="60FBE520" w14:textId="7E4CCCE3" w:rsidR="00C00C8F" w:rsidRDefault="00C00C8F" w:rsidP="00C00C8F">
      <w:pPr>
        <w:pStyle w:val="SingleTxtG"/>
      </w:pPr>
      <w:r w:rsidRPr="0074788E">
        <w:t>3.</w:t>
      </w:r>
      <w:r w:rsidRPr="0074788E">
        <w:tab/>
        <w:t xml:space="preserve">Under rule 72 of the rules of procedure of the Economic and Social Council, observers from Switzerland </w:t>
      </w:r>
      <w:r>
        <w:t xml:space="preserve">and Thailand </w:t>
      </w:r>
      <w:r w:rsidRPr="0074788E">
        <w:t>also took part.</w:t>
      </w:r>
    </w:p>
    <w:p w14:paraId="3A91F4E3" w14:textId="2DD5EE99" w:rsidR="00C00C8F" w:rsidRDefault="00C00C8F" w:rsidP="00C00C8F">
      <w:pPr>
        <w:pStyle w:val="SingleTxtG"/>
      </w:pPr>
      <w:r>
        <w:t>4</w:t>
      </w:r>
      <w:r w:rsidRPr="0074788E">
        <w:t>.</w:t>
      </w:r>
      <w:r w:rsidRPr="0074788E">
        <w:tab/>
        <w:t>The following intergovernmental organization</w:t>
      </w:r>
      <w:r>
        <w:t>s</w:t>
      </w:r>
      <w:r w:rsidRPr="0074788E">
        <w:t xml:space="preserve"> </w:t>
      </w:r>
      <w:r>
        <w:t>were</w:t>
      </w:r>
      <w:r w:rsidRPr="0074788E">
        <w:t xml:space="preserve"> also represented: European Union</w:t>
      </w:r>
      <w:r>
        <w:t xml:space="preserve"> </w:t>
      </w:r>
      <w:r w:rsidR="004A7081">
        <w:t xml:space="preserve">and the </w:t>
      </w:r>
      <w:r w:rsidRPr="00791E92">
        <w:t>United Nations Institute for Training and Research (UNITAR).</w:t>
      </w:r>
    </w:p>
    <w:p w14:paraId="0C6C7066" w14:textId="08F15852" w:rsidR="00C00C8F" w:rsidRPr="00F063FF" w:rsidRDefault="00C00C8F" w:rsidP="00C00C8F">
      <w:pPr>
        <w:pStyle w:val="SingleTxtG"/>
        <w:rPr>
          <w:i/>
          <w:iCs/>
        </w:rPr>
      </w:pPr>
      <w:bookmarkStart w:id="3" w:name="_Hlk13840234"/>
      <w:r>
        <w:t>5</w:t>
      </w:r>
      <w:r w:rsidRPr="0074788E">
        <w:t>.</w:t>
      </w:r>
      <w:r w:rsidRPr="0074788E">
        <w:tab/>
        <w:t xml:space="preserve">Representatives of the following non-governmental organizations took part in the discussion of items of concern to their organizations: </w:t>
      </w:r>
      <w:r w:rsidRPr="00F0725A">
        <w:t>Association of European Manufacturers of Sporting Ammunition (AFEMS),</w:t>
      </w:r>
      <w:r>
        <w:t xml:space="preserve"> </w:t>
      </w:r>
      <w:r w:rsidRPr="00F361CC">
        <w:t xml:space="preserve">Australian Explosives Industry and Safety Group Incorporated (AEISG); Compressed Gas Association (CGA); </w:t>
      </w:r>
      <w:r w:rsidRPr="00791E92">
        <w:t>Dangerous Goods Advisory Council (DGAC); European Chemical Industry Council (</w:t>
      </w:r>
      <w:proofErr w:type="spellStart"/>
      <w:r w:rsidR="004A7081" w:rsidRPr="00791E92">
        <w:t>Cefic</w:t>
      </w:r>
      <w:proofErr w:type="spellEnd"/>
      <w:r w:rsidRPr="00791E92">
        <w:t>); European Industrial Gases Association (EIGA); International Council on Mining and Metals (ICMM), Federation of European Aerosol Associations (FEA); International Association for Soaps, Detergents and Maintenance Products (AISE); International Paint and Printing Ink Council (IPPIC); Responsible Packaging Management Association of Southern Africa (RPMASA); and Sporting Arms and Ammunition Manufacturers’ Institute (SAAMI)</w:t>
      </w:r>
      <w:bookmarkEnd w:id="3"/>
      <w:r w:rsidRPr="00791E92">
        <w:t>.</w:t>
      </w:r>
    </w:p>
    <w:p w14:paraId="3720BAEB" w14:textId="77777777" w:rsidR="00C00C8F" w:rsidRPr="0095340C" w:rsidRDefault="00C00C8F" w:rsidP="00C00C8F">
      <w:pPr>
        <w:pStyle w:val="HChG"/>
      </w:pPr>
      <w:bookmarkStart w:id="4" w:name="_Hlk13834803"/>
      <w:r>
        <w:tab/>
      </w:r>
      <w:r w:rsidRPr="0095340C">
        <w:t>I</w:t>
      </w:r>
      <w:r>
        <w:t>I</w:t>
      </w:r>
      <w:r w:rsidRPr="0095340C">
        <w:t>.</w:t>
      </w:r>
      <w:r w:rsidRPr="0095340C">
        <w:tab/>
        <w:t>Adoption of the agenda (agenda item 1)</w:t>
      </w:r>
    </w:p>
    <w:p w14:paraId="7DAF963E" w14:textId="77777777" w:rsidR="00C00C8F" w:rsidRPr="0095340C" w:rsidRDefault="00C00C8F" w:rsidP="00C00C8F">
      <w:pPr>
        <w:pStyle w:val="SingleTxtG"/>
        <w:tabs>
          <w:tab w:val="left" w:pos="3119"/>
        </w:tabs>
        <w:ind w:left="3402" w:hanging="2268"/>
        <w:jc w:val="left"/>
      </w:pPr>
      <w:r w:rsidRPr="0095340C">
        <w:rPr>
          <w:i/>
        </w:rPr>
        <w:t>Documents:</w:t>
      </w:r>
      <w:r w:rsidRPr="0095340C">
        <w:t xml:space="preserve"> </w:t>
      </w:r>
      <w:r w:rsidRPr="0095340C">
        <w:tab/>
      </w:r>
      <w:r w:rsidRPr="0095340C">
        <w:tab/>
        <w:t>ST/SG/AC.10/C.4/7</w:t>
      </w:r>
      <w:r>
        <w:t>5</w:t>
      </w:r>
      <w:r w:rsidRPr="0095340C">
        <w:t xml:space="preserve"> (Provisional agenda)</w:t>
      </w:r>
      <w:r w:rsidRPr="0095340C">
        <w:br/>
        <w:t>ST/SG/AC.10/C.4/7</w:t>
      </w:r>
      <w:r>
        <w:t>5</w:t>
      </w:r>
      <w:r w:rsidRPr="0095340C">
        <w:t>/Add.1 (List of documents and annotations)</w:t>
      </w:r>
    </w:p>
    <w:p w14:paraId="5423D6A9" w14:textId="77777777" w:rsidR="00C00C8F" w:rsidRPr="0095340C" w:rsidRDefault="00C00C8F" w:rsidP="00C00C8F">
      <w:pPr>
        <w:pStyle w:val="SingleTxtG"/>
        <w:jc w:val="left"/>
      </w:pPr>
      <w:r w:rsidRPr="0095340C">
        <w:rPr>
          <w:i/>
        </w:rPr>
        <w:t>Informal documents</w:t>
      </w:r>
      <w:r w:rsidRPr="0095340C">
        <w:t xml:space="preserve">: </w:t>
      </w:r>
      <w:r w:rsidRPr="0095340C">
        <w:tab/>
        <w:t xml:space="preserve">INF.1, INF.2 (List of documents) </w:t>
      </w:r>
      <w:r w:rsidRPr="0095340C">
        <w:br/>
      </w:r>
      <w:r w:rsidRPr="0095340C">
        <w:tab/>
      </w:r>
      <w:r w:rsidRPr="0095340C">
        <w:tab/>
      </w:r>
      <w:r w:rsidRPr="0095340C">
        <w:tab/>
      </w:r>
      <w:r w:rsidRPr="0095340C">
        <w:tab/>
      </w:r>
      <w:r>
        <w:tab/>
      </w:r>
      <w:r w:rsidRPr="0095340C">
        <w:t>INF.</w:t>
      </w:r>
      <w:r>
        <w:t>10</w:t>
      </w:r>
      <w:r w:rsidRPr="0095340C">
        <w:t xml:space="preserve"> (Provisional timetable)</w:t>
      </w:r>
    </w:p>
    <w:p w14:paraId="7DEF0142" w14:textId="50F12FBC" w:rsidR="00C00C8F" w:rsidRDefault="00C00C8F" w:rsidP="00C00C8F">
      <w:pPr>
        <w:pStyle w:val="SingleTxtG"/>
      </w:pPr>
      <w:r>
        <w:t>6</w:t>
      </w:r>
      <w:r w:rsidRPr="0095340C">
        <w:t>.</w:t>
      </w:r>
      <w:r w:rsidRPr="0095340C">
        <w:tab/>
        <w:t>The Sub-Committee adopted the provisional agenda prepared by the secretariat after amending it to take account of informal documents INF.1 to INF.</w:t>
      </w:r>
      <w:r w:rsidR="00785A34">
        <w:t>32</w:t>
      </w:r>
      <w:r w:rsidRPr="0095340C">
        <w:t>.</w:t>
      </w:r>
    </w:p>
    <w:bookmarkEnd w:id="4"/>
    <w:p w14:paraId="7D74147A" w14:textId="7B1446E2" w:rsidR="0073100B" w:rsidRPr="00E864BF" w:rsidRDefault="0073100B" w:rsidP="0073100B">
      <w:pPr>
        <w:pStyle w:val="H1G"/>
      </w:pPr>
      <w:r>
        <w:tab/>
      </w:r>
      <w:r w:rsidR="004A7081">
        <w:t>A.</w:t>
      </w:r>
      <w:r>
        <w:tab/>
      </w:r>
      <w:r w:rsidRPr="00E864BF">
        <w:t>Status of publications</w:t>
      </w:r>
    </w:p>
    <w:p w14:paraId="6942857A" w14:textId="77777777" w:rsidR="0073100B" w:rsidRPr="00E864BF" w:rsidRDefault="0073100B" w:rsidP="0073100B">
      <w:pPr>
        <w:pStyle w:val="SingleTxtG"/>
      </w:pPr>
      <w:r>
        <w:t>7.</w:t>
      </w:r>
      <w:r>
        <w:tab/>
      </w:r>
      <w:r w:rsidRPr="00E864BF">
        <w:t xml:space="preserve">The Sub-Committee was informed that </w:t>
      </w:r>
      <w:r w:rsidRPr="002D7735">
        <w:t>the English</w:t>
      </w:r>
      <w:r>
        <w:t>, French and Russian</w:t>
      </w:r>
      <w:r w:rsidRPr="00E864BF">
        <w:t xml:space="preserve"> versions of the </w:t>
      </w:r>
      <w:r>
        <w:t>eigh</w:t>
      </w:r>
      <w:r w:rsidRPr="00E864BF">
        <w:t xml:space="preserve">th revised edition of the </w:t>
      </w:r>
      <w:r>
        <w:t xml:space="preserve">GHS </w:t>
      </w:r>
      <w:r w:rsidRPr="00E864BF">
        <w:t>had already be</w:t>
      </w:r>
      <w:r>
        <w:t>en</w:t>
      </w:r>
      <w:r w:rsidRPr="00E864BF">
        <w:t xml:space="preserve"> published</w:t>
      </w:r>
      <w:r>
        <w:t xml:space="preserve"> and that the Spanish, Chinese and Arabic versions were being prepared</w:t>
      </w:r>
      <w:r w:rsidRPr="00E864BF">
        <w:t xml:space="preserve">. </w:t>
      </w:r>
      <w:r>
        <w:t>It was also noted that the English and French versions of the seventh revised edition of the Manual of Tests and Criteria were also available and that t</w:t>
      </w:r>
      <w:r w:rsidRPr="00E864BF">
        <w:t xml:space="preserve">he Spanish, Russian, Chinese and Arabic versions </w:t>
      </w:r>
      <w:r>
        <w:t xml:space="preserve">were </w:t>
      </w:r>
      <w:r w:rsidRPr="00E864BF">
        <w:t>under preparation.</w:t>
      </w:r>
      <w:r>
        <w:t xml:space="preserve"> </w:t>
      </w:r>
    </w:p>
    <w:p w14:paraId="442682FF" w14:textId="77777777" w:rsidR="00791E92" w:rsidRDefault="00791E92">
      <w:pPr>
        <w:suppressAutoHyphens w:val="0"/>
        <w:spacing w:line="240" w:lineRule="auto"/>
        <w:rPr>
          <w:b/>
          <w:sz w:val="24"/>
        </w:rPr>
      </w:pPr>
      <w:r>
        <w:br w:type="page"/>
      </w:r>
    </w:p>
    <w:p w14:paraId="38078E95" w14:textId="032F2EE4" w:rsidR="0073100B" w:rsidRPr="00E864BF" w:rsidRDefault="0073100B" w:rsidP="0073100B">
      <w:pPr>
        <w:pStyle w:val="H1G"/>
      </w:pPr>
      <w:r w:rsidRPr="00E864BF">
        <w:lastRenderedPageBreak/>
        <w:tab/>
      </w:r>
      <w:r w:rsidR="004A7081">
        <w:t>B.</w:t>
      </w:r>
      <w:r w:rsidRPr="00E864BF">
        <w:tab/>
        <w:t>Accreditation of experts</w:t>
      </w:r>
    </w:p>
    <w:p w14:paraId="14F5CE3C" w14:textId="77777777" w:rsidR="0073100B" w:rsidRPr="00E864BF" w:rsidRDefault="0073100B" w:rsidP="0073100B">
      <w:pPr>
        <w:pStyle w:val="SingleTxtG"/>
        <w:ind w:left="2835" w:hanging="1701"/>
        <w:jc w:val="left"/>
        <w:rPr>
          <w:iCs/>
        </w:rPr>
      </w:pPr>
      <w:r w:rsidRPr="00E864BF">
        <w:rPr>
          <w:i/>
        </w:rPr>
        <w:t>Informal</w:t>
      </w:r>
      <w:r w:rsidRPr="00E864BF">
        <w:t xml:space="preserve"> </w:t>
      </w:r>
      <w:r w:rsidRPr="00E864BF">
        <w:rPr>
          <w:i/>
        </w:rPr>
        <w:t>document:</w:t>
      </w:r>
      <w:r w:rsidRPr="00E864BF">
        <w:rPr>
          <w:i/>
        </w:rPr>
        <w:tab/>
      </w:r>
      <w:r w:rsidRPr="00E864BF">
        <w:rPr>
          <w:i/>
        </w:rPr>
        <w:tab/>
      </w:r>
      <w:r>
        <w:rPr>
          <w:i/>
        </w:rPr>
        <w:tab/>
      </w:r>
      <w:r w:rsidRPr="00E864BF">
        <w:rPr>
          <w:iCs/>
        </w:rPr>
        <w:t>INF.</w:t>
      </w:r>
      <w:r>
        <w:rPr>
          <w:iCs/>
        </w:rPr>
        <w:t>14</w:t>
      </w:r>
      <w:r w:rsidRPr="00E864BF">
        <w:rPr>
          <w:iCs/>
        </w:rPr>
        <w:t xml:space="preserve"> (Accreditation of experts)</w:t>
      </w:r>
    </w:p>
    <w:p w14:paraId="34F5A10D" w14:textId="335A0A0A" w:rsidR="0073100B" w:rsidRPr="00E864BF" w:rsidRDefault="0073100B" w:rsidP="0073100B">
      <w:pPr>
        <w:pStyle w:val="SingleTxtG"/>
      </w:pPr>
      <w:r>
        <w:t>8.</w:t>
      </w:r>
      <w:r>
        <w:tab/>
      </w:r>
      <w:r w:rsidRPr="00E864BF">
        <w:t>It was recalled that the Committee of Experts and its two subsidiary bodies are expert bodies composed of Governmental experts. In accordance with the original terms of reference of the Committee, Governments are invited, at the request of the Secretary-General and at their own expense, to make available the experts for the Committee (and its sub-committees). Other members of the delegation (advisors) may be designated by the Head of delegation.</w:t>
      </w:r>
    </w:p>
    <w:p w14:paraId="4E302D9D" w14:textId="77777777" w:rsidR="0073100B" w:rsidRPr="00E864BF" w:rsidRDefault="0073100B" w:rsidP="0073100B">
      <w:pPr>
        <w:pStyle w:val="SingleTxtG"/>
      </w:pPr>
      <w:r>
        <w:t>9.</w:t>
      </w:r>
      <w:r>
        <w:tab/>
      </w:r>
      <w:r w:rsidRPr="00E864BF">
        <w:t xml:space="preserve">For the Sub-Committee of Experts on the Transport of Dangerous Goods, it is expected that the government-nominated expert represents the coordinated expertise of his/her Government in relation to all modes of transport. </w:t>
      </w:r>
    </w:p>
    <w:p w14:paraId="2952BB39" w14:textId="77777777" w:rsidR="0073100B" w:rsidRPr="00E864BF" w:rsidRDefault="0073100B" w:rsidP="0073100B">
      <w:pPr>
        <w:pStyle w:val="SingleTxtG"/>
      </w:pPr>
      <w:r>
        <w:t>10.</w:t>
      </w:r>
      <w:r>
        <w:tab/>
      </w:r>
      <w:r w:rsidRPr="00E864BF">
        <w:t>For the GHS Sub-Committee, it is expected that the government-nominated expert represents the coordinated expertise of his/her Government in relation to all sectors concerned by the GHS (</w:t>
      </w:r>
      <w:proofErr w:type="gramStart"/>
      <w:r w:rsidRPr="00E864BF">
        <w:t>in particular health</w:t>
      </w:r>
      <w:proofErr w:type="gramEnd"/>
      <w:r w:rsidRPr="00E864BF">
        <w:t>, labour, transport, environment, trade).</w:t>
      </w:r>
    </w:p>
    <w:p w14:paraId="65E555B8" w14:textId="77777777" w:rsidR="0073100B" w:rsidRPr="00E864BF" w:rsidRDefault="0073100B" w:rsidP="0073100B">
      <w:pPr>
        <w:pStyle w:val="SingleTxtG"/>
      </w:pPr>
      <w:r>
        <w:t>11.</w:t>
      </w:r>
      <w:r>
        <w:tab/>
      </w:r>
      <w:r w:rsidRPr="00E864BF">
        <w:t xml:space="preserve">For the Committee, it is expected that the government-nominated expert represents the coordinated position of his/her Government as regards all issues addressed by both subcommittees. </w:t>
      </w:r>
    </w:p>
    <w:p w14:paraId="2A164FC8" w14:textId="77777777" w:rsidR="0073100B" w:rsidRPr="00E864BF" w:rsidRDefault="0073100B" w:rsidP="0073100B">
      <w:pPr>
        <w:pStyle w:val="SingleTxtG"/>
      </w:pPr>
      <w:r>
        <w:t>12.</w:t>
      </w:r>
      <w:r>
        <w:tab/>
      </w:r>
      <w:r w:rsidRPr="00E864BF">
        <w:t>A member of the secretariat pointed out that for some countries, the information regarding the expert accredited to represent the government was missing, incomplete or outdated.</w:t>
      </w:r>
    </w:p>
    <w:p w14:paraId="34FF80A0" w14:textId="77777777" w:rsidR="0073100B" w:rsidRPr="00E864BF" w:rsidRDefault="0073100B" w:rsidP="0073100B">
      <w:pPr>
        <w:pStyle w:val="SingleTxtG"/>
      </w:pPr>
      <w:r>
        <w:t>13.</w:t>
      </w:r>
      <w:r>
        <w:tab/>
      </w:r>
      <w:r w:rsidRPr="00E864BF">
        <w:t>The secretariat emphasized the importance of keeping this information up to date and invited delegations to check whether the name and contact details of the person listed as Head of delegation for their government or organisation was accurate. Changes should be notified to the secretariat as soon as possible, through official channels (</w:t>
      </w:r>
      <w:proofErr w:type="spellStart"/>
      <w:r w:rsidRPr="00E864BF">
        <w:t>i.e</w:t>
      </w:r>
      <w:proofErr w:type="spellEnd"/>
      <w:r w:rsidRPr="00E864BF">
        <w:t>: through the Permanent Mission or Ministry of Foreign Affairs in the case of Governments and through an official letter or email in the case of NGOs).</w:t>
      </w:r>
    </w:p>
    <w:p w14:paraId="27394E03" w14:textId="77777777" w:rsidR="00AD762E" w:rsidRPr="006D7169" w:rsidRDefault="00AD762E" w:rsidP="00AD762E">
      <w:pPr>
        <w:pStyle w:val="HChG"/>
      </w:pPr>
      <w:r w:rsidRPr="006D7169">
        <w:tab/>
        <w:t>III.</w:t>
      </w:r>
      <w:r w:rsidRPr="006D7169">
        <w:tab/>
      </w:r>
      <w:r w:rsidRPr="00C90B18">
        <w:t>Classification criteria and related hazard communication</w:t>
      </w:r>
      <w:r w:rsidRPr="006D7169">
        <w:t xml:space="preserve"> (agenda item 2)</w:t>
      </w:r>
    </w:p>
    <w:p w14:paraId="5C72A2DA" w14:textId="77777777" w:rsidR="00AD762E" w:rsidRDefault="00AD762E" w:rsidP="00AD762E">
      <w:pPr>
        <w:pStyle w:val="H1G"/>
      </w:pPr>
      <w:bookmarkStart w:id="5" w:name="_Hlk26724394"/>
      <w:r>
        <w:tab/>
        <w:t>A.</w:t>
      </w:r>
      <w:r>
        <w:tab/>
      </w:r>
      <w:r w:rsidRPr="00C90B18">
        <w:t>Work of the Sub-Committee of Experts on the Transport of Dangerous Goods (TDG) on matter</w:t>
      </w:r>
      <w:bookmarkEnd w:id="5"/>
      <w:r w:rsidRPr="00C90B18">
        <w:t>s of interest to the GHS Sub-Committee</w:t>
      </w:r>
    </w:p>
    <w:p w14:paraId="34DE7643" w14:textId="77777777" w:rsidR="00AD762E" w:rsidRPr="007F5095" w:rsidRDefault="00AD762E" w:rsidP="00AD762E">
      <w:pPr>
        <w:pStyle w:val="H23G"/>
      </w:pPr>
      <w:r>
        <w:tab/>
        <w:t>1.</w:t>
      </w:r>
      <w:r>
        <w:tab/>
        <w:t>Testing of oxidizing substances</w:t>
      </w:r>
    </w:p>
    <w:p w14:paraId="556BC5D9" w14:textId="77777777" w:rsidR="00AD762E" w:rsidRPr="0095340C" w:rsidRDefault="00AD762E" w:rsidP="00AD762E">
      <w:pPr>
        <w:pStyle w:val="SingleTxtG"/>
        <w:tabs>
          <w:tab w:val="left" w:pos="3119"/>
        </w:tabs>
        <w:ind w:left="3402" w:hanging="2268"/>
      </w:pPr>
      <w:r w:rsidRPr="0095340C">
        <w:rPr>
          <w:i/>
        </w:rPr>
        <w:t>Document:</w:t>
      </w:r>
      <w:r w:rsidRPr="0095340C">
        <w:t xml:space="preserve"> </w:t>
      </w:r>
      <w:r w:rsidRPr="0095340C">
        <w:tab/>
      </w:r>
      <w:r w:rsidRPr="0095340C">
        <w:tab/>
      </w:r>
      <w:r>
        <w:t>ST/SG/AC.10/C.4/2019/11 (France)</w:t>
      </w:r>
    </w:p>
    <w:p w14:paraId="22920A0C" w14:textId="77777777" w:rsidR="00AD762E" w:rsidRPr="0095340C" w:rsidRDefault="00AD762E" w:rsidP="00AD762E">
      <w:pPr>
        <w:pStyle w:val="SingleTxtG"/>
        <w:tabs>
          <w:tab w:val="left" w:pos="3119"/>
        </w:tabs>
        <w:ind w:left="3402" w:hanging="2268"/>
        <w:jc w:val="left"/>
      </w:pPr>
      <w:r w:rsidRPr="0095340C">
        <w:rPr>
          <w:i/>
        </w:rPr>
        <w:t>Informal document</w:t>
      </w:r>
      <w:r>
        <w:rPr>
          <w:i/>
        </w:rPr>
        <w:t>s</w:t>
      </w:r>
      <w:r w:rsidRPr="0095340C">
        <w:t xml:space="preserve">: </w:t>
      </w:r>
      <w:r w:rsidRPr="0095340C">
        <w:tab/>
      </w:r>
      <w:r>
        <w:tab/>
      </w:r>
      <w:r w:rsidRPr="0095340C">
        <w:t>INF.</w:t>
      </w:r>
      <w:r>
        <w:t>18</w:t>
      </w:r>
      <w:r w:rsidRPr="0095340C">
        <w:t xml:space="preserve"> (</w:t>
      </w:r>
      <w:r>
        <w:t>France)</w:t>
      </w:r>
      <w:r>
        <w:br/>
        <w:t>INF.28, Item 1 (Secretariat)</w:t>
      </w:r>
    </w:p>
    <w:p w14:paraId="57983DA2" w14:textId="20400271" w:rsidR="00AD762E" w:rsidRPr="00196125" w:rsidRDefault="00AD762E" w:rsidP="00AD762E">
      <w:pPr>
        <w:pStyle w:val="SingleTxtG"/>
      </w:pPr>
      <w:r>
        <w:t>14.</w:t>
      </w:r>
      <w:r>
        <w:tab/>
      </w:r>
      <w:r w:rsidRPr="00C90B18">
        <w:t xml:space="preserve">The Sub-Committee </w:t>
      </w:r>
      <w:r>
        <w:t>took note of</w:t>
      </w:r>
      <w:r w:rsidRPr="00C90B18">
        <w:t xml:space="preserve"> the outcome of the discussions of the TDG Sub-Committee </w:t>
      </w:r>
      <w:r>
        <w:t xml:space="preserve">on the tests for oxidizing liquids and solids as reflected in documents ST/SG/AC.10/C.4/2019/11 and </w:t>
      </w:r>
      <w:r w:rsidR="004A7081">
        <w:t xml:space="preserve">informal document </w:t>
      </w:r>
      <w:r>
        <w:t xml:space="preserve">INF.18. The expert from France expected that the work could be completed on time and that a proposal could be submitted for consideration by the Sub-Committee at </w:t>
      </w:r>
      <w:r w:rsidR="004A7081">
        <w:t xml:space="preserve">its </w:t>
      </w:r>
      <w:r>
        <w:t>next session.</w:t>
      </w:r>
    </w:p>
    <w:p w14:paraId="7E451E5F" w14:textId="77777777" w:rsidR="00791E92" w:rsidRDefault="00791E92">
      <w:pPr>
        <w:suppressAutoHyphens w:val="0"/>
        <w:spacing w:line="240" w:lineRule="auto"/>
        <w:rPr>
          <w:b/>
        </w:rPr>
      </w:pPr>
      <w:r>
        <w:br w:type="page"/>
      </w:r>
    </w:p>
    <w:p w14:paraId="06815070" w14:textId="147C43E3" w:rsidR="00AD762E" w:rsidRDefault="00AD762E" w:rsidP="00AD762E">
      <w:pPr>
        <w:pStyle w:val="H23G"/>
      </w:pPr>
      <w:r>
        <w:lastRenderedPageBreak/>
        <w:tab/>
        <w:t>2.</w:t>
      </w:r>
      <w:r>
        <w:tab/>
        <w:t>Review of test series H</w:t>
      </w:r>
    </w:p>
    <w:p w14:paraId="29F79156" w14:textId="77777777" w:rsidR="00AD762E" w:rsidRPr="0095340C" w:rsidRDefault="00AD762E" w:rsidP="00AD762E">
      <w:pPr>
        <w:pStyle w:val="SingleTxtG"/>
        <w:tabs>
          <w:tab w:val="left" w:pos="3119"/>
        </w:tabs>
        <w:ind w:left="3402" w:hanging="2268"/>
        <w:jc w:val="left"/>
      </w:pPr>
      <w:r w:rsidRPr="0095340C">
        <w:rPr>
          <w:i/>
        </w:rPr>
        <w:t>Informal documents</w:t>
      </w:r>
      <w:r w:rsidRPr="0095340C">
        <w:t xml:space="preserve">: </w:t>
      </w:r>
      <w:r w:rsidRPr="0095340C">
        <w:tab/>
      </w:r>
      <w:r>
        <w:tab/>
      </w:r>
      <w:r w:rsidRPr="0095340C">
        <w:t>INF.1</w:t>
      </w:r>
      <w:r>
        <w:t>5 (</w:t>
      </w:r>
      <w:r w:rsidRPr="00CF4A39">
        <w:t>Chair of the Working Group on Explosives)</w:t>
      </w:r>
      <w:r>
        <w:br/>
        <w:t>INF.28, Item 2 (Secretariat)</w:t>
      </w:r>
    </w:p>
    <w:p w14:paraId="198F5002" w14:textId="77777777" w:rsidR="00AD762E" w:rsidRDefault="00AD762E" w:rsidP="00AD762E">
      <w:pPr>
        <w:pStyle w:val="SingleTxtG"/>
      </w:pPr>
      <w:r>
        <w:t>15.</w:t>
      </w:r>
      <w:r>
        <w:tab/>
      </w:r>
      <w:r w:rsidRPr="00C90B18">
        <w:t>The Sub-Committee</w:t>
      </w:r>
      <w:r>
        <w:t xml:space="preserve"> noted the update on the review of test series H of the Manual of Test and Criteria as reported in informal document INF.15 and the outcome of </w:t>
      </w:r>
      <w:r w:rsidRPr="00C90B18">
        <w:t>the discussions of the TDG Sub-Committee on</w:t>
      </w:r>
      <w:r>
        <w:t xml:space="preserve"> this subject.</w:t>
      </w:r>
    </w:p>
    <w:p w14:paraId="29FD264F" w14:textId="1757CFD3" w:rsidR="00AD762E" w:rsidRDefault="00AD762E" w:rsidP="00AD762E">
      <w:pPr>
        <w:pStyle w:val="SingleTxtG"/>
      </w:pPr>
      <w:r>
        <w:t>16.</w:t>
      </w:r>
      <w:r>
        <w:tab/>
        <w:t xml:space="preserve">The authors of the proposal </w:t>
      </w:r>
      <w:r w:rsidR="00785A34">
        <w:t xml:space="preserve">were reminded </w:t>
      </w:r>
      <w:r>
        <w:t xml:space="preserve">to take account of the applicability of the Manual of Test and Criteria in sectors other than transport consistently with the revision of the Manual conducted during the last biennium. Experts were invited to send their comments to the representative of </w:t>
      </w:r>
      <w:proofErr w:type="spellStart"/>
      <w:r w:rsidR="004A7081">
        <w:t>Cefic</w:t>
      </w:r>
      <w:proofErr w:type="spellEnd"/>
      <w:r>
        <w:t xml:space="preserve"> </w:t>
      </w:r>
      <w:r w:rsidR="004A7081">
        <w:t xml:space="preserve">(Mr. Schuurman) </w:t>
      </w:r>
      <w:r>
        <w:t xml:space="preserve">by </w:t>
      </w:r>
      <w:proofErr w:type="spellStart"/>
      <w:r>
        <w:t>mid March</w:t>
      </w:r>
      <w:proofErr w:type="spellEnd"/>
      <w:r>
        <w:t xml:space="preserve"> 2020 at the latest.</w:t>
      </w:r>
    </w:p>
    <w:p w14:paraId="4A9B6735" w14:textId="77777777" w:rsidR="00A23DBC" w:rsidRDefault="00A23DBC" w:rsidP="00A23DBC">
      <w:pPr>
        <w:pStyle w:val="H1G"/>
      </w:pPr>
      <w:r>
        <w:tab/>
        <w:t>B.</w:t>
      </w:r>
      <w:r>
        <w:tab/>
        <w:t>Review of Chapter 2.1</w:t>
      </w:r>
    </w:p>
    <w:p w14:paraId="46D3447B" w14:textId="77777777" w:rsidR="00A23DBC" w:rsidRPr="0095340C" w:rsidRDefault="00A23DBC" w:rsidP="00A23DBC">
      <w:pPr>
        <w:pStyle w:val="SingleTxtG"/>
        <w:tabs>
          <w:tab w:val="left" w:pos="3119"/>
        </w:tabs>
        <w:ind w:left="3402" w:hanging="2268"/>
      </w:pPr>
      <w:r w:rsidRPr="00570FAE">
        <w:rPr>
          <w:i/>
          <w:iCs/>
        </w:rPr>
        <w:t>Document</w:t>
      </w:r>
      <w:r w:rsidRPr="00CF4A39">
        <w:t>:</w:t>
      </w:r>
      <w:r w:rsidRPr="0095340C">
        <w:t xml:space="preserve"> </w:t>
      </w:r>
      <w:r w:rsidRPr="0095340C">
        <w:tab/>
      </w:r>
      <w:r w:rsidRPr="0095340C">
        <w:tab/>
      </w:r>
      <w:r>
        <w:t>ST/SG/AC.10/C.4/2019/10 (Sweden)</w:t>
      </w:r>
    </w:p>
    <w:p w14:paraId="31F6EF90" w14:textId="5B124915" w:rsidR="00A23DBC" w:rsidRPr="00CF4A39" w:rsidRDefault="00A23DBC" w:rsidP="00A23DBC">
      <w:pPr>
        <w:pStyle w:val="SingleTxtG"/>
        <w:tabs>
          <w:tab w:val="left" w:pos="3119"/>
        </w:tabs>
        <w:ind w:left="3402" w:hanging="2268"/>
        <w:jc w:val="left"/>
      </w:pPr>
      <w:r w:rsidRPr="00570FAE">
        <w:rPr>
          <w:i/>
          <w:iCs/>
        </w:rPr>
        <w:t>Informal documents</w:t>
      </w:r>
      <w:r w:rsidRPr="0095340C">
        <w:t>:</w:t>
      </w:r>
      <w:r w:rsidRPr="0095340C">
        <w:tab/>
      </w:r>
      <w:r>
        <w:tab/>
      </w:r>
      <w:r w:rsidRPr="0095340C">
        <w:t>INF.</w:t>
      </w:r>
      <w:r>
        <w:t xml:space="preserve">6, </w:t>
      </w:r>
      <w:r w:rsidR="004A7081">
        <w:t>INF.</w:t>
      </w:r>
      <w:r>
        <w:t xml:space="preserve">26 and </w:t>
      </w:r>
      <w:r w:rsidR="004A7081">
        <w:t>INF.</w:t>
      </w:r>
      <w:r>
        <w:t>32 (Sweden</w:t>
      </w:r>
      <w:r w:rsidRPr="00CF4A39">
        <w:t>)</w:t>
      </w:r>
      <w:r>
        <w:br/>
        <w:t>INF.28, Item 3 (Secretariat)</w:t>
      </w:r>
    </w:p>
    <w:p w14:paraId="695128B9" w14:textId="05121F52" w:rsidR="00A23DBC" w:rsidRDefault="004A7081" w:rsidP="00A23DBC">
      <w:pPr>
        <w:pStyle w:val="SingleTxtG"/>
      </w:pPr>
      <w:r>
        <w:t>17</w:t>
      </w:r>
      <w:r w:rsidR="00A23DBC">
        <w:t>.</w:t>
      </w:r>
      <w:r w:rsidR="00A23DBC">
        <w:tab/>
      </w:r>
      <w:r w:rsidR="00A23DBC" w:rsidRPr="00C90B18">
        <w:t>The Sub-Committee</w:t>
      </w:r>
      <w:r w:rsidR="00A23DBC">
        <w:t xml:space="preserve"> noted the o</w:t>
      </w:r>
      <w:r w:rsidR="00A23DBC" w:rsidRPr="004C7BF3">
        <w:rPr>
          <w:rFonts w:eastAsia="MS Mincho"/>
          <w:szCs w:val="28"/>
          <w:lang w:eastAsia="ja-JP"/>
        </w:rPr>
        <w:t xml:space="preserve">utcome of the discussions </w:t>
      </w:r>
      <w:r w:rsidR="00A23DBC">
        <w:rPr>
          <w:rFonts w:eastAsia="MS Mincho"/>
          <w:szCs w:val="28"/>
          <w:lang w:eastAsia="ja-JP"/>
        </w:rPr>
        <w:t xml:space="preserve">of </w:t>
      </w:r>
      <w:r w:rsidR="00A23DBC" w:rsidRPr="004C7BF3">
        <w:rPr>
          <w:rFonts w:eastAsia="MS Mincho"/>
          <w:szCs w:val="28"/>
          <w:lang w:eastAsia="ja-JP"/>
        </w:rPr>
        <w:t xml:space="preserve">the meeting of the informal </w:t>
      </w:r>
      <w:r w:rsidR="00A23DBC" w:rsidRPr="004C7BF3">
        <w:rPr>
          <w:rFonts w:eastAsia="MS Mincho"/>
          <w:lang w:eastAsia="ja-JP"/>
        </w:rPr>
        <w:t xml:space="preserve">correspondence group on the review of Chapter 2.1 </w:t>
      </w:r>
      <w:r w:rsidR="00A23DBC">
        <w:rPr>
          <w:rFonts w:eastAsia="MS Mincho"/>
          <w:lang w:eastAsia="ja-JP"/>
        </w:rPr>
        <w:t xml:space="preserve">held </w:t>
      </w:r>
      <w:r w:rsidR="00A23DBC" w:rsidRPr="004C7BF3">
        <w:rPr>
          <w:rFonts w:eastAsia="MS Mincho"/>
          <w:lang w:eastAsia="ja-JP"/>
        </w:rPr>
        <w:t xml:space="preserve">on </w:t>
      </w:r>
      <w:r w:rsidR="00A23DBC">
        <w:rPr>
          <w:rFonts w:eastAsia="MS Mincho"/>
          <w:lang w:eastAsia="ja-JP"/>
        </w:rPr>
        <w:t>11</w:t>
      </w:r>
      <w:r w:rsidR="00A23DBC" w:rsidRPr="004C7BF3">
        <w:rPr>
          <w:rFonts w:eastAsia="MS Mincho"/>
          <w:lang w:eastAsia="ja-JP"/>
        </w:rPr>
        <w:t xml:space="preserve"> December 2019</w:t>
      </w:r>
      <w:r w:rsidR="00A23DBC">
        <w:rPr>
          <w:rFonts w:eastAsia="MS Mincho"/>
          <w:lang w:eastAsia="ja-JP"/>
        </w:rPr>
        <w:t xml:space="preserve"> as reflected in informal document INF.32 and endorsed the proposed way forward. </w:t>
      </w:r>
      <w:r w:rsidR="00A23DBC">
        <w:t>The expert from Sweden informed the Sub-Committee that the comments on the draft Chapter 2.1 were being analysed and consolidated, and that a revised proposal would be submitted to both sub-committees at the next session.</w:t>
      </w:r>
    </w:p>
    <w:p w14:paraId="699430FF" w14:textId="77777777" w:rsidR="00A23DBC" w:rsidRDefault="00A23DBC" w:rsidP="00A23DBC">
      <w:pPr>
        <w:pStyle w:val="H1G"/>
      </w:pPr>
      <w:r>
        <w:tab/>
        <w:t>C.</w:t>
      </w:r>
      <w:r>
        <w:tab/>
        <w:t>Use of non-animal testing methods for classification of health hazards</w:t>
      </w:r>
    </w:p>
    <w:p w14:paraId="7528A723" w14:textId="77777777" w:rsidR="00A23DBC" w:rsidRPr="00CF4A39" w:rsidRDefault="00A23DBC" w:rsidP="00A23DBC">
      <w:pPr>
        <w:pStyle w:val="SingleTxtG"/>
        <w:tabs>
          <w:tab w:val="left" w:pos="3119"/>
        </w:tabs>
        <w:ind w:left="3402" w:hanging="2268"/>
        <w:jc w:val="left"/>
      </w:pPr>
      <w:r w:rsidRPr="00570FAE">
        <w:rPr>
          <w:i/>
          <w:iCs/>
        </w:rPr>
        <w:t>Informal document</w:t>
      </w:r>
      <w:r w:rsidRPr="0095340C">
        <w:t>:</w:t>
      </w:r>
      <w:r w:rsidRPr="0095340C">
        <w:tab/>
      </w:r>
      <w:r>
        <w:tab/>
      </w:r>
      <w:r w:rsidRPr="0095340C">
        <w:t>INF.</w:t>
      </w:r>
      <w:r>
        <w:t>20 (Netherlands, United Kingdom)</w:t>
      </w:r>
    </w:p>
    <w:p w14:paraId="33A0D743" w14:textId="23484763" w:rsidR="00A23DBC" w:rsidRDefault="004A7081" w:rsidP="00A23DBC">
      <w:pPr>
        <w:pStyle w:val="SingleTxtG"/>
      </w:pPr>
      <w:r>
        <w:t>18</w:t>
      </w:r>
      <w:r w:rsidR="00A23DBC">
        <w:t>.</w:t>
      </w:r>
      <w:r w:rsidR="00A23DBC">
        <w:tab/>
        <w:t>The expert from the United Kingdom presented the status report as reflected in informal document INF.20. She also informed the Sub-Committee about the outcome of a further face to face meeting held on 11 December 2019. Key issues addressed during the face to face meeting included:</w:t>
      </w:r>
    </w:p>
    <w:p w14:paraId="040E0940" w14:textId="30A53BC7" w:rsidR="00BD0D25" w:rsidRDefault="00A23DBC" w:rsidP="00A23DBC">
      <w:pPr>
        <w:pStyle w:val="SingleTxtG"/>
        <w:ind w:left="1701"/>
      </w:pPr>
      <w:r>
        <w:t>(a)</w:t>
      </w:r>
      <w:r>
        <w:tab/>
      </w:r>
      <w:r w:rsidR="004A7081">
        <w:t xml:space="preserve">a revised </w:t>
      </w:r>
      <w:r w:rsidR="00BD0D25">
        <w:t>Chapter 3.3:</w:t>
      </w:r>
    </w:p>
    <w:p w14:paraId="3C6EEE65" w14:textId="042C5FE6" w:rsidR="00A23DBC" w:rsidRDefault="00BD0D25" w:rsidP="00791E92">
      <w:pPr>
        <w:pStyle w:val="SingleTxtG"/>
        <w:ind w:left="2268"/>
      </w:pPr>
      <w:r>
        <w:t>(</w:t>
      </w:r>
      <w:proofErr w:type="spellStart"/>
      <w:r>
        <w:t>i</w:t>
      </w:r>
      <w:proofErr w:type="spellEnd"/>
      <w:r>
        <w:t>)</w:t>
      </w:r>
      <w:r>
        <w:tab/>
      </w:r>
      <w:r w:rsidR="00A23DBC">
        <w:t xml:space="preserve">the use of decision logics and the classification based on </w:t>
      </w:r>
      <w:r w:rsidR="00A23DBC" w:rsidRPr="00791E92">
        <w:rPr>
          <w:i/>
          <w:iCs/>
        </w:rPr>
        <w:t>in vitro</w:t>
      </w:r>
      <w:r w:rsidR="00A23DBC">
        <w:t xml:space="preserve"> methods;</w:t>
      </w:r>
    </w:p>
    <w:p w14:paraId="06BC765B" w14:textId="26E75617" w:rsidR="00A23DBC" w:rsidRDefault="00A23DBC" w:rsidP="00791E92">
      <w:pPr>
        <w:pStyle w:val="SingleTxtG"/>
        <w:ind w:left="2268"/>
      </w:pPr>
      <w:r>
        <w:t>(</w:t>
      </w:r>
      <w:r w:rsidR="00BD0D25">
        <w:t>ii</w:t>
      </w:r>
      <w:r>
        <w:t>)</w:t>
      </w:r>
      <w:r>
        <w:tab/>
        <w:t>a discussion on figure 3.3.1 on the tiered approach, including some specific deviations from the current tiered approach;</w:t>
      </w:r>
    </w:p>
    <w:p w14:paraId="0715367C" w14:textId="13DE81E1" w:rsidR="00A23DBC" w:rsidRDefault="00A23DBC" w:rsidP="00A23DBC">
      <w:pPr>
        <w:pStyle w:val="SingleTxtG"/>
        <w:ind w:left="1701"/>
      </w:pPr>
      <w:r>
        <w:t>(</w:t>
      </w:r>
      <w:r w:rsidR="00BD0D25">
        <w:t>b</w:t>
      </w:r>
      <w:r>
        <w:t>)</w:t>
      </w:r>
      <w:r>
        <w:tab/>
        <w:t>guidance in the use of the weight of evidence for the in vitro methods, which was considered very relevant as the current criteria will not be conclusive in many cases;</w:t>
      </w:r>
    </w:p>
    <w:p w14:paraId="53D7FA14" w14:textId="5A296031" w:rsidR="00A23DBC" w:rsidRDefault="00A23DBC" w:rsidP="00A23DBC">
      <w:pPr>
        <w:pStyle w:val="SingleTxtG"/>
        <w:ind w:left="1701"/>
      </w:pPr>
      <w:r>
        <w:t>(</w:t>
      </w:r>
      <w:r w:rsidR="00BD0D25">
        <w:t>c</w:t>
      </w:r>
      <w:r>
        <w:t>)</w:t>
      </w:r>
      <w:r>
        <w:tab/>
        <w:t xml:space="preserve">the application of a weight of evidence analysis and examples of classification to assess the outcome of </w:t>
      </w:r>
      <w:r w:rsidRPr="00791E92">
        <w:rPr>
          <w:i/>
          <w:iCs/>
        </w:rPr>
        <w:t>in vitro/ex vivo</w:t>
      </w:r>
      <w:r>
        <w:t xml:space="preserve"> studies. This will include the use of the outcome of </w:t>
      </w:r>
      <w:r w:rsidRPr="00791E92">
        <w:rPr>
          <w:i/>
          <w:iCs/>
        </w:rPr>
        <w:t>in vitro</w:t>
      </w:r>
      <w:r>
        <w:t xml:space="preserve"> tests beyond the current OECD classification criteria, that will lead to an update of example 1. Other additional examples will be provided for discussion. Depending on the outcome of the discussions on the examples guidance or more specific criteria could be developed;</w:t>
      </w:r>
    </w:p>
    <w:p w14:paraId="1FA1B29A" w14:textId="669C3811" w:rsidR="00A23DBC" w:rsidRDefault="00A23DBC" w:rsidP="00A23DBC">
      <w:pPr>
        <w:pStyle w:val="SingleTxtG"/>
        <w:ind w:left="1701"/>
      </w:pPr>
      <w:r>
        <w:lastRenderedPageBreak/>
        <w:t>(</w:t>
      </w:r>
      <w:r w:rsidR="00BD0D25">
        <w:t>d</w:t>
      </w:r>
      <w:r>
        <w:t>)</w:t>
      </w:r>
      <w:r>
        <w:tab/>
        <w:t xml:space="preserve">a proposal for clarification of the interpretation of </w:t>
      </w:r>
      <w:r w:rsidRPr="00791E92">
        <w:rPr>
          <w:i/>
          <w:iCs/>
        </w:rPr>
        <w:t>in vivo</w:t>
      </w:r>
      <w:r>
        <w:t xml:space="preserve"> criteria for eye effects. It was agreed that </w:t>
      </w:r>
      <w:r w:rsidR="00BD0D25">
        <w:t xml:space="preserve">it </w:t>
      </w:r>
      <w:r>
        <w:t xml:space="preserve">should be </w:t>
      </w:r>
      <w:r w:rsidR="00BD0D25">
        <w:t xml:space="preserve">an </w:t>
      </w:r>
      <w:r>
        <w:t>item of separate work outside the non-animal testing informal working group.</w:t>
      </w:r>
    </w:p>
    <w:p w14:paraId="194D6F8D" w14:textId="121FDD90" w:rsidR="00A23DBC" w:rsidRDefault="004A7081" w:rsidP="00A23DBC">
      <w:pPr>
        <w:pStyle w:val="SingleTxtG"/>
      </w:pPr>
      <w:r>
        <w:t>19</w:t>
      </w:r>
      <w:r w:rsidR="00A23DBC">
        <w:t>.</w:t>
      </w:r>
      <w:r w:rsidR="00A23DBC">
        <w:tab/>
      </w:r>
      <w:r w:rsidR="00A23DBC" w:rsidRPr="001C54A8">
        <w:t xml:space="preserve">The Sub-Committee </w:t>
      </w:r>
      <w:r w:rsidR="00A23DBC">
        <w:t>acknowledged the work done by the informal working group and noted</w:t>
      </w:r>
      <w:r w:rsidR="00A23DBC" w:rsidRPr="001C54A8">
        <w:t xml:space="preserve"> that </w:t>
      </w:r>
      <w:r w:rsidR="00A23DBC">
        <w:t xml:space="preserve">a proposal </w:t>
      </w:r>
      <w:r w:rsidR="00A23DBC" w:rsidRPr="001C54A8">
        <w:t xml:space="preserve">will be submitted to the </w:t>
      </w:r>
      <w:r w:rsidR="00A23DBC">
        <w:t>next</w:t>
      </w:r>
      <w:r w:rsidR="00A23DBC" w:rsidRPr="001C54A8">
        <w:t xml:space="preserve"> session</w:t>
      </w:r>
      <w:r w:rsidR="00A23DBC">
        <w:t xml:space="preserve"> for consideration.</w:t>
      </w:r>
    </w:p>
    <w:p w14:paraId="4ABD3124" w14:textId="77777777" w:rsidR="00A23DBC" w:rsidRDefault="00A23DBC" w:rsidP="00A23DBC">
      <w:pPr>
        <w:pStyle w:val="H1G"/>
      </w:pPr>
      <w:r>
        <w:tab/>
        <w:t>D.</w:t>
      </w:r>
      <w:r>
        <w:tab/>
        <w:t>Practical classification issues</w:t>
      </w:r>
    </w:p>
    <w:p w14:paraId="5712FF67" w14:textId="77777777" w:rsidR="00A23DBC" w:rsidRPr="00CF4A39" w:rsidRDefault="00A23DBC" w:rsidP="00A23DBC">
      <w:pPr>
        <w:pStyle w:val="SingleTxtG"/>
        <w:tabs>
          <w:tab w:val="left" w:pos="3119"/>
        </w:tabs>
        <w:ind w:left="3402" w:hanging="2268"/>
        <w:jc w:val="left"/>
      </w:pPr>
      <w:r w:rsidRPr="00570FAE">
        <w:rPr>
          <w:i/>
          <w:iCs/>
        </w:rPr>
        <w:t>Informal document</w:t>
      </w:r>
      <w:r w:rsidRPr="0095340C">
        <w:t>:</w:t>
      </w:r>
      <w:r w:rsidRPr="0095340C">
        <w:tab/>
      </w:r>
      <w:r>
        <w:tab/>
      </w:r>
      <w:r w:rsidRPr="0095340C">
        <w:t>INF.</w:t>
      </w:r>
      <w:r>
        <w:t>29 (United States of America)</w:t>
      </w:r>
    </w:p>
    <w:p w14:paraId="0EDCFDA5" w14:textId="6B83A910" w:rsidR="00A23DBC" w:rsidRDefault="004A7081" w:rsidP="00A23DBC">
      <w:pPr>
        <w:pStyle w:val="SingleTxtG"/>
      </w:pPr>
      <w:r>
        <w:t>20</w:t>
      </w:r>
      <w:r w:rsidR="00A23DBC">
        <w:t>.</w:t>
      </w:r>
      <w:r w:rsidR="00A23DBC">
        <w:tab/>
      </w:r>
      <w:r w:rsidR="00A23DBC" w:rsidRPr="001C54A8">
        <w:t xml:space="preserve">The Sub-Committee </w:t>
      </w:r>
      <w:r w:rsidR="00A23DBC">
        <w:t>took note of the progress of work by the informal group at its meeting on 11 December 2019. The expert from the United States of America reported that the informal group had discussed a thought starter with four examples illustrating the relationship between acute toxicity and specific target organ toxicity (single and repeated exposure). Two of the examples had previously been agreed upon by the working group and two new examples were introduced. The working group had agreed to develop an additional example and that all examples would be presented in a working document for the next session.</w:t>
      </w:r>
    </w:p>
    <w:p w14:paraId="4EFB53A5" w14:textId="33F620FC" w:rsidR="00A23DBC" w:rsidRDefault="004A7081" w:rsidP="00A23DBC">
      <w:pPr>
        <w:pStyle w:val="SingleTxtG"/>
      </w:pPr>
      <w:r>
        <w:t>21</w:t>
      </w:r>
      <w:r w:rsidR="00A23DBC">
        <w:t>.</w:t>
      </w:r>
      <w:r w:rsidR="00A23DBC">
        <w:tab/>
        <w:t xml:space="preserve">On the concept of applying additivity to health hazard classes for which additivity is not explicitly mentioned, there was general agreement within the informal group that references to substances of unknown or variable composition, complex reaction products and biological materials (UVCB substances) and multi-constituent substances should be removed from the proposed text. </w:t>
      </w:r>
      <w:r w:rsidR="00BD0D25">
        <w:t>The group also agreed to separate the text into a more concise description for Chapter 1.3 and to provide additional guidance. It was</w:t>
      </w:r>
      <w:r w:rsidR="00A23DBC">
        <w:t xml:space="preserve"> concluded that the group would consider whether the guidance should be published on the GHS Guidance webpage as a single document for all hazard classes or as more appropriate updates to the guidance section in each impacted chapter.</w:t>
      </w:r>
    </w:p>
    <w:p w14:paraId="1AC4BD55" w14:textId="045C311A" w:rsidR="00A23DBC" w:rsidRDefault="004A7081" w:rsidP="00A23DBC">
      <w:pPr>
        <w:pStyle w:val="SingleTxtG"/>
      </w:pPr>
      <w:r>
        <w:t>22</w:t>
      </w:r>
      <w:r w:rsidR="00A23DBC">
        <w:t>.</w:t>
      </w:r>
      <w:r w:rsidR="00A23DBC">
        <w:tab/>
        <w:t>The Sub-Committee noted</w:t>
      </w:r>
      <w:r w:rsidR="00A23DBC" w:rsidRPr="001C54A8">
        <w:t xml:space="preserve"> that </w:t>
      </w:r>
      <w:r w:rsidR="00A23DBC">
        <w:t>the group would continue discussions on the remaining issues and would submit a document for consideration at</w:t>
      </w:r>
      <w:r w:rsidR="00A23DBC" w:rsidRPr="001C54A8">
        <w:t xml:space="preserve"> the </w:t>
      </w:r>
      <w:r w:rsidR="00A23DBC">
        <w:t>next</w:t>
      </w:r>
      <w:r w:rsidR="00A23DBC" w:rsidRPr="001C54A8">
        <w:t xml:space="preserve"> session</w:t>
      </w:r>
      <w:r w:rsidR="00A23DBC">
        <w:t>.</w:t>
      </w:r>
    </w:p>
    <w:p w14:paraId="6FB36669" w14:textId="77777777" w:rsidR="00AD762E" w:rsidRDefault="00AD762E" w:rsidP="00AD762E">
      <w:pPr>
        <w:pStyle w:val="H1G"/>
      </w:pPr>
      <w:r>
        <w:tab/>
        <w:t>E.</w:t>
      </w:r>
      <w:r>
        <w:tab/>
        <w:t>Aspiration hazard</w:t>
      </w:r>
    </w:p>
    <w:p w14:paraId="506CAF72" w14:textId="5FD465D8" w:rsidR="00AD762E" w:rsidRPr="00196125" w:rsidRDefault="00075DF7" w:rsidP="00AD762E">
      <w:pPr>
        <w:pStyle w:val="SingleTxtG"/>
      </w:pPr>
      <w:r>
        <w:t>23</w:t>
      </w:r>
      <w:r w:rsidR="00AD762E">
        <w:t>.</w:t>
      </w:r>
      <w:r w:rsidR="00AD762E">
        <w:tab/>
      </w:r>
      <w:r w:rsidR="00AD762E" w:rsidRPr="00C90B18">
        <w:t xml:space="preserve">The </w:t>
      </w:r>
      <w:r w:rsidR="00AD762E">
        <w:t xml:space="preserve">representative of IPPIC informed the Sub-Committee about the on-going work on the development of a suitable viscosity criterion for classification of mixtures. He said that a proposal </w:t>
      </w:r>
      <w:r w:rsidR="00BD0D25">
        <w:t xml:space="preserve">addressing viscosity criterion at 23 °C, more directly supported by new test data, </w:t>
      </w:r>
      <w:r w:rsidR="00AD762E">
        <w:t>would be submitted for consideration by the Sub-Committee at the next session.</w:t>
      </w:r>
    </w:p>
    <w:p w14:paraId="7493986E" w14:textId="77777777" w:rsidR="00AD762E" w:rsidRDefault="00AD762E" w:rsidP="00AD762E">
      <w:pPr>
        <w:pStyle w:val="H1G"/>
      </w:pPr>
      <w:r>
        <w:tab/>
        <w:t>F.</w:t>
      </w:r>
      <w:r>
        <w:tab/>
        <w:t>Nanomaterials</w:t>
      </w:r>
    </w:p>
    <w:p w14:paraId="5D4BA301" w14:textId="1BA56548" w:rsidR="00AD762E" w:rsidRPr="00196125" w:rsidRDefault="00075DF7" w:rsidP="00AD762E">
      <w:pPr>
        <w:pStyle w:val="SingleTxtG"/>
      </w:pPr>
      <w:r>
        <w:t>24</w:t>
      </w:r>
      <w:r w:rsidR="00AD762E">
        <w:t>.</w:t>
      </w:r>
      <w:r w:rsidR="00AD762E">
        <w:tab/>
        <w:t>The expert from France reported that no progress was done on this issue. He added that France was no longer in the position to continue leading this work without the help of other delegations. He invited expression of interest from other delegations and said that he would keep the Sub-Committee informed at the next session.</w:t>
      </w:r>
    </w:p>
    <w:p w14:paraId="0D8D6A94" w14:textId="77777777" w:rsidR="00791E92" w:rsidRDefault="00791E92">
      <w:pPr>
        <w:suppressAutoHyphens w:val="0"/>
        <w:spacing w:line="240" w:lineRule="auto"/>
        <w:rPr>
          <w:b/>
          <w:sz w:val="24"/>
        </w:rPr>
      </w:pPr>
      <w:r>
        <w:br w:type="page"/>
      </w:r>
    </w:p>
    <w:p w14:paraId="6E695E26" w14:textId="3CAB2A95" w:rsidR="00A23DBC" w:rsidRDefault="00A23DBC" w:rsidP="00A23DBC">
      <w:pPr>
        <w:pStyle w:val="H1G"/>
      </w:pPr>
      <w:r>
        <w:lastRenderedPageBreak/>
        <w:tab/>
        <w:t>G.</w:t>
      </w:r>
      <w:r>
        <w:tab/>
        <w:t>Simultaneous classification in physical hazard classes and precedence of hazards</w:t>
      </w:r>
    </w:p>
    <w:p w14:paraId="5B4DD11D" w14:textId="77777777" w:rsidR="00A23DBC" w:rsidRPr="00CF4A39" w:rsidRDefault="00A23DBC" w:rsidP="00A23DBC">
      <w:pPr>
        <w:pStyle w:val="SingleTxtG"/>
        <w:tabs>
          <w:tab w:val="left" w:pos="3119"/>
        </w:tabs>
        <w:ind w:left="3402" w:hanging="2268"/>
        <w:jc w:val="left"/>
      </w:pPr>
      <w:r w:rsidRPr="00570FAE">
        <w:rPr>
          <w:i/>
          <w:iCs/>
        </w:rPr>
        <w:t>Informal documents</w:t>
      </w:r>
      <w:r w:rsidRPr="0095340C">
        <w:t>:</w:t>
      </w:r>
      <w:r w:rsidRPr="0095340C">
        <w:tab/>
      </w:r>
      <w:r>
        <w:tab/>
      </w:r>
      <w:r w:rsidRPr="0095340C">
        <w:t>INF.</w:t>
      </w:r>
      <w:r>
        <w:t>17 and INF.30 (Germany)</w:t>
      </w:r>
      <w:r>
        <w:br/>
        <w:t>INF.28, Item 4 (Secretariat)</w:t>
      </w:r>
    </w:p>
    <w:p w14:paraId="535C225F" w14:textId="332B4902" w:rsidR="00A23DBC" w:rsidRDefault="00075DF7" w:rsidP="00A23DBC">
      <w:pPr>
        <w:pStyle w:val="SingleTxtG"/>
      </w:pPr>
      <w:r>
        <w:t>25</w:t>
      </w:r>
      <w:r w:rsidR="00A23DBC">
        <w:t>.</w:t>
      </w:r>
      <w:r w:rsidR="00A23DBC">
        <w:tab/>
      </w:r>
      <w:r w:rsidR="00A23DBC" w:rsidRPr="001C54A8">
        <w:t xml:space="preserve">The Sub-Committee </w:t>
      </w:r>
      <w:r w:rsidR="00A23DBC">
        <w:t>took note of the progress of work by the informal correspondence group as reflected in informal document INF.30. It noted</w:t>
      </w:r>
      <w:r w:rsidR="00A23DBC" w:rsidRPr="001C54A8">
        <w:t xml:space="preserve"> that </w:t>
      </w:r>
      <w:r w:rsidR="00A23DBC">
        <w:t>the group would further discuss the remaining issues and submit a document for consideration at</w:t>
      </w:r>
      <w:r w:rsidR="00A23DBC" w:rsidRPr="001C54A8">
        <w:t xml:space="preserve"> the </w:t>
      </w:r>
      <w:r w:rsidR="00A23DBC">
        <w:t>next</w:t>
      </w:r>
      <w:r w:rsidR="00A23DBC" w:rsidRPr="001C54A8">
        <w:t xml:space="preserve"> session</w:t>
      </w:r>
      <w:r w:rsidR="00A23DBC">
        <w:t>.</w:t>
      </w:r>
    </w:p>
    <w:p w14:paraId="109F7261" w14:textId="77777777" w:rsidR="00A23DBC" w:rsidRDefault="00A23DBC" w:rsidP="00A23DBC">
      <w:pPr>
        <w:pStyle w:val="H1G"/>
      </w:pPr>
      <w:r>
        <w:tab/>
        <w:t>H.</w:t>
      </w:r>
      <w:r>
        <w:tab/>
        <w:t>Other issues</w:t>
      </w:r>
    </w:p>
    <w:p w14:paraId="4FF39AE0" w14:textId="77777777" w:rsidR="00A23DBC" w:rsidRPr="007F5095" w:rsidRDefault="00A23DBC" w:rsidP="00A23DBC">
      <w:pPr>
        <w:pStyle w:val="H23G"/>
      </w:pPr>
      <w:r>
        <w:tab/>
        <w:t>1.</w:t>
      </w:r>
      <w:r>
        <w:tab/>
        <w:t>References to the Model Regulations</w:t>
      </w:r>
    </w:p>
    <w:p w14:paraId="4F896096" w14:textId="77777777" w:rsidR="00A23DBC" w:rsidRPr="0095340C" w:rsidRDefault="00A23DBC" w:rsidP="00A23DBC">
      <w:pPr>
        <w:pStyle w:val="SingleTxtG"/>
        <w:tabs>
          <w:tab w:val="left" w:pos="3119"/>
        </w:tabs>
        <w:ind w:left="3402" w:hanging="2268"/>
      </w:pPr>
      <w:r w:rsidRPr="00570FAE">
        <w:rPr>
          <w:i/>
          <w:iCs/>
        </w:rPr>
        <w:t>Document</w:t>
      </w:r>
      <w:r w:rsidRPr="00CF4A39">
        <w:t>:</w:t>
      </w:r>
      <w:r w:rsidRPr="0095340C">
        <w:t xml:space="preserve"> </w:t>
      </w:r>
      <w:r w:rsidRPr="0095340C">
        <w:tab/>
      </w:r>
      <w:r w:rsidRPr="0095340C">
        <w:tab/>
      </w:r>
      <w:r>
        <w:t>ST/SG/AC.10/C.4/2019/9 (Secretariat)</w:t>
      </w:r>
    </w:p>
    <w:p w14:paraId="644B32D5" w14:textId="22E7FC24" w:rsidR="00A23DBC" w:rsidRDefault="00075DF7" w:rsidP="00A23DBC">
      <w:pPr>
        <w:pStyle w:val="SingleTxtG"/>
      </w:pPr>
      <w:r>
        <w:t>26</w:t>
      </w:r>
      <w:r w:rsidR="00A23DBC">
        <w:t>.</w:t>
      </w:r>
      <w:r w:rsidR="00A23DBC">
        <w:tab/>
      </w:r>
      <w:r w:rsidR="00A23DBC" w:rsidRPr="00C90B18">
        <w:t>The Sub-Committee</w:t>
      </w:r>
      <w:r w:rsidR="00A23DBC">
        <w:t xml:space="preserve"> adopted the amendments proposed in paragraphs 4, 6, 7 and </w:t>
      </w:r>
      <w:r>
        <w:t xml:space="preserve">the correction in paragraph </w:t>
      </w:r>
      <w:r w:rsidR="00A23DBC">
        <w:t>9 in document ST/SG/AC.10/C.4/2019/9 (see annex</w:t>
      </w:r>
      <w:r>
        <w:t>es</w:t>
      </w:r>
      <w:r w:rsidR="00A23DBC">
        <w:t xml:space="preserve"> </w:t>
      </w:r>
      <w:r w:rsidR="000631CB">
        <w:t>I</w:t>
      </w:r>
      <w:r>
        <w:t xml:space="preserve"> and II respectively</w:t>
      </w:r>
      <w:r w:rsidR="00A23DBC">
        <w:t xml:space="preserve">). On the proposed correction to figure under case scenario B in example 10 of Annex 7, the expert from the United States of America </w:t>
      </w:r>
      <w:r w:rsidR="00BD0D25">
        <w:t>indicated that they would submit a proposal for consideration at the next session to place the statement "</w:t>
      </w:r>
      <w:r>
        <w:t>R</w:t>
      </w:r>
      <w:r w:rsidR="00BD0D25">
        <w:t>ead</w:t>
      </w:r>
      <w:r>
        <w:t xml:space="preserve"> </w:t>
      </w:r>
      <w:r w:rsidR="00BD0D25">
        <w:t xml:space="preserve">full label enclosed" to be consistent with other examples in </w:t>
      </w:r>
      <w:r w:rsidR="000631CB">
        <w:t>A</w:t>
      </w:r>
      <w:r w:rsidR="00BD0D25">
        <w:t>nnex 7</w:t>
      </w:r>
      <w:r w:rsidR="00A23DBC">
        <w:t>.</w:t>
      </w:r>
    </w:p>
    <w:p w14:paraId="33E9F523" w14:textId="586CC3A0" w:rsidR="00A23DBC" w:rsidRDefault="00075DF7" w:rsidP="00A23DBC">
      <w:pPr>
        <w:pStyle w:val="SingleTxtG"/>
      </w:pPr>
      <w:r>
        <w:t>27</w:t>
      </w:r>
      <w:r w:rsidR="00A23DBC">
        <w:t>.</w:t>
      </w:r>
      <w:r w:rsidR="00A23DBC">
        <w:tab/>
        <w:t xml:space="preserve">On the design of decision logics in the GHS, the </w:t>
      </w:r>
      <w:r w:rsidR="00A23DBC" w:rsidRPr="00C90B18">
        <w:t>Sub-Committee</w:t>
      </w:r>
      <w:r w:rsidR="00A23DBC">
        <w:t xml:space="preserve"> noted that all decision logics would have to be converted into a format compatible with the most recent version of text processing software and that this would lead to changes in the current design. The expert from Germany suggested using the format of flowcharts based on appropriate ISO standards. </w:t>
      </w:r>
      <w:r w:rsidR="00BD0D25">
        <w:t xml:space="preserve">A delegation requested that the updated decision logics be submitted in an official document for the next session. </w:t>
      </w:r>
      <w:r>
        <w:t>A member of t</w:t>
      </w:r>
      <w:r w:rsidR="00BD0D25">
        <w:t>he secretariat indicated that, due to time constraints, this might not be possible, in which case an informal document</w:t>
      </w:r>
      <w:r w:rsidR="00BD0D25" w:rsidRPr="0007311B">
        <w:t xml:space="preserve"> </w:t>
      </w:r>
      <w:r w:rsidR="00BD0D25">
        <w:t>would be submitted.</w:t>
      </w:r>
    </w:p>
    <w:p w14:paraId="316E1ECD" w14:textId="77777777" w:rsidR="00A23DBC" w:rsidRPr="007F5095" w:rsidRDefault="00A23DBC" w:rsidP="00A23DBC">
      <w:pPr>
        <w:pStyle w:val="H23G"/>
      </w:pPr>
      <w:r>
        <w:tab/>
        <w:t>2.</w:t>
      </w:r>
      <w:r>
        <w:tab/>
        <w:t>Corrections to the eighth revised edition of the GHS</w:t>
      </w:r>
    </w:p>
    <w:p w14:paraId="68A06534" w14:textId="77777777" w:rsidR="00A23DBC" w:rsidRPr="00CF4A39" w:rsidRDefault="00A23DBC" w:rsidP="00A23DBC">
      <w:pPr>
        <w:pStyle w:val="SingleTxtG"/>
        <w:tabs>
          <w:tab w:val="left" w:pos="3119"/>
        </w:tabs>
        <w:ind w:left="3402" w:hanging="2268"/>
        <w:jc w:val="left"/>
      </w:pPr>
      <w:r w:rsidRPr="00570FAE">
        <w:rPr>
          <w:i/>
          <w:iCs/>
        </w:rPr>
        <w:t>Informal document</w:t>
      </w:r>
      <w:r w:rsidRPr="0095340C">
        <w:t>:</w:t>
      </w:r>
      <w:r w:rsidRPr="0095340C">
        <w:tab/>
      </w:r>
      <w:r>
        <w:tab/>
      </w:r>
      <w:r w:rsidRPr="0095340C">
        <w:t>INF.</w:t>
      </w:r>
      <w:r>
        <w:t>7 (Secretariat)</w:t>
      </w:r>
    </w:p>
    <w:p w14:paraId="6C5767B6" w14:textId="28937120" w:rsidR="00A23DBC" w:rsidRDefault="00075DF7" w:rsidP="00A23DBC">
      <w:pPr>
        <w:pStyle w:val="SingleTxtG"/>
      </w:pPr>
      <w:r>
        <w:t>28</w:t>
      </w:r>
      <w:r w:rsidR="00A23DBC">
        <w:t>.</w:t>
      </w:r>
      <w:r w:rsidR="00A23DBC">
        <w:tab/>
      </w:r>
      <w:r w:rsidR="00A23DBC" w:rsidRPr="00C90B18">
        <w:t>The Sub-Committee</w:t>
      </w:r>
      <w:r w:rsidR="00A23DBC">
        <w:t xml:space="preserve"> adopted the proposed corrections to the GHS (see annex </w:t>
      </w:r>
      <w:r w:rsidR="000631CB">
        <w:t>II</w:t>
      </w:r>
      <w:r w:rsidR="00A23DBC">
        <w:t>).</w:t>
      </w:r>
    </w:p>
    <w:p w14:paraId="70329991" w14:textId="77777777" w:rsidR="00A23DBC" w:rsidRPr="007F5095" w:rsidRDefault="00A23DBC" w:rsidP="00A23DBC">
      <w:pPr>
        <w:pStyle w:val="H23G"/>
      </w:pPr>
      <w:r>
        <w:tab/>
        <w:t>3.</w:t>
      </w:r>
      <w:r>
        <w:tab/>
      </w:r>
      <w:r w:rsidRPr="00F30841">
        <w:t>Clarification</w:t>
      </w:r>
      <w:r>
        <w:t xml:space="preserve"> of paragraph </w:t>
      </w:r>
      <w:r w:rsidRPr="00D22BD2">
        <w:rPr>
          <w:szCs w:val="28"/>
        </w:rPr>
        <w:t>2.9.3.4.3.4</w:t>
      </w:r>
      <w:r>
        <w:rPr>
          <w:szCs w:val="28"/>
        </w:rPr>
        <w:t xml:space="preserve"> of Model Regulat</w:t>
      </w:r>
      <w:r>
        <w:rPr>
          <w:rFonts w:hint="eastAsia"/>
          <w:szCs w:val="28"/>
          <w:lang w:eastAsia="zh-CN"/>
        </w:rPr>
        <w:t>i</w:t>
      </w:r>
      <w:r>
        <w:rPr>
          <w:szCs w:val="28"/>
        </w:rPr>
        <w:t xml:space="preserve">ons </w:t>
      </w:r>
      <w:r>
        <w:rPr>
          <w:rFonts w:hint="eastAsia"/>
          <w:szCs w:val="28"/>
          <w:lang w:eastAsia="zh-CN"/>
        </w:rPr>
        <w:t>and</w:t>
      </w:r>
      <w:r>
        <w:rPr>
          <w:szCs w:val="28"/>
          <w:lang w:eastAsia="zh-CN"/>
        </w:rPr>
        <w:t xml:space="preserve"> </w:t>
      </w:r>
      <w:r>
        <w:t>paragraph</w:t>
      </w:r>
      <w:r w:rsidRPr="00D22BD2">
        <w:rPr>
          <w:szCs w:val="28"/>
        </w:rPr>
        <w:t xml:space="preserve"> 4.1.3.3.4</w:t>
      </w:r>
      <w:r>
        <w:rPr>
          <w:szCs w:val="28"/>
        </w:rPr>
        <w:t xml:space="preserve"> of GHS</w:t>
      </w:r>
    </w:p>
    <w:p w14:paraId="603A319B" w14:textId="77777777" w:rsidR="00A23DBC" w:rsidRPr="00CF4A39" w:rsidRDefault="00A23DBC" w:rsidP="00A23DBC">
      <w:pPr>
        <w:pStyle w:val="SingleTxtG"/>
        <w:tabs>
          <w:tab w:val="left" w:pos="3119"/>
        </w:tabs>
        <w:ind w:left="3402" w:hanging="2268"/>
        <w:jc w:val="left"/>
      </w:pPr>
      <w:r w:rsidRPr="00570FAE">
        <w:rPr>
          <w:i/>
          <w:iCs/>
        </w:rPr>
        <w:t>Informal document</w:t>
      </w:r>
      <w:r>
        <w:rPr>
          <w:i/>
          <w:iCs/>
        </w:rPr>
        <w:t>s</w:t>
      </w:r>
      <w:r w:rsidRPr="0095340C">
        <w:t>:</w:t>
      </w:r>
      <w:r w:rsidRPr="0095340C">
        <w:tab/>
      </w:r>
      <w:r>
        <w:tab/>
      </w:r>
      <w:r w:rsidRPr="0095340C">
        <w:t>INF.</w:t>
      </w:r>
      <w:r>
        <w:t>11 (China)</w:t>
      </w:r>
      <w:r>
        <w:br/>
        <w:t>INF.28, Item 5 (Secretariat)</w:t>
      </w:r>
    </w:p>
    <w:p w14:paraId="338DF0BC" w14:textId="0F904672" w:rsidR="00A23DBC" w:rsidRDefault="00075DF7" w:rsidP="00A23DBC">
      <w:pPr>
        <w:pStyle w:val="SingleTxtG"/>
      </w:pPr>
      <w:r>
        <w:t>29</w:t>
      </w:r>
      <w:r w:rsidR="00A23DBC">
        <w:t>.</w:t>
      </w:r>
      <w:r w:rsidR="00A23DBC">
        <w:tab/>
      </w:r>
      <w:r w:rsidR="00A23DBC" w:rsidRPr="00C90B18">
        <w:t>The Sub-Committee</w:t>
      </w:r>
      <w:r w:rsidR="00A23DBC">
        <w:t xml:space="preserve"> noted the outcome of discussion in the TDG Sub-Committee that the proposed note under 2.9.3.4.3.4 </w:t>
      </w:r>
      <w:r>
        <w:t xml:space="preserve">of the Model Regulations </w:t>
      </w:r>
      <w:r w:rsidR="00A23DBC">
        <w:t>could be clarified, including the suggested alternative wording proposed by the United Kingdom.</w:t>
      </w:r>
    </w:p>
    <w:p w14:paraId="67592593" w14:textId="594BFBFA" w:rsidR="00A23DBC" w:rsidRDefault="00075DF7" w:rsidP="00A23DBC">
      <w:pPr>
        <w:pStyle w:val="SingleTxtG"/>
      </w:pPr>
      <w:r>
        <w:t>30</w:t>
      </w:r>
      <w:r w:rsidR="00A23DBC">
        <w:t>.</w:t>
      </w:r>
      <w:r w:rsidR="00A23DBC">
        <w:tab/>
        <w:t xml:space="preserve">The Sub-Committee considered the </w:t>
      </w:r>
      <w:r>
        <w:t xml:space="preserve">proposed </w:t>
      </w:r>
      <w:r w:rsidR="00A23DBC">
        <w:t xml:space="preserve">revised text proposed for 4.1.3.3.4. The expert from China invited all delegates to send her their comments and she offered to prepare a revised document. It was agreed to take a decision at the next session </w:t>
      </w:r>
      <w:proofErr w:type="gramStart"/>
      <w:r w:rsidR="00A23DBC">
        <w:t>on the basis of</w:t>
      </w:r>
      <w:proofErr w:type="gramEnd"/>
      <w:r w:rsidR="00A23DBC">
        <w:t xml:space="preserve"> an official document.</w:t>
      </w:r>
    </w:p>
    <w:p w14:paraId="43C5C677" w14:textId="77777777" w:rsidR="00791E92" w:rsidRDefault="00791E92">
      <w:pPr>
        <w:suppressAutoHyphens w:val="0"/>
        <w:spacing w:line="240" w:lineRule="auto"/>
        <w:rPr>
          <w:b/>
        </w:rPr>
      </w:pPr>
      <w:r>
        <w:br w:type="page"/>
      </w:r>
    </w:p>
    <w:p w14:paraId="62036AF7" w14:textId="053E5815" w:rsidR="00A23DBC" w:rsidRPr="007F5095" w:rsidRDefault="00A23DBC" w:rsidP="00A23DBC">
      <w:pPr>
        <w:pStyle w:val="H23G"/>
      </w:pPr>
      <w:r>
        <w:lastRenderedPageBreak/>
        <w:tab/>
        <w:t>4.</w:t>
      </w:r>
      <w:r>
        <w:tab/>
        <w:t>Proposed clarification of eye irritation sub-categorization</w:t>
      </w:r>
    </w:p>
    <w:p w14:paraId="382B7B85" w14:textId="77777777" w:rsidR="00A23DBC" w:rsidRPr="00CF4A39" w:rsidRDefault="00A23DBC" w:rsidP="00A23DBC">
      <w:pPr>
        <w:pStyle w:val="SingleTxtG"/>
        <w:tabs>
          <w:tab w:val="left" w:pos="3119"/>
        </w:tabs>
        <w:ind w:left="3402" w:hanging="2268"/>
        <w:jc w:val="left"/>
      </w:pPr>
      <w:r w:rsidRPr="00570FAE">
        <w:rPr>
          <w:i/>
          <w:iCs/>
        </w:rPr>
        <w:t>Informal documents</w:t>
      </w:r>
      <w:r w:rsidRPr="0095340C">
        <w:t>:</w:t>
      </w:r>
      <w:r w:rsidRPr="0095340C">
        <w:tab/>
      </w:r>
      <w:r>
        <w:tab/>
      </w:r>
      <w:r w:rsidRPr="0095340C">
        <w:t>INF.</w:t>
      </w:r>
      <w:r>
        <w:t>4/Rev.1 (Australia)</w:t>
      </w:r>
      <w:r>
        <w:br/>
        <w:t>INF.31 (United States of America)</w:t>
      </w:r>
    </w:p>
    <w:p w14:paraId="772E6578" w14:textId="56FCA8D5" w:rsidR="00A23DBC" w:rsidRDefault="00075DF7" w:rsidP="00A23DBC">
      <w:pPr>
        <w:pStyle w:val="SingleTxtG"/>
      </w:pPr>
      <w:r>
        <w:t>31</w:t>
      </w:r>
      <w:r w:rsidR="00A23DBC">
        <w:t>.</w:t>
      </w:r>
      <w:r w:rsidR="00A23DBC">
        <w:tab/>
        <w:t xml:space="preserve">The expert from Australia proposed clarifications to the classification criteria of eye irritation category 2A and 2B as reflected in informal document INF.4/Rev.1. The expert from the United States of America proposed further amendments as an alternate approach as described in informal document INF.31. </w:t>
      </w:r>
      <w:r w:rsidR="00A23DBC" w:rsidRPr="00B3064F">
        <w:t xml:space="preserve">There was agreement </w:t>
      </w:r>
      <w:r w:rsidR="00A23DBC">
        <w:t xml:space="preserve">to review the use of the term sub-category throughout the GHS and to prepare a proposal </w:t>
      </w:r>
      <w:r>
        <w:t xml:space="preserve">regarding </w:t>
      </w:r>
      <w:r w:rsidR="00A23DBC">
        <w:t xml:space="preserve">the </w:t>
      </w:r>
      <w:r w:rsidR="00A23DBC" w:rsidRPr="00B3064F">
        <w:t>building block approach in 1.1.3.1.5.4</w:t>
      </w:r>
      <w:r w:rsidR="00A23DBC">
        <w:t>. as well as</w:t>
      </w:r>
      <w:r w:rsidR="00A23DBC" w:rsidRPr="00B3064F">
        <w:t xml:space="preserve"> on the consistent application for all </w:t>
      </w:r>
      <w:r w:rsidR="00BD0D25">
        <w:t xml:space="preserve">hazard </w:t>
      </w:r>
      <w:r w:rsidR="00A23DBC" w:rsidRPr="00B3064F">
        <w:t xml:space="preserve">classes on a case-by-case basis while ensuring that it continues to address the needs of all sectors. </w:t>
      </w:r>
    </w:p>
    <w:p w14:paraId="49F7A9B9" w14:textId="35E5DDDA" w:rsidR="00A23DBC" w:rsidRDefault="00075DF7" w:rsidP="00A23DBC">
      <w:pPr>
        <w:pStyle w:val="SingleTxtG"/>
      </w:pPr>
      <w:r>
        <w:t>32</w:t>
      </w:r>
      <w:r w:rsidR="00A23DBC">
        <w:t>.</w:t>
      </w:r>
      <w:r w:rsidR="00A23DBC">
        <w:tab/>
        <w:t>The experts from Australia, Germany and the United States of America volunteered to work on this issue and to submit a proposal for consideration at the next session.</w:t>
      </w:r>
    </w:p>
    <w:p w14:paraId="277DC7E6" w14:textId="77777777" w:rsidR="00B47F24" w:rsidRPr="006D7169" w:rsidRDefault="00B47F24" w:rsidP="00B47F24">
      <w:pPr>
        <w:pStyle w:val="HChG"/>
        <w:spacing w:before="120" w:after="360"/>
      </w:pPr>
      <w:r w:rsidRPr="006D7169">
        <w:tab/>
        <w:t>I</w:t>
      </w:r>
      <w:r>
        <w:t>V</w:t>
      </w:r>
      <w:r w:rsidRPr="006D7169">
        <w:t>.</w:t>
      </w:r>
      <w:r w:rsidRPr="006D7169">
        <w:tab/>
      </w:r>
      <w:r>
        <w:t>H</w:t>
      </w:r>
      <w:r w:rsidRPr="00C90B18">
        <w:t>azard communication</w:t>
      </w:r>
      <w:r w:rsidRPr="006D7169">
        <w:t xml:space="preserve"> (agenda item </w:t>
      </w:r>
      <w:r>
        <w:t>3</w:t>
      </w:r>
      <w:r w:rsidRPr="006D7169">
        <w:t>)</w:t>
      </w:r>
    </w:p>
    <w:p w14:paraId="78168655" w14:textId="77777777" w:rsidR="00AE0B64" w:rsidRDefault="00AE0B64" w:rsidP="00AE0B64">
      <w:pPr>
        <w:pStyle w:val="H1G"/>
      </w:pPr>
      <w:r>
        <w:tab/>
        <w:t>A.</w:t>
      </w:r>
      <w:r>
        <w:tab/>
        <w:t>Practical labelling issues</w:t>
      </w:r>
    </w:p>
    <w:p w14:paraId="132C6371" w14:textId="1AEE2805" w:rsidR="00AE0B64" w:rsidRPr="007F5095" w:rsidRDefault="00AE0B64" w:rsidP="00AE0B64">
      <w:pPr>
        <w:pStyle w:val="H23G"/>
      </w:pPr>
      <w:r>
        <w:tab/>
        <w:t>1.</w:t>
      </w:r>
      <w:r>
        <w:tab/>
      </w:r>
      <w:r w:rsidRPr="00465B73">
        <w:t xml:space="preserve">Revision of examples 1 </w:t>
      </w:r>
      <w:r w:rsidR="00075DF7">
        <w:t>to</w:t>
      </w:r>
      <w:r w:rsidRPr="00465B73">
        <w:t xml:space="preserve"> 7 in Annex 7</w:t>
      </w:r>
    </w:p>
    <w:p w14:paraId="28EFA392" w14:textId="45AE8460"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25 (</w:t>
      </w:r>
      <w:r w:rsidR="004A7081">
        <w:t>Cefic</w:t>
      </w:r>
      <w:r>
        <w:t>)</w:t>
      </w:r>
    </w:p>
    <w:p w14:paraId="0C62D063" w14:textId="6B2AEF74" w:rsidR="00AE0B64" w:rsidRDefault="00075DF7" w:rsidP="00AE0B64">
      <w:pPr>
        <w:pStyle w:val="SingleTxtG"/>
      </w:pPr>
      <w:r>
        <w:t>33</w:t>
      </w:r>
      <w:r w:rsidR="00AE0B64">
        <w:t>.</w:t>
      </w:r>
      <w:r w:rsidR="00AE0B64">
        <w:tab/>
        <w:t xml:space="preserve">The representative of </w:t>
      </w:r>
      <w:r w:rsidR="004A7081">
        <w:t>Cefic</w:t>
      </w:r>
      <w:r w:rsidR="00AE0B64">
        <w:t xml:space="preserve"> introduced in informal document INF.25 several options to review several options to review and update examples 1 to 7 in Annex 7. The Sub</w:t>
      </w:r>
      <w:r>
        <w:t>-</w:t>
      </w:r>
      <w:r w:rsidR="00AE0B64">
        <w:t xml:space="preserve">Committee agreed to update these examples in Annex 7 while keeping their layout and deleting explicit chemical </w:t>
      </w:r>
      <w:r w:rsidR="00AE0B64" w:rsidRPr="008A410C">
        <w:t>na</w:t>
      </w:r>
      <w:r w:rsidR="00AE0B64">
        <w:t>m</w:t>
      </w:r>
      <w:r w:rsidR="00AE0B64" w:rsidRPr="008A410C">
        <w:t>es</w:t>
      </w:r>
      <w:r w:rsidR="00AE0B64">
        <w:t xml:space="preserve">. Furthermore, it was suggested to </w:t>
      </w:r>
      <w:r>
        <w:t>include</w:t>
      </w:r>
      <w:r w:rsidR="00AE0B64">
        <w:t xml:space="preserve"> explicit labelling examples </w:t>
      </w:r>
      <w:r>
        <w:t>as</w:t>
      </w:r>
      <w:r w:rsidR="00AE0B64">
        <w:t xml:space="preserve"> guidance </w:t>
      </w:r>
      <w:r>
        <w:t xml:space="preserve">to be published on the GHS guidance </w:t>
      </w:r>
      <w:r w:rsidR="00AE0B64">
        <w:t>web</w:t>
      </w:r>
      <w:r>
        <w:t>page</w:t>
      </w:r>
      <w:r w:rsidR="00AE0B64">
        <w:t>.</w:t>
      </w:r>
    </w:p>
    <w:p w14:paraId="45E13038" w14:textId="77777777" w:rsidR="00AE0B64" w:rsidRPr="007F5095" w:rsidRDefault="00AE0B64" w:rsidP="00AE0B64">
      <w:pPr>
        <w:pStyle w:val="H23G"/>
      </w:pPr>
      <w:r>
        <w:tab/>
        <w:t>2.</w:t>
      </w:r>
      <w:r>
        <w:tab/>
        <w:t>Digitalisation of hazard information</w:t>
      </w:r>
    </w:p>
    <w:p w14:paraId="6B03AE68" w14:textId="7F61E5A6"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22</w:t>
      </w:r>
      <w:r w:rsidR="00BF4973">
        <w:t xml:space="preserve"> </w:t>
      </w:r>
      <w:r>
        <w:t>(</w:t>
      </w:r>
      <w:proofErr w:type="spellStart"/>
      <w:r w:rsidR="004A7081">
        <w:t>Cefic</w:t>
      </w:r>
      <w:proofErr w:type="spellEnd"/>
      <w:r>
        <w:t>)</w:t>
      </w:r>
    </w:p>
    <w:p w14:paraId="0746B25D" w14:textId="331E7377" w:rsidR="00AE0B64" w:rsidRDefault="00075DF7" w:rsidP="00AE0B64">
      <w:pPr>
        <w:pStyle w:val="SingleTxtG"/>
      </w:pPr>
      <w:r>
        <w:t>3</w:t>
      </w:r>
      <w:r w:rsidR="00AE0B64">
        <w:t>4</w:t>
      </w:r>
      <w:r>
        <w:t>.</w:t>
      </w:r>
      <w:r w:rsidR="00AE0B64">
        <w:tab/>
        <w:t xml:space="preserve">The representative of </w:t>
      </w:r>
      <w:r w:rsidR="004A7081">
        <w:t>Cefic</w:t>
      </w:r>
      <w:r w:rsidR="00AE0B64">
        <w:t xml:space="preserve"> presented the background and benefits of as well as the concerns with the digitalisation of hazard information for chemical products as reflected in informal document INF.22. The Sub-Committee took note of the outcome of the meeting of the informal working group on practical labelling issues held on 12 December 2019. At that meeting, the experts had explored to what extent the GHS could address the issue of digitalisation such the use of GHS terminology, data accessibility and user friendliness. Other aspects had been identified to be further explored such as: </w:t>
      </w:r>
    </w:p>
    <w:p w14:paraId="3E354086" w14:textId="77777777" w:rsidR="00AE0B64" w:rsidRDefault="00AE0B64" w:rsidP="00AE0B64">
      <w:pPr>
        <w:pStyle w:val="SingleTxtG"/>
        <w:ind w:left="1418" w:firstLine="283"/>
      </w:pPr>
      <w:r>
        <w:t>(a)</w:t>
      </w:r>
      <w:r>
        <w:tab/>
        <w:t>Access to digitalised information in different jurisdictions;</w:t>
      </w:r>
    </w:p>
    <w:p w14:paraId="1BF92B00" w14:textId="77777777" w:rsidR="00AE0B64" w:rsidRDefault="00AE0B64" w:rsidP="00AE0B64">
      <w:pPr>
        <w:pStyle w:val="SingleTxtG"/>
        <w:ind w:left="1418" w:firstLine="283"/>
      </w:pPr>
      <w:r>
        <w:t>(b)</w:t>
      </w:r>
      <w:r>
        <w:tab/>
        <w:t>The extent of harmonisation required to avoid uncontrolled situations;</w:t>
      </w:r>
    </w:p>
    <w:p w14:paraId="40F35C11" w14:textId="77777777" w:rsidR="00AE0B64" w:rsidRDefault="00AE0B64" w:rsidP="00AE0B64">
      <w:pPr>
        <w:pStyle w:val="SingleTxtG"/>
        <w:ind w:left="1418" w:firstLine="283"/>
      </w:pPr>
      <w:r>
        <w:t>(c)</w:t>
      </w:r>
      <w:r>
        <w:tab/>
        <w:t>Data privacy for the end user;</w:t>
      </w:r>
    </w:p>
    <w:p w14:paraId="531FD370" w14:textId="77777777" w:rsidR="00AE0B64" w:rsidRDefault="00AE0B64" w:rsidP="00AE0B64">
      <w:pPr>
        <w:pStyle w:val="SingleTxtG"/>
        <w:ind w:left="1418" w:firstLine="283"/>
      </w:pPr>
      <w:r>
        <w:t>(d)</w:t>
      </w:r>
      <w:r>
        <w:tab/>
        <w:t>Data compatibility across different systems;</w:t>
      </w:r>
    </w:p>
    <w:p w14:paraId="06FF52AC" w14:textId="26DAACF7" w:rsidR="00AE0B64" w:rsidRDefault="00AE0B64" w:rsidP="00AE0B64">
      <w:pPr>
        <w:pStyle w:val="SingleTxtG"/>
        <w:ind w:left="1418" w:firstLine="283"/>
      </w:pPr>
      <w:r>
        <w:t>(e)</w:t>
      </w:r>
      <w:r>
        <w:tab/>
        <w:t>Supplemental information versus label information.</w:t>
      </w:r>
    </w:p>
    <w:p w14:paraId="0C1341F1" w14:textId="445099E1" w:rsidR="00AE0B64" w:rsidRDefault="00075DF7" w:rsidP="00AE0B64">
      <w:pPr>
        <w:pStyle w:val="SingleTxtG"/>
      </w:pPr>
      <w:r>
        <w:t>35</w:t>
      </w:r>
      <w:r w:rsidR="00AE0B64">
        <w:t>.</w:t>
      </w:r>
      <w:r w:rsidR="00AE0B64">
        <w:tab/>
        <w:t>The Sub-Committee welcomed the update on the discussion.</w:t>
      </w:r>
    </w:p>
    <w:p w14:paraId="769CED99" w14:textId="77777777" w:rsidR="00791E92" w:rsidRDefault="00791E92">
      <w:pPr>
        <w:suppressAutoHyphens w:val="0"/>
        <w:spacing w:line="240" w:lineRule="auto"/>
        <w:rPr>
          <w:b/>
          <w:sz w:val="24"/>
        </w:rPr>
      </w:pPr>
      <w:r>
        <w:br w:type="page"/>
      </w:r>
    </w:p>
    <w:p w14:paraId="1F6A798E" w14:textId="155B9CD9" w:rsidR="00B47F24" w:rsidRDefault="00B47F24" w:rsidP="00B47F24">
      <w:pPr>
        <w:pStyle w:val="H1G"/>
        <w:spacing w:before="0" w:after="120"/>
      </w:pPr>
      <w:r>
        <w:lastRenderedPageBreak/>
        <w:tab/>
        <w:t>B.</w:t>
      </w:r>
      <w:r>
        <w:tab/>
        <w:t>Improvement of annexes 1 to 3 and further rationalization of precautionary statements</w:t>
      </w:r>
    </w:p>
    <w:p w14:paraId="52C5FC80" w14:textId="77777777" w:rsidR="00B47F24" w:rsidRPr="007F5095" w:rsidRDefault="00B47F24" w:rsidP="00B47F24">
      <w:pPr>
        <w:pStyle w:val="H23G"/>
        <w:spacing w:before="0"/>
      </w:pPr>
      <w:r>
        <w:tab/>
        <w:t>1.</w:t>
      </w:r>
      <w:r>
        <w:tab/>
        <w:t>Proposed changes to Annex 1 of the GHS</w:t>
      </w:r>
    </w:p>
    <w:p w14:paraId="10749205" w14:textId="77777777" w:rsidR="00B47F24" w:rsidRPr="0095340C" w:rsidRDefault="00B47F24" w:rsidP="00B47F24">
      <w:pPr>
        <w:pStyle w:val="SingleTxtG"/>
        <w:tabs>
          <w:tab w:val="left" w:pos="3119"/>
        </w:tabs>
        <w:ind w:left="3402" w:hanging="2268"/>
      </w:pPr>
      <w:r w:rsidRPr="00570FAE">
        <w:rPr>
          <w:i/>
          <w:iCs/>
        </w:rPr>
        <w:t>Document</w:t>
      </w:r>
      <w:r w:rsidRPr="00CF4A39">
        <w:t>:</w:t>
      </w:r>
      <w:r w:rsidRPr="0095340C">
        <w:t xml:space="preserve"> </w:t>
      </w:r>
      <w:r w:rsidRPr="0095340C">
        <w:tab/>
      </w:r>
      <w:r w:rsidRPr="0095340C">
        <w:tab/>
      </w:r>
      <w:r>
        <w:t>ST/SG/AC.10/C.4/2019/12 (United Kingdom)</w:t>
      </w:r>
    </w:p>
    <w:p w14:paraId="63128349" w14:textId="77777777" w:rsidR="00B47F24" w:rsidRPr="00CF4A39" w:rsidRDefault="00B47F24" w:rsidP="00B47F24">
      <w:pPr>
        <w:pStyle w:val="SingleTxtG"/>
        <w:tabs>
          <w:tab w:val="left" w:pos="3119"/>
        </w:tabs>
        <w:ind w:left="3402" w:hanging="2268"/>
        <w:jc w:val="left"/>
      </w:pPr>
      <w:r w:rsidRPr="00570FAE">
        <w:rPr>
          <w:i/>
          <w:iCs/>
        </w:rPr>
        <w:t>Informal document</w:t>
      </w:r>
      <w:r w:rsidRPr="0095340C">
        <w:t>:</w:t>
      </w:r>
      <w:r w:rsidRPr="0095340C">
        <w:tab/>
      </w:r>
      <w:r>
        <w:tab/>
        <w:t>INF.28, Item 6 (Secretariat)</w:t>
      </w:r>
    </w:p>
    <w:p w14:paraId="58436D92" w14:textId="0D538AB6" w:rsidR="00B47F24" w:rsidRDefault="00075DF7" w:rsidP="00B47F24">
      <w:pPr>
        <w:pStyle w:val="SingleTxtG"/>
      </w:pPr>
      <w:r>
        <w:t>36</w:t>
      </w:r>
      <w:r w:rsidR="00B47F24">
        <w:t>.</w:t>
      </w:r>
      <w:r w:rsidR="00B47F24">
        <w:tab/>
        <w:t xml:space="preserve">The </w:t>
      </w:r>
      <w:r w:rsidR="00B47F24" w:rsidRPr="00C90B18">
        <w:t>Sub-Committee</w:t>
      </w:r>
      <w:r w:rsidR="00B47F24">
        <w:t xml:space="preserve"> noted the outcome of discussion in the TDG Sub-Committee that the proposed amendments to Annex </w:t>
      </w:r>
      <w:r w:rsidR="00BD0D25">
        <w:t xml:space="preserve">1 </w:t>
      </w:r>
      <w:r w:rsidR="00B47F24">
        <w:t xml:space="preserve">of GHS was accurate with respect to the Model Regulations. The </w:t>
      </w:r>
      <w:r w:rsidR="00B47F24" w:rsidRPr="00C90B18">
        <w:t>Sub-Committee</w:t>
      </w:r>
      <w:r w:rsidR="00B47F24">
        <w:t xml:space="preserve"> adopted the amendments proposed in the annex to document ST/SG/AC.10/C.4/2019/12, as amended (see annex </w:t>
      </w:r>
      <w:r w:rsidR="000631CB">
        <w:t>I</w:t>
      </w:r>
      <w:r w:rsidR="00B47F24">
        <w:t>).</w:t>
      </w:r>
    </w:p>
    <w:p w14:paraId="6E959B19" w14:textId="77777777" w:rsidR="00AE0B64" w:rsidRPr="007F5095" w:rsidRDefault="00AE0B64" w:rsidP="00AE0B64">
      <w:pPr>
        <w:pStyle w:val="H23G"/>
      </w:pPr>
      <w:r>
        <w:tab/>
        <w:t>2.</w:t>
      </w:r>
      <w:r>
        <w:tab/>
        <w:t>Corrections and amendments to Annex 3, sections 2 and 3</w:t>
      </w:r>
    </w:p>
    <w:p w14:paraId="7C6BF302" w14:textId="77777777" w:rsidR="00AE0B64" w:rsidRPr="0095340C" w:rsidRDefault="00AE0B64" w:rsidP="00AE0B64">
      <w:pPr>
        <w:pStyle w:val="SingleTxtG"/>
        <w:tabs>
          <w:tab w:val="left" w:pos="3119"/>
        </w:tabs>
        <w:ind w:left="3402" w:hanging="2268"/>
      </w:pPr>
      <w:r w:rsidRPr="00791E92">
        <w:rPr>
          <w:i/>
          <w:iCs/>
        </w:rPr>
        <w:t>Document</w:t>
      </w:r>
      <w:r w:rsidRPr="00CF4A39">
        <w:t>:</w:t>
      </w:r>
      <w:r w:rsidRPr="0095340C">
        <w:t xml:space="preserve"> </w:t>
      </w:r>
      <w:r w:rsidRPr="0095340C">
        <w:tab/>
      </w:r>
      <w:r w:rsidRPr="0095340C">
        <w:tab/>
      </w:r>
      <w:r>
        <w:t>ST/SG/AC.10/C.4/2019/15 (United Kingdom)</w:t>
      </w:r>
    </w:p>
    <w:p w14:paraId="54568757" w14:textId="00385E13" w:rsidR="00AE0B64" w:rsidRDefault="00075DF7" w:rsidP="00AE0B64">
      <w:pPr>
        <w:pStyle w:val="SingleTxtG"/>
      </w:pPr>
      <w:r>
        <w:t>37</w:t>
      </w:r>
      <w:r w:rsidR="00AE0B64">
        <w:t>.</w:t>
      </w:r>
      <w:r w:rsidR="00AE0B64">
        <w:tab/>
        <w:t xml:space="preserve">The </w:t>
      </w:r>
      <w:r w:rsidR="00AE0B64" w:rsidRPr="00C90B18">
        <w:t>Sub-Committee</w:t>
      </w:r>
      <w:r w:rsidR="00AE0B64">
        <w:t xml:space="preserve"> adopted the </w:t>
      </w:r>
      <w:r w:rsidR="005E2569">
        <w:t>corrections</w:t>
      </w:r>
      <w:r w:rsidR="00AE0B64">
        <w:t xml:space="preserve"> in paragraphs 5</w:t>
      </w:r>
      <w:r w:rsidR="005E2569">
        <w:t xml:space="preserve"> and</w:t>
      </w:r>
      <w:r w:rsidR="00AE0B64">
        <w:t xml:space="preserve"> 8</w:t>
      </w:r>
      <w:r w:rsidR="005E2569">
        <w:t xml:space="preserve"> and the amendments in paragraphs</w:t>
      </w:r>
      <w:r w:rsidR="00AE0B64">
        <w:t xml:space="preserve"> 19 and 20 </w:t>
      </w:r>
      <w:r w:rsidR="005E2569">
        <w:t xml:space="preserve">in the document </w:t>
      </w:r>
      <w:r w:rsidR="00AE0B64">
        <w:t>(see annex</w:t>
      </w:r>
      <w:r w:rsidR="005E2569">
        <w:t>es</w:t>
      </w:r>
      <w:r w:rsidR="00AE0B64">
        <w:t xml:space="preserve"> </w:t>
      </w:r>
      <w:r w:rsidR="005E2569">
        <w:t xml:space="preserve">II and </w:t>
      </w:r>
      <w:r w:rsidR="000631CB">
        <w:t>I</w:t>
      </w:r>
      <w:r w:rsidR="005E2569">
        <w:t xml:space="preserve"> respectively</w:t>
      </w:r>
      <w:r w:rsidR="00AE0B64">
        <w:t>).</w:t>
      </w:r>
    </w:p>
    <w:p w14:paraId="1692F8F0" w14:textId="77777777" w:rsidR="00AE0B64" w:rsidRPr="007F5095" w:rsidRDefault="00AE0B64" w:rsidP="00AE0B64">
      <w:pPr>
        <w:pStyle w:val="H23G"/>
      </w:pPr>
      <w:r>
        <w:tab/>
        <w:t>3.</w:t>
      </w:r>
      <w:r>
        <w:tab/>
        <w:t>Status of the work of the Annex 1-3 informal working group</w:t>
      </w:r>
    </w:p>
    <w:p w14:paraId="1F64CAFC"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23 (United Kingdom)</w:t>
      </w:r>
    </w:p>
    <w:p w14:paraId="78CBD712" w14:textId="27416EFB" w:rsidR="00AE0B64" w:rsidRDefault="00075DF7" w:rsidP="00AE0B64">
      <w:pPr>
        <w:pStyle w:val="SingleTxtG"/>
      </w:pPr>
      <w:r>
        <w:t>38</w:t>
      </w:r>
      <w:r w:rsidR="00AE0B64">
        <w:t>.</w:t>
      </w:r>
      <w:r w:rsidR="00AE0B64">
        <w:tab/>
        <w:t xml:space="preserve">The </w:t>
      </w:r>
      <w:r w:rsidR="00AE0B64" w:rsidRPr="00C90B18">
        <w:t>Sub-Committee</w:t>
      </w:r>
      <w:r w:rsidR="00AE0B64">
        <w:t xml:space="preserve"> noted the outcome and </w:t>
      </w:r>
      <w:r w:rsidR="005E2569">
        <w:t xml:space="preserve">work </w:t>
      </w:r>
      <w:r w:rsidR="00AE0B64">
        <w:t>progress of the informal working group that met on 12 December 2019. The representative of the United Kingdom reported that the informal group</w:t>
      </w:r>
      <w:r w:rsidR="005E2569">
        <w:t xml:space="preserve"> had</w:t>
      </w:r>
      <w:r w:rsidR="00AE0B64">
        <w:t xml:space="preserve">: </w:t>
      </w:r>
    </w:p>
    <w:p w14:paraId="3F06D037" w14:textId="1D97FCB1" w:rsidR="00AE0B64" w:rsidRDefault="00AE0B64" w:rsidP="00791E92">
      <w:pPr>
        <w:pStyle w:val="SingleTxtG"/>
        <w:ind w:left="1701"/>
      </w:pPr>
      <w:r>
        <w:t>(a)</w:t>
      </w:r>
      <w:r>
        <w:tab/>
        <w:t xml:space="preserve">endorsed the proposed corrections and amendments in </w:t>
      </w:r>
      <w:r w:rsidR="005E2569">
        <w:t>ST/SG/AC.10/C.4/2019/15</w:t>
      </w:r>
      <w:r>
        <w:t>,</w:t>
      </w:r>
    </w:p>
    <w:p w14:paraId="036E9F6E" w14:textId="77777777" w:rsidR="00AE0B64" w:rsidRDefault="00AE0B64" w:rsidP="00791E92">
      <w:pPr>
        <w:pStyle w:val="SingleTxtG"/>
        <w:ind w:left="1701"/>
      </w:pPr>
      <w:r>
        <w:t>(b)</w:t>
      </w:r>
      <w:r>
        <w:tab/>
        <w:t>discussed a thought starter on hand-eye contact in relation to eye irritation hazard and agreed on the importance of this subject and commented the possible precautionary statements that could be used to help address this issue, i.e. the need:</w:t>
      </w:r>
    </w:p>
    <w:p w14:paraId="45E70372" w14:textId="77777777" w:rsidR="00AE0B64" w:rsidRDefault="00AE0B64" w:rsidP="00791E92">
      <w:pPr>
        <w:pStyle w:val="SingleTxtG"/>
        <w:ind w:left="2268"/>
      </w:pPr>
      <w:r>
        <w:t>(</w:t>
      </w:r>
      <w:proofErr w:type="spellStart"/>
      <w:r>
        <w:t>i</w:t>
      </w:r>
      <w:proofErr w:type="spellEnd"/>
      <w:r>
        <w:t>)</w:t>
      </w:r>
      <w:r>
        <w:tab/>
        <w:t>to consider other areas of the skin or clothing that may also be contaminated with an eye irritant in relation to potential eye contact,</w:t>
      </w:r>
    </w:p>
    <w:p w14:paraId="4A7C0701" w14:textId="77777777" w:rsidR="00AE0B64" w:rsidRDefault="00AE0B64" w:rsidP="00791E92">
      <w:pPr>
        <w:pStyle w:val="SingleTxtG"/>
        <w:ind w:left="2268"/>
      </w:pPr>
      <w:r>
        <w:t>(ii)</w:t>
      </w:r>
      <w:r>
        <w:tab/>
        <w:t>to further develop a formal proposal to be presented to the Sub-Committee at the July 2020 session.</w:t>
      </w:r>
    </w:p>
    <w:p w14:paraId="13257BFF" w14:textId="784E9336" w:rsidR="00AE0B64" w:rsidRDefault="005E2569" w:rsidP="00AE0B64">
      <w:pPr>
        <w:pStyle w:val="SingleTxtG"/>
      </w:pPr>
      <w:r>
        <w:t>39</w:t>
      </w:r>
      <w:r w:rsidR="00AE0B64">
        <w:t>.</w:t>
      </w:r>
      <w:r w:rsidR="00AE0B64">
        <w:tab/>
        <w:t xml:space="preserve">The </w:t>
      </w:r>
      <w:r w:rsidR="00AE0B64" w:rsidRPr="00C90B18">
        <w:t>Sub-Committee</w:t>
      </w:r>
      <w:r w:rsidR="00AE0B64">
        <w:t xml:space="preserve"> agreed to further discuss this subject at the next session.</w:t>
      </w:r>
    </w:p>
    <w:p w14:paraId="2DCF6304" w14:textId="3297266C" w:rsidR="00B47F24" w:rsidRDefault="00B47F24" w:rsidP="00B47F24">
      <w:pPr>
        <w:pStyle w:val="H1G"/>
      </w:pPr>
      <w:r>
        <w:tab/>
        <w:t>C.</w:t>
      </w:r>
      <w:r>
        <w:tab/>
        <w:t>Review of Annex 4, sub-section A4.3.3.2.3</w:t>
      </w:r>
    </w:p>
    <w:p w14:paraId="0816564A" w14:textId="58FD2555" w:rsidR="00B47F24" w:rsidRDefault="005E2569" w:rsidP="00B47F24">
      <w:pPr>
        <w:pStyle w:val="SingleTxtG"/>
      </w:pPr>
      <w:r>
        <w:t>40</w:t>
      </w:r>
      <w:r w:rsidR="00B47F24">
        <w:t>.</w:t>
      </w:r>
      <w:r w:rsidR="00B47F24">
        <w:tab/>
        <w:t>As no document had been submitted under this agenda sub-item no discussion took place on this issue.</w:t>
      </w:r>
    </w:p>
    <w:p w14:paraId="5BF91372" w14:textId="77777777" w:rsidR="00B47F24" w:rsidRDefault="00B47F24" w:rsidP="00B47F24">
      <w:pPr>
        <w:pStyle w:val="H1G"/>
      </w:pPr>
      <w:r>
        <w:tab/>
        <w:t>D.</w:t>
      </w:r>
      <w:r>
        <w:tab/>
        <w:t>Other issues</w:t>
      </w:r>
    </w:p>
    <w:p w14:paraId="7D6BEFF3" w14:textId="77777777" w:rsidR="00B47F24" w:rsidRPr="007F5095" w:rsidRDefault="00B47F24" w:rsidP="00B47F24">
      <w:pPr>
        <w:pStyle w:val="H23G"/>
      </w:pPr>
      <w:r>
        <w:tab/>
        <w:t>1.</w:t>
      </w:r>
      <w:r>
        <w:tab/>
        <w:t>Corrections to hazard statements H410, H411 and H412</w:t>
      </w:r>
    </w:p>
    <w:p w14:paraId="30E140ED" w14:textId="77777777" w:rsidR="00B47F24" w:rsidRPr="0095340C" w:rsidRDefault="00B47F24" w:rsidP="00B47F24">
      <w:pPr>
        <w:pStyle w:val="SingleTxtG"/>
        <w:tabs>
          <w:tab w:val="left" w:pos="3119"/>
        </w:tabs>
        <w:ind w:left="3402" w:hanging="2268"/>
      </w:pPr>
      <w:r w:rsidRPr="00570FAE">
        <w:rPr>
          <w:i/>
          <w:iCs/>
        </w:rPr>
        <w:t>Document</w:t>
      </w:r>
      <w:r w:rsidRPr="00CF4A39">
        <w:t>:</w:t>
      </w:r>
      <w:r w:rsidRPr="0095340C">
        <w:t xml:space="preserve"> </w:t>
      </w:r>
      <w:r w:rsidRPr="0095340C">
        <w:tab/>
      </w:r>
      <w:r w:rsidRPr="0095340C">
        <w:tab/>
      </w:r>
      <w:r>
        <w:t>ST/SG/AC.10/C.4/2019/8 (Secretariat)</w:t>
      </w:r>
    </w:p>
    <w:p w14:paraId="4C84A37B" w14:textId="20183502" w:rsidR="00B47F24" w:rsidRDefault="005E2569" w:rsidP="00B47F24">
      <w:pPr>
        <w:pStyle w:val="SingleTxtG"/>
      </w:pPr>
      <w:r>
        <w:t>41</w:t>
      </w:r>
      <w:r w:rsidR="00B47F24">
        <w:t>.</w:t>
      </w:r>
      <w:r w:rsidR="00B47F24">
        <w:tab/>
        <w:t xml:space="preserve">The </w:t>
      </w:r>
      <w:r w:rsidR="00B47F24" w:rsidRPr="00C90B18">
        <w:t>Sub-Committee</w:t>
      </w:r>
      <w:r w:rsidR="00B47F24">
        <w:t xml:space="preserve"> adopted the proposed corrections (see annex </w:t>
      </w:r>
      <w:r w:rsidR="000631CB">
        <w:t>II</w:t>
      </w:r>
      <w:r w:rsidR="00B47F24">
        <w:t>). The experts from China and the Russian Federation confirmed that the Chinese and Russian versions were correct.</w:t>
      </w:r>
    </w:p>
    <w:p w14:paraId="1780884B" w14:textId="77777777" w:rsidR="00B47F24" w:rsidRPr="007F5095" w:rsidRDefault="00B47F24" w:rsidP="00B47F24">
      <w:pPr>
        <w:pStyle w:val="H23G"/>
      </w:pPr>
      <w:r>
        <w:lastRenderedPageBreak/>
        <w:tab/>
        <w:t>2.</w:t>
      </w:r>
      <w:r>
        <w:tab/>
        <w:t>Proposed clarification for the heading of section 9 of the Safety Data Sheet</w:t>
      </w:r>
    </w:p>
    <w:p w14:paraId="38F95A39" w14:textId="77777777" w:rsidR="00B47F24" w:rsidRPr="0095340C" w:rsidRDefault="00B47F24" w:rsidP="00B47F24">
      <w:pPr>
        <w:pStyle w:val="SingleTxtG"/>
        <w:tabs>
          <w:tab w:val="left" w:pos="3119"/>
        </w:tabs>
        <w:ind w:left="3402" w:hanging="2268"/>
      </w:pPr>
      <w:r w:rsidRPr="00570FAE">
        <w:rPr>
          <w:i/>
          <w:iCs/>
        </w:rPr>
        <w:t>Document</w:t>
      </w:r>
      <w:r w:rsidRPr="00CF4A39">
        <w:t>:</w:t>
      </w:r>
      <w:r w:rsidRPr="0095340C">
        <w:t xml:space="preserve"> </w:t>
      </w:r>
      <w:r w:rsidRPr="0095340C">
        <w:tab/>
      </w:r>
      <w:r w:rsidRPr="0095340C">
        <w:tab/>
      </w:r>
      <w:r>
        <w:t>ST/SG/AC.10/C.4/2019/13 (Australia, Canada)</w:t>
      </w:r>
    </w:p>
    <w:p w14:paraId="5107004B" w14:textId="79BF72C3" w:rsidR="00B47F24" w:rsidRDefault="005E2569" w:rsidP="00B47F24">
      <w:pPr>
        <w:pStyle w:val="SingleTxtG"/>
      </w:pPr>
      <w:r>
        <w:t>42</w:t>
      </w:r>
      <w:r w:rsidR="00B47F24">
        <w:t>.</w:t>
      </w:r>
      <w:r w:rsidR="00B47F24">
        <w:tab/>
        <w:t xml:space="preserve">The </w:t>
      </w:r>
      <w:r w:rsidR="00B47F24" w:rsidRPr="00C90B18">
        <w:t>Sub-Committee</w:t>
      </w:r>
      <w:r w:rsidR="00B47F24">
        <w:t xml:space="preserve"> adopted the proposed amendments (see annex </w:t>
      </w:r>
      <w:r w:rsidR="000631CB">
        <w:t>I</w:t>
      </w:r>
      <w:r w:rsidR="00B47F24">
        <w:t>).</w:t>
      </w:r>
    </w:p>
    <w:p w14:paraId="14A310F2" w14:textId="77777777" w:rsidR="00B47F24" w:rsidRPr="006D7169" w:rsidRDefault="00B47F24" w:rsidP="00B47F24">
      <w:pPr>
        <w:pStyle w:val="HChG"/>
      </w:pPr>
      <w:r w:rsidRPr="006D7169">
        <w:tab/>
      </w:r>
      <w:r>
        <w:t>V</w:t>
      </w:r>
      <w:r w:rsidRPr="006D7169">
        <w:t>.</w:t>
      </w:r>
      <w:r w:rsidRPr="006D7169">
        <w:tab/>
      </w:r>
      <w:r>
        <w:t>Implementation of the GHS</w:t>
      </w:r>
      <w:r w:rsidRPr="006D7169">
        <w:t xml:space="preserve"> (agenda item </w:t>
      </w:r>
      <w:r>
        <w:t>4</w:t>
      </w:r>
      <w:r w:rsidRPr="006D7169">
        <w:t>)</w:t>
      </w:r>
    </w:p>
    <w:p w14:paraId="73CB610E" w14:textId="77777777" w:rsidR="00AE0B64" w:rsidRDefault="00AE0B64" w:rsidP="00AE0B64">
      <w:pPr>
        <w:pStyle w:val="H1G"/>
      </w:pPr>
      <w:r>
        <w:tab/>
        <w:t>A.</w:t>
      </w:r>
      <w:r>
        <w:tab/>
        <w:t>Possible development of a list of chemicals classified in accordance with the GHS</w:t>
      </w:r>
    </w:p>
    <w:p w14:paraId="5C5758C2"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27 (Canada, United States of America)</w:t>
      </w:r>
    </w:p>
    <w:p w14:paraId="1DF5024A" w14:textId="17039646" w:rsidR="00AE0B64" w:rsidRDefault="00AE0B64" w:rsidP="00AE0B64">
      <w:pPr>
        <w:pStyle w:val="SingleTxtG"/>
      </w:pPr>
      <w:r>
        <w:t>4</w:t>
      </w:r>
      <w:r w:rsidR="005E2569">
        <w:t>3</w:t>
      </w:r>
      <w:r>
        <w:t>.</w:t>
      </w:r>
      <w:r>
        <w:tab/>
        <w:t xml:space="preserve">The </w:t>
      </w:r>
      <w:r w:rsidRPr="00C90B18">
        <w:t>Sub-Committee</w:t>
      </w:r>
      <w:r>
        <w:t xml:space="preserve"> noted the information on the progress </w:t>
      </w:r>
      <w:r w:rsidR="005E2569">
        <w:t xml:space="preserve">of the informal group </w:t>
      </w:r>
      <w:r>
        <w:t xml:space="preserve">on the development of a global list of chemicals classified in accordance with the GHS as reflected in informal document INF.27. The </w:t>
      </w:r>
      <w:r w:rsidRPr="00C90B18">
        <w:t>Sub-Committee</w:t>
      </w:r>
      <w:r>
        <w:t xml:space="preserve"> encouraged the informal group to go forward with their workstreams 1 and 2, and to report back at the next session.</w:t>
      </w:r>
    </w:p>
    <w:p w14:paraId="4ECDC345" w14:textId="3427810B" w:rsidR="00B47F24" w:rsidRDefault="00B47F24" w:rsidP="00B47F24">
      <w:pPr>
        <w:pStyle w:val="H1G"/>
      </w:pPr>
      <w:r>
        <w:tab/>
        <w:t>B.</w:t>
      </w:r>
      <w:r>
        <w:tab/>
        <w:t>Reports on the status of implementation</w:t>
      </w:r>
    </w:p>
    <w:p w14:paraId="46C9001D" w14:textId="37E8CAAE" w:rsidR="00B47F24" w:rsidRDefault="00B47F24" w:rsidP="00B47F24">
      <w:pPr>
        <w:pStyle w:val="H23G"/>
      </w:pPr>
      <w:r>
        <w:tab/>
        <w:t>1.</w:t>
      </w:r>
      <w:r>
        <w:tab/>
      </w:r>
      <w:r w:rsidR="005E2569">
        <w:t>Australia</w:t>
      </w:r>
      <w:r w:rsidR="005E2569" w:rsidDel="005E2569">
        <w:t xml:space="preserve"> </w:t>
      </w:r>
    </w:p>
    <w:p w14:paraId="75FF0566" w14:textId="77777777" w:rsidR="00B47F24" w:rsidRPr="00CF4A39" w:rsidRDefault="00B47F24" w:rsidP="00B47F24">
      <w:pPr>
        <w:pStyle w:val="SingleTxtG"/>
        <w:tabs>
          <w:tab w:val="left" w:pos="3119"/>
        </w:tabs>
        <w:ind w:left="3402" w:hanging="2268"/>
        <w:jc w:val="left"/>
      </w:pPr>
      <w:r w:rsidRPr="00570FAE">
        <w:rPr>
          <w:i/>
          <w:iCs/>
        </w:rPr>
        <w:t>Informal document</w:t>
      </w:r>
      <w:r w:rsidRPr="0095340C">
        <w:t>:</w:t>
      </w:r>
      <w:r w:rsidRPr="0095340C">
        <w:tab/>
      </w:r>
      <w:r>
        <w:tab/>
      </w:r>
      <w:r w:rsidRPr="0095340C">
        <w:t>INF.</w:t>
      </w:r>
      <w:r>
        <w:t>5 (Australia)</w:t>
      </w:r>
    </w:p>
    <w:p w14:paraId="537F0E0B" w14:textId="760F6FC0" w:rsidR="00B47F24" w:rsidRDefault="005E2569" w:rsidP="00B47F24">
      <w:pPr>
        <w:pStyle w:val="SingleTxtG"/>
      </w:pPr>
      <w:r>
        <w:t>44</w:t>
      </w:r>
      <w:r w:rsidR="00B47F24">
        <w:t>.</w:t>
      </w:r>
      <w:r w:rsidR="00B47F24">
        <w:tab/>
        <w:t xml:space="preserve">The </w:t>
      </w:r>
      <w:r w:rsidR="00B47F24" w:rsidRPr="00C90B18">
        <w:t>Sub-Committee</w:t>
      </w:r>
      <w:r w:rsidR="00B47F24">
        <w:t xml:space="preserve"> welcomed the information on the status of implementation of the GHS in Australia.</w:t>
      </w:r>
    </w:p>
    <w:p w14:paraId="4C4A9CBA" w14:textId="25EDFE8B" w:rsidR="00B47F24" w:rsidRPr="007F5095" w:rsidRDefault="00B47F24" w:rsidP="00B47F24">
      <w:pPr>
        <w:pStyle w:val="H23G"/>
      </w:pPr>
      <w:r>
        <w:tab/>
      </w:r>
      <w:r w:rsidR="005E2569">
        <w:t>2.</w:t>
      </w:r>
      <w:r>
        <w:tab/>
        <w:t>European Union</w:t>
      </w:r>
    </w:p>
    <w:p w14:paraId="74784396" w14:textId="2A63DACE" w:rsidR="00B47F24" w:rsidRDefault="005E2569" w:rsidP="00B47F24">
      <w:pPr>
        <w:pStyle w:val="SingleTxtG"/>
      </w:pPr>
      <w:r>
        <w:t>45</w:t>
      </w:r>
      <w:r w:rsidR="00B47F24">
        <w:t>.</w:t>
      </w:r>
      <w:r w:rsidR="00B47F24">
        <w:tab/>
        <w:t>The representative of the European Union informed the Sub-Committee that a legal proposal to implement the provisions of the sixth</w:t>
      </w:r>
      <w:r w:rsidR="00B47F24" w:rsidRPr="00F215F9">
        <w:t xml:space="preserve"> and </w:t>
      </w:r>
      <w:r w:rsidR="00B47F24">
        <w:t xml:space="preserve">seventh revised editions </w:t>
      </w:r>
      <w:r w:rsidR="00BD0D25">
        <w:t>of the GHS</w:t>
      </w:r>
      <w:r w:rsidR="00BD0D25" w:rsidRPr="00F215F9">
        <w:t xml:space="preserve"> </w:t>
      </w:r>
      <w:proofErr w:type="gramStart"/>
      <w:r w:rsidR="00B47F24">
        <w:t>with regard to</w:t>
      </w:r>
      <w:proofErr w:type="gramEnd"/>
      <w:r w:rsidR="00B47F24">
        <w:t xml:space="preserve"> the safety data sheets was under discussion and </w:t>
      </w:r>
      <w:r w:rsidR="00BD0D25">
        <w:t xml:space="preserve">it </w:t>
      </w:r>
      <w:r w:rsidR="00B47F24">
        <w:t xml:space="preserve">was expected to be adopted for </w:t>
      </w:r>
      <w:r w:rsidR="00B47F24" w:rsidRPr="00F215F9">
        <w:t>entr</w:t>
      </w:r>
      <w:r w:rsidR="00B47F24">
        <w:t>y</w:t>
      </w:r>
      <w:r w:rsidR="00B47F24" w:rsidRPr="00F215F9">
        <w:t xml:space="preserve"> into force by mid </w:t>
      </w:r>
      <w:r w:rsidR="00B47F24">
        <w:t xml:space="preserve">of </w:t>
      </w:r>
      <w:r w:rsidR="00B47F24" w:rsidRPr="00F215F9">
        <w:t>2020.</w:t>
      </w:r>
    </w:p>
    <w:p w14:paraId="529AFB35" w14:textId="296F2F79" w:rsidR="00AE0B64" w:rsidRPr="007F5095" w:rsidRDefault="00AE0B64" w:rsidP="00AE0B64">
      <w:pPr>
        <w:pStyle w:val="H23G"/>
      </w:pPr>
      <w:r>
        <w:tab/>
      </w:r>
      <w:r w:rsidR="005E2569">
        <w:t>3</w:t>
      </w:r>
      <w:r>
        <w:t>.</w:t>
      </w:r>
      <w:r>
        <w:tab/>
        <w:t>New Zealand and ANDEAN community</w:t>
      </w:r>
    </w:p>
    <w:p w14:paraId="1EA3FCF1"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t>INF.13 (Secretariat)</w:t>
      </w:r>
    </w:p>
    <w:p w14:paraId="142B777B" w14:textId="7CA303EF" w:rsidR="00AE0B64" w:rsidRDefault="00AE0B64" w:rsidP="00AE0B64">
      <w:pPr>
        <w:pStyle w:val="SingleTxtG"/>
      </w:pPr>
      <w:r>
        <w:t>46.</w:t>
      </w:r>
      <w:r>
        <w:tab/>
        <w:t xml:space="preserve">The </w:t>
      </w:r>
      <w:r w:rsidRPr="00C90B18">
        <w:t>Sub-Committee</w:t>
      </w:r>
      <w:r>
        <w:t xml:space="preserve"> noted the implementation status of the GHS in the ANDEAN community and in New Zealand. </w:t>
      </w:r>
    </w:p>
    <w:p w14:paraId="1742CBAA" w14:textId="6951541D" w:rsidR="005E2569" w:rsidRPr="007F5095" w:rsidRDefault="005E2569" w:rsidP="005E2569">
      <w:pPr>
        <w:pStyle w:val="H23G"/>
      </w:pPr>
      <w:r>
        <w:tab/>
        <w:t>4.</w:t>
      </w:r>
      <w:r>
        <w:tab/>
      </w:r>
      <w:r w:rsidR="00D612D1">
        <w:t>Canada and the United States of America</w:t>
      </w:r>
    </w:p>
    <w:p w14:paraId="788BE988" w14:textId="02D306CA" w:rsidR="005E2569" w:rsidRDefault="005E2569" w:rsidP="005E2569">
      <w:pPr>
        <w:pStyle w:val="SingleTxtG"/>
      </w:pPr>
      <w:r>
        <w:t>47.</w:t>
      </w:r>
      <w:r>
        <w:tab/>
        <w:t>The expert from the United States of America announced that a proposed rulemaking procedure to align with the seventh revised edition of the GHS was expected to be published next year. The expert from Canada stated that they were in the process of implementing the seventh revised edition of the GHS.</w:t>
      </w:r>
    </w:p>
    <w:p w14:paraId="62935990" w14:textId="6AF08348" w:rsidR="00AE0B64" w:rsidRPr="007F5095" w:rsidRDefault="00AE0B64" w:rsidP="00AE0B64">
      <w:pPr>
        <w:pStyle w:val="H23G"/>
      </w:pPr>
      <w:r>
        <w:tab/>
      </w:r>
      <w:r w:rsidR="005E2569">
        <w:t>5</w:t>
      </w:r>
      <w:r>
        <w:t>.</w:t>
      </w:r>
      <w:r>
        <w:tab/>
        <w:t>Information on the status of implementation of the GHS</w:t>
      </w:r>
    </w:p>
    <w:p w14:paraId="49DFC5C6" w14:textId="4B1198D8"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t>INF.19 (</w:t>
      </w:r>
      <w:r w:rsidR="004A7081">
        <w:t>Cefic</w:t>
      </w:r>
      <w:r>
        <w:t>)</w:t>
      </w:r>
    </w:p>
    <w:p w14:paraId="28B31C51" w14:textId="0A0ADA2F" w:rsidR="00AE0B64" w:rsidRDefault="00AE0B64" w:rsidP="00AE0B64">
      <w:pPr>
        <w:pStyle w:val="SingleTxtG"/>
      </w:pPr>
      <w:r>
        <w:t>4</w:t>
      </w:r>
      <w:r w:rsidR="005E2569">
        <w:t>8</w:t>
      </w:r>
      <w:r>
        <w:t>.</w:t>
      </w:r>
      <w:r>
        <w:tab/>
      </w:r>
      <w:r w:rsidRPr="00585678">
        <w:t xml:space="preserve">The Sub-Committee welcomed the updates on the work on the template developed by </w:t>
      </w:r>
      <w:r w:rsidR="004A7081">
        <w:t>Cefic</w:t>
      </w:r>
      <w:r w:rsidRPr="00585678">
        <w:t xml:space="preserve"> and suggested to include a column addressing information on implementation of cut-off values for mixtures. The representative of </w:t>
      </w:r>
      <w:r w:rsidR="004A7081">
        <w:t>Cefic</w:t>
      </w:r>
      <w:r w:rsidRPr="00585678">
        <w:t xml:space="preserve"> volunteered to share with the secretariat and interested experts a report prepared by </w:t>
      </w:r>
      <w:r w:rsidR="004A7081">
        <w:t>Cefic</w:t>
      </w:r>
      <w:r w:rsidRPr="00585678">
        <w:t xml:space="preserve"> on the status of implementation of the GHS worldwide. After an exchange of views, the Sub-Committee welcomed the offer from the </w:t>
      </w:r>
      <w:r w:rsidRPr="00585678">
        <w:lastRenderedPageBreak/>
        <w:t xml:space="preserve">secretariat to submit an informal document for the next session that would include the information provided by </w:t>
      </w:r>
      <w:r w:rsidR="004A7081">
        <w:t>Cefic</w:t>
      </w:r>
      <w:r w:rsidRPr="00585678">
        <w:t>. Experts were invited to share any information they may have on the status of implementation of the GHS.</w:t>
      </w:r>
    </w:p>
    <w:p w14:paraId="7FE4C486" w14:textId="77777777" w:rsidR="00AE0B64" w:rsidRDefault="00AE0B64" w:rsidP="00AE0B64">
      <w:pPr>
        <w:pStyle w:val="H1G"/>
      </w:pPr>
      <w:r>
        <w:tab/>
        <w:t>C.</w:t>
      </w:r>
      <w:r>
        <w:tab/>
        <w:t>Cooperation with other bodies or international organizations</w:t>
      </w:r>
    </w:p>
    <w:p w14:paraId="065449B6" w14:textId="77777777" w:rsidR="00AE0B64" w:rsidRPr="007F5095" w:rsidRDefault="00AE0B64" w:rsidP="00AE0B64">
      <w:pPr>
        <w:pStyle w:val="H23G"/>
      </w:pPr>
      <w:r>
        <w:tab/>
        <w:t>1.</w:t>
      </w:r>
      <w:r>
        <w:tab/>
      </w:r>
      <w:r>
        <w:rPr>
          <w:lang w:val="en-US"/>
        </w:rPr>
        <w:t>Review and update of references to OECD guidance documents and test guidelines in the GHS</w:t>
      </w:r>
    </w:p>
    <w:p w14:paraId="6A9C7680" w14:textId="77777777" w:rsidR="00AE0B64" w:rsidRPr="0095340C" w:rsidRDefault="00AE0B64" w:rsidP="00AE0B64">
      <w:pPr>
        <w:pStyle w:val="SingleTxtG"/>
        <w:tabs>
          <w:tab w:val="left" w:pos="3119"/>
        </w:tabs>
        <w:ind w:left="3402" w:hanging="2268"/>
      </w:pPr>
      <w:r w:rsidRPr="00791E92">
        <w:rPr>
          <w:i/>
          <w:iCs/>
        </w:rPr>
        <w:t>Document:</w:t>
      </w:r>
      <w:r w:rsidRPr="0095340C">
        <w:t xml:space="preserve"> </w:t>
      </w:r>
      <w:r w:rsidRPr="0095340C">
        <w:tab/>
      </w:r>
      <w:r w:rsidRPr="0095340C">
        <w:tab/>
      </w:r>
      <w:r>
        <w:t>ST/SG/AC.10/C.4/2019/14 (OECD)</w:t>
      </w:r>
    </w:p>
    <w:p w14:paraId="0F7AECDC" w14:textId="77777777" w:rsidR="00AE0B64" w:rsidRPr="00CF4A39" w:rsidRDefault="00AE0B64" w:rsidP="00AE0B64">
      <w:pPr>
        <w:pStyle w:val="SingleTxtG"/>
        <w:tabs>
          <w:tab w:val="left" w:pos="3119"/>
        </w:tabs>
        <w:ind w:left="3402" w:hanging="2268"/>
        <w:jc w:val="left"/>
      </w:pPr>
      <w:r w:rsidRPr="00791E92">
        <w:rPr>
          <w:i/>
          <w:iCs/>
        </w:rPr>
        <w:t>Informal documents</w:t>
      </w:r>
      <w:r w:rsidRPr="0095340C">
        <w:t>:</w:t>
      </w:r>
      <w:r w:rsidRPr="0095340C">
        <w:tab/>
      </w:r>
      <w:r>
        <w:tab/>
        <w:t>INF.3 (OECD)</w:t>
      </w:r>
      <w:r>
        <w:br/>
        <w:t>INF.9 (Secretariat)</w:t>
      </w:r>
    </w:p>
    <w:p w14:paraId="79DD7E06" w14:textId="7EB97CC1" w:rsidR="00AE0B64" w:rsidRDefault="00AE0B64" w:rsidP="00AE0B64">
      <w:pPr>
        <w:pStyle w:val="SingleTxtG"/>
      </w:pPr>
      <w:r>
        <w:t>49.</w:t>
      </w:r>
      <w:r>
        <w:tab/>
        <w:t xml:space="preserve">The </w:t>
      </w:r>
      <w:r w:rsidRPr="00C90B18">
        <w:t>Sub-Committee</w:t>
      </w:r>
      <w:r>
        <w:t xml:space="preserve"> adopted the amendments proposed for Chapters 3.2 and 3.5 </w:t>
      </w:r>
      <w:r w:rsidR="005E2B46">
        <w:t xml:space="preserve">(see annex I) </w:t>
      </w:r>
      <w:r>
        <w:t xml:space="preserve">and for paragraph A9.5.2.3.5 </w:t>
      </w:r>
      <w:r w:rsidR="005E2B46">
        <w:t xml:space="preserve">(see annex II) </w:t>
      </w:r>
      <w:r>
        <w:t xml:space="preserve">in ST/SG/AC.10/C.4/2019/14. </w:t>
      </w:r>
    </w:p>
    <w:p w14:paraId="41389EAC" w14:textId="7FB31E24" w:rsidR="00AE0B64" w:rsidRDefault="00AE0B64" w:rsidP="00AE0B64">
      <w:pPr>
        <w:pStyle w:val="SingleTxtG"/>
      </w:pPr>
      <w:r>
        <w:t>50.</w:t>
      </w:r>
      <w:r>
        <w:tab/>
        <w:t xml:space="preserve">The </w:t>
      </w:r>
      <w:r w:rsidRPr="00C90B18">
        <w:t>Sub-Committee</w:t>
      </w:r>
      <w:r>
        <w:t xml:space="preserve"> welcomed the proposal in informal document INF.9. The </w:t>
      </w:r>
      <w:r w:rsidR="00FE118A">
        <w:t>S</w:t>
      </w:r>
      <w:r>
        <w:t>ub-Committee was divided on whether option 1 or 2 was preferred. The secretariat was invited to prepare an official document for the next session.</w:t>
      </w:r>
    </w:p>
    <w:p w14:paraId="342BF4F1" w14:textId="77777777" w:rsidR="00AE0B64" w:rsidRPr="007F5095" w:rsidRDefault="00AE0B64" w:rsidP="00AE0B64">
      <w:pPr>
        <w:pStyle w:val="H23G"/>
      </w:pPr>
      <w:r>
        <w:tab/>
        <w:t>2.</w:t>
      </w:r>
      <w:r>
        <w:tab/>
      </w:r>
      <w:r w:rsidRPr="00356962">
        <w:t xml:space="preserve">Expert </w:t>
      </w:r>
      <w:r>
        <w:t>W</w:t>
      </w:r>
      <w:r w:rsidRPr="00356962">
        <w:t>orking Group on the review of Annexes to the Basel Convention on the Control of Transboundary Movements of Hazardous Wastes and Their Disposal</w:t>
      </w:r>
    </w:p>
    <w:p w14:paraId="15608DD5"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t>INF.12 (Secretariat)</w:t>
      </w:r>
    </w:p>
    <w:p w14:paraId="342DD469" w14:textId="136E0B19" w:rsidR="00AE0B64" w:rsidRDefault="00AE0B64" w:rsidP="00AE0B64">
      <w:pPr>
        <w:pStyle w:val="SingleTxtG"/>
      </w:pPr>
      <w:r>
        <w:t>51.</w:t>
      </w:r>
      <w:r>
        <w:tab/>
        <w:t xml:space="preserve">The </w:t>
      </w:r>
      <w:r w:rsidRPr="00C90B18">
        <w:t>Sub-Committee</w:t>
      </w:r>
      <w:r>
        <w:t xml:space="preserve"> noted </w:t>
      </w:r>
      <w:r w:rsidR="00FE118A">
        <w:t xml:space="preserve">the </w:t>
      </w:r>
      <w:r>
        <w:t xml:space="preserve">information on </w:t>
      </w:r>
      <w:r w:rsidR="00FE118A">
        <w:t xml:space="preserve">the </w:t>
      </w:r>
      <w:r w:rsidRPr="00356962">
        <w:t xml:space="preserve">review of </w:t>
      </w:r>
      <w:r>
        <w:t>the a</w:t>
      </w:r>
      <w:r w:rsidRPr="00356962">
        <w:t xml:space="preserve">nnexes to the Basel Convention </w:t>
      </w:r>
      <w:r>
        <w:t>as reflected in informal document INF.12.</w:t>
      </w:r>
    </w:p>
    <w:p w14:paraId="5D3A842E" w14:textId="77777777" w:rsidR="00AE0B64" w:rsidRPr="007F5095" w:rsidRDefault="00AE0B64" w:rsidP="00AE0B64">
      <w:pPr>
        <w:pStyle w:val="H23G"/>
      </w:pPr>
      <w:r>
        <w:tab/>
        <w:t>3.</w:t>
      </w:r>
      <w:r>
        <w:tab/>
        <w:t>Strategic approach and sound management of chemicals and waste beyond 2020</w:t>
      </w:r>
    </w:p>
    <w:p w14:paraId="28EDAFDB"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t>INF.16 (Secretariat)</w:t>
      </w:r>
    </w:p>
    <w:p w14:paraId="4180218D" w14:textId="23BD376E" w:rsidR="00AE0B64" w:rsidRDefault="00AE0B64" w:rsidP="00AE0B64">
      <w:pPr>
        <w:pStyle w:val="SingleTxtG"/>
      </w:pPr>
      <w:r>
        <w:t>52.</w:t>
      </w:r>
      <w:r>
        <w:tab/>
        <w:t xml:space="preserve">The </w:t>
      </w:r>
      <w:r w:rsidRPr="00C90B18">
        <w:t>Sub-Committee</w:t>
      </w:r>
      <w:r>
        <w:t xml:space="preserve"> took note of the information</w:t>
      </w:r>
      <w:r w:rsidR="00FE118A">
        <w:t>.</w:t>
      </w:r>
      <w:r>
        <w:t xml:space="preserve"> </w:t>
      </w:r>
      <w:r w:rsidR="00FE118A">
        <w:t>G</w:t>
      </w:r>
      <w:r>
        <w:t xml:space="preserve">overnments and NGOs </w:t>
      </w:r>
      <w:r w:rsidR="00FE118A">
        <w:t xml:space="preserve">were encouraged </w:t>
      </w:r>
      <w:r>
        <w:t>to provide regular updates on the status of implementation of the GHS so that the information on the webpage monitoring its implementation is up to date.</w:t>
      </w:r>
    </w:p>
    <w:p w14:paraId="6B93F284" w14:textId="77777777" w:rsidR="00AE0B64" w:rsidRDefault="00AE0B64" w:rsidP="00AE0B64">
      <w:pPr>
        <w:pStyle w:val="H1G"/>
      </w:pPr>
      <w:r>
        <w:tab/>
        <w:t>D.</w:t>
      </w:r>
      <w:r>
        <w:tab/>
        <w:t>Miscellaneous</w:t>
      </w:r>
    </w:p>
    <w:p w14:paraId="25CB990E" w14:textId="77777777" w:rsidR="00AE0B64" w:rsidRDefault="00AE0B64" w:rsidP="00AE0B64">
      <w:pPr>
        <w:pStyle w:val="SingleTxtG"/>
      </w:pPr>
      <w:r>
        <w:t>53.</w:t>
      </w:r>
      <w:r>
        <w:tab/>
        <w:t>As no document had been submitted under this agenda sub-item no discussion took place on this issue.</w:t>
      </w:r>
    </w:p>
    <w:p w14:paraId="0EBB8588" w14:textId="77777777" w:rsidR="00AE0B64" w:rsidRPr="006D7169" w:rsidRDefault="00AE0B64" w:rsidP="00AE0B64">
      <w:pPr>
        <w:pStyle w:val="HChG"/>
      </w:pPr>
      <w:r w:rsidRPr="006D7169">
        <w:tab/>
      </w:r>
      <w:r>
        <w:t>VI</w:t>
      </w:r>
      <w:r w:rsidRPr="006D7169">
        <w:t>.</w:t>
      </w:r>
      <w:r w:rsidRPr="006D7169">
        <w:tab/>
      </w:r>
      <w:r>
        <w:t>Development of guidance on the application of GHS criteria</w:t>
      </w:r>
      <w:r w:rsidRPr="006D7169">
        <w:t xml:space="preserve"> (agenda item </w:t>
      </w:r>
      <w:r>
        <w:t>5</w:t>
      </w:r>
      <w:r w:rsidRPr="006D7169">
        <w:t>)</w:t>
      </w:r>
    </w:p>
    <w:p w14:paraId="4AFE64E8"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24 (IPIECA)</w:t>
      </w:r>
    </w:p>
    <w:p w14:paraId="1C720275" w14:textId="151F17BF" w:rsidR="00AE0B64" w:rsidRDefault="00AE0B64" w:rsidP="00AE0B64">
      <w:pPr>
        <w:pStyle w:val="SingleTxtG"/>
      </w:pPr>
      <w:r>
        <w:t>54.</w:t>
      </w:r>
      <w:r>
        <w:tab/>
        <w:t xml:space="preserve">The </w:t>
      </w:r>
      <w:r w:rsidRPr="00C90B18">
        <w:t>Sub-Committee</w:t>
      </w:r>
      <w:r>
        <w:t xml:space="preserve"> noted the information on the final u</w:t>
      </w:r>
      <w:r w:rsidRPr="00BC0819">
        <w:t xml:space="preserve">pdate of the IPIECA </w:t>
      </w:r>
      <w:r>
        <w:t>g</w:t>
      </w:r>
      <w:r w:rsidRPr="00BC0819">
        <w:t>uidance on the application of GHS criteria to petroleum substances</w:t>
      </w:r>
      <w:r w:rsidR="00FE118A">
        <w:t xml:space="preserve"> and </w:t>
      </w:r>
      <w:r>
        <w:t xml:space="preserve">invited the secretariat to </w:t>
      </w:r>
      <w:r w:rsidR="00FE118A">
        <w:t xml:space="preserve">make it available on the </w:t>
      </w:r>
      <w:r>
        <w:t xml:space="preserve">GHS </w:t>
      </w:r>
      <w:r w:rsidR="00FE118A">
        <w:t xml:space="preserve">guidance </w:t>
      </w:r>
      <w:r>
        <w:t>web</w:t>
      </w:r>
      <w:r w:rsidR="00FE118A">
        <w:t>page</w:t>
      </w:r>
      <w:r>
        <w:t>.</w:t>
      </w:r>
    </w:p>
    <w:p w14:paraId="5CD504BD" w14:textId="77777777" w:rsidR="00AE0B64" w:rsidRPr="006D7169" w:rsidRDefault="00AE0B64" w:rsidP="00AE0B64">
      <w:pPr>
        <w:pStyle w:val="HChG"/>
      </w:pPr>
      <w:r w:rsidRPr="006D7169">
        <w:lastRenderedPageBreak/>
        <w:tab/>
      </w:r>
      <w:r>
        <w:t>VII</w:t>
      </w:r>
      <w:r w:rsidRPr="006D7169">
        <w:t>.</w:t>
      </w:r>
      <w:r w:rsidRPr="006D7169">
        <w:tab/>
      </w:r>
      <w:r>
        <w:t>Development of guidance on the application of GHS criteria</w:t>
      </w:r>
      <w:r w:rsidRPr="006D7169">
        <w:t xml:space="preserve"> (agenda item </w:t>
      </w:r>
      <w:r>
        <w:t>6</w:t>
      </w:r>
      <w:r w:rsidRPr="006D7169">
        <w:t>)</w:t>
      </w:r>
    </w:p>
    <w:p w14:paraId="7323B660"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21 (ICCA)</w:t>
      </w:r>
    </w:p>
    <w:p w14:paraId="3C187A69" w14:textId="101FB04B" w:rsidR="00AE0B64" w:rsidRDefault="00AE0B64" w:rsidP="00AE0B64">
      <w:pPr>
        <w:pStyle w:val="SingleTxtG"/>
      </w:pPr>
      <w:r>
        <w:t>55.</w:t>
      </w:r>
      <w:r>
        <w:tab/>
        <w:t xml:space="preserve">The </w:t>
      </w:r>
      <w:r w:rsidRPr="00C90B18">
        <w:t>Sub-Committee</w:t>
      </w:r>
      <w:r>
        <w:t xml:space="preserve"> welcomed the activities of ICCA on awareness raising and capacity building on the GHS in different regions of the world. The representative of UNITAR complemented the report with similar activities by his organization.</w:t>
      </w:r>
    </w:p>
    <w:p w14:paraId="3647B33A" w14:textId="77777777" w:rsidR="00265F9B" w:rsidRPr="006D7169" w:rsidRDefault="00265F9B" w:rsidP="00265F9B">
      <w:pPr>
        <w:pStyle w:val="HChG"/>
      </w:pPr>
      <w:r w:rsidRPr="006D7169">
        <w:tab/>
      </w:r>
      <w:r>
        <w:t>VIII</w:t>
      </w:r>
      <w:r w:rsidRPr="006D7169">
        <w:t>.</w:t>
      </w:r>
      <w:r w:rsidRPr="006D7169">
        <w:tab/>
      </w:r>
      <w:r>
        <w:t>Other business</w:t>
      </w:r>
      <w:r w:rsidRPr="006D7169">
        <w:t xml:space="preserve"> (agenda item </w:t>
      </w:r>
      <w:r>
        <w:t>7</w:t>
      </w:r>
      <w:r w:rsidRPr="006D7169">
        <w:t>)</w:t>
      </w:r>
    </w:p>
    <w:p w14:paraId="77B37D60" w14:textId="0844F4CE" w:rsidR="00265F9B" w:rsidRDefault="00265F9B" w:rsidP="00265F9B">
      <w:pPr>
        <w:pStyle w:val="H1G"/>
      </w:pPr>
      <w:r>
        <w:tab/>
        <w:t>A.</w:t>
      </w:r>
      <w:r>
        <w:tab/>
        <w:t xml:space="preserve">Condolences </w:t>
      </w:r>
    </w:p>
    <w:p w14:paraId="3BDDCCC1" w14:textId="1C0B5481" w:rsidR="00265F9B" w:rsidRDefault="00FE118A" w:rsidP="00265F9B">
      <w:pPr>
        <w:pStyle w:val="SingleTxtG"/>
      </w:pPr>
      <w:r>
        <w:t>56</w:t>
      </w:r>
      <w:r w:rsidR="00265F9B">
        <w:t>.</w:t>
      </w:r>
      <w:r w:rsidR="00265F9B">
        <w:tab/>
        <w:t xml:space="preserve">The Sub-Committee learnt with great sadness that Ms. Jennifer Silk had passed away on 22 October 2019. Ms. Silk was involved in work related to the GHS not only since the early stages of its development but also </w:t>
      </w:r>
      <w:proofErr w:type="gramStart"/>
      <w:r w:rsidR="00265F9B">
        <w:t>later on</w:t>
      </w:r>
      <w:proofErr w:type="gramEnd"/>
      <w:r w:rsidR="00265F9B">
        <w:t xml:space="preserve"> following its adoption and implementation. She chaired the international coordinating group that managed the development of the GHS and participated in the sessions of the Sub-Committee as Head of the delegation of the United States of America. After her retirement, she continued to work on GHS related issues as a consultant and training advisor to UNITAR. The Chair expressed condolences to the delegation of the United States of America on behalf of the Sub-Committee. She invited the delegation of the United States of America to convey them to Ms. Silk’s family.</w:t>
      </w:r>
    </w:p>
    <w:p w14:paraId="5E48CA78" w14:textId="3D24E1D3" w:rsidR="00AE0B64" w:rsidRDefault="00AE0B64" w:rsidP="00AE0B64">
      <w:pPr>
        <w:pStyle w:val="H1G"/>
      </w:pPr>
      <w:r>
        <w:tab/>
        <w:t>B.</w:t>
      </w:r>
      <w:r>
        <w:tab/>
      </w:r>
      <w:r w:rsidR="00FE118A">
        <w:t>Definitions and use of acronyms and abbreviations in the GHS</w:t>
      </w:r>
    </w:p>
    <w:p w14:paraId="5AC227B7" w14:textId="77777777" w:rsidR="00AE0B64" w:rsidRPr="00CF4A39" w:rsidRDefault="00AE0B64" w:rsidP="00AE0B64">
      <w:pPr>
        <w:pStyle w:val="SingleTxtG"/>
        <w:tabs>
          <w:tab w:val="left" w:pos="3119"/>
        </w:tabs>
        <w:ind w:left="3402" w:hanging="2268"/>
        <w:jc w:val="left"/>
      </w:pPr>
      <w:r w:rsidRPr="00791E92">
        <w:rPr>
          <w:i/>
          <w:iCs/>
        </w:rPr>
        <w:t>Informal document</w:t>
      </w:r>
      <w:r w:rsidRPr="0095340C">
        <w:t>:</w:t>
      </w:r>
      <w:r w:rsidRPr="0095340C">
        <w:tab/>
      </w:r>
      <w:r>
        <w:tab/>
      </w:r>
      <w:r w:rsidRPr="0095340C">
        <w:t>INF.</w:t>
      </w:r>
      <w:r>
        <w:t>8 (Secretariat)</w:t>
      </w:r>
    </w:p>
    <w:p w14:paraId="657A6B9F" w14:textId="7DE49D19" w:rsidR="00AE0B64" w:rsidRDefault="00AE0B64" w:rsidP="00AE0B64">
      <w:pPr>
        <w:pStyle w:val="SingleTxtG"/>
      </w:pPr>
      <w:r>
        <w:t>5</w:t>
      </w:r>
      <w:r w:rsidR="00FE118A">
        <w:t>7</w:t>
      </w:r>
      <w:r>
        <w:t>.</w:t>
      </w:r>
      <w:r>
        <w:tab/>
        <w:t xml:space="preserve">The </w:t>
      </w:r>
      <w:r w:rsidRPr="00C90B18">
        <w:t>Sub-Committee</w:t>
      </w:r>
      <w:r>
        <w:t xml:space="preserve"> invited the secretariat to submit an official document with the proposal in informal document INF.8.</w:t>
      </w:r>
      <w:r>
        <w:rPr>
          <w:lang w:val="en-US"/>
        </w:rPr>
        <w:t xml:space="preserve"> Following a proposal by some experts the secretariat was invited to </w:t>
      </w:r>
      <w:r w:rsidR="00FE118A">
        <w:rPr>
          <w:lang w:val="en-US"/>
        </w:rPr>
        <w:t xml:space="preserve">also </w:t>
      </w:r>
      <w:r>
        <w:rPr>
          <w:lang w:val="en-US"/>
        </w:rPr>
        <w:t>include an option for deleting the current definitions of physical hazards in Chapter 1.2</w:t>
      </w:r>
      <w:r>
        <w:t xml:space="preserve">. </w:t>
      </w:r>
    </w:p>
    <w:p w14:paraId="247FB24B" w14:textId="2D33BC7F" w:rsidR="00AE0B64" w:rsidRPr="007F5095" w:rsidRDefault="00AE0B64" w:rsidP="00791E92">
      <w:pPr>
        <w:pStyle w:val="H1G"/>
      </w:pPr>
      <w:r>
        <w:tab/>
      </w:r>
      <w:r w:rsidR="00FE118A">
        <w:t>C</w:t>
      </w:r>
      <w:r>
        <w:t>.</w:t>
      </w:r>
      <w:r>
        <w:tab/>
      </w:r>
      <w:r w:rsidR="00FE118A">
        <w:t>J</w:t>
      </w:r>
      <w:r>
        <w:t>oint session</w:t>
      </w:r>
      <w:r w:rsidR="00FE118A">
        <w:t xml:space="preserve"> of the TDG and GHS subcommittees</w:t>
      </w:r>
    </w:p>
    <w:p w14:paraId="51E7A091" w14:textId="7ACA0225" w:rsidR="00AE0B64" w:rsidRDefault="00AE0B64" w:rsidP="00AE0B64">
      <w:pPr>
        <w:pStyle w:val="SingleTxtG"/>
      </w:pPr>
      <w:r>
        <w:t>5</w:t>
      </w:r>
      <w:r w:rsidR="00FE118A">
        <w:t>8</w:t>
      </w:r>
      <w:r>
        <w:t>.</w:t>
      </w:r>
      <w:r>
        <w:tab/>
        <w:t xml:space="preserve">The </w:t>
      </w:r>
      <w:r w:rsidRPr="00C90B18">
        <w:t>Sub-Committee</w:t>
      </w:r>
      <w:r>
        <w:t xml:space="preserve"> suggested that a joint session with the TDG Sub-Committee be organized at the next session to examine the proposal on the review of Chapter 2.1 and any other matters of interest for both sub-committees. The Chair of the TDG Sub-Committee concurred with this suggestion. Further information w</w:t>
      </w:r>
      <w:r w:rsidR="00FE118A">
        <w:t>ill</w:t>
      </w:r>
      <w:r>
        <w:t xml:space="preserve"> be provided in the agenda for the next session. Experts were invited to inform the secretariat on their preferred session for the discussion of their documents.</w:t>
      </w:r>
    </w:p>
    <w:p w14:paraId="4862E099" w14:textId="2BD29C65" w:rsidR="00AE0B64" w:rsidRDefault="00AE0B64" w:rsidP="00AE0B64">
      <w:pPr>
        <w:pStyle w:val="SingleTxtG"/>
      </w:pPr>
      <w:r>
        <w:t>5</w:t>
      </w:r>
      <w:r w:rsidR="00FE118A">
        <w:t>9</w:t>
      </w:r>
      <w:r>
        <w:t>.</w:t>
      </w:r>
      <w:r>
        <w:tab/>
        <w:t xml:space="preserve">The Sub-Committee noted </w:t>
      </w:r>
      <w:r w:rsidR="00FE118A">
        <w:t xml:space="preserve">that </w:t>
      </w:r>
      <w:r>
        <w:t xml:space="preserve">the deadline for submission of official documents for the next session is 9 April 2020. The deadline for submission of official documents submitted for consideration by both the TDG and GHS </w:t>
      </w:r>
      <w:r w:rsidR="00FE118A">
        <w:t>s</w:t>
      </w:r>
      <w:r>
        <w:t>ub</w:t>
      </w:r>
      <w:r w:rsidR="00FE118A">
        <w:t>c</w:t>
      </w:r>
      <w:r>
        <w:t>ommittees is 3 April 2020.</w:t>
      </w:r>
    </w:p>
    <w:p w14:paraId="144F3908" w14:textId="77777777" w:rsidR="00AE0B64" w:rsidRPr="006D7169" w:rsidRDefault="00AE0B64" w:rsidP="00AE0B64">
      <w:pPr>
        <w:pStyle w:val="HChG"/>
      </w:pPr>
      <w:r w:rsidRPr="006D7169">
        <w:tab/>
      </w:r>
      <w:r>
        <w:t>IX</w:t>
      </w:r>
      <w:r w:rsidRPr="006D7169">
        <w:t>.</w:t>
      </w:r>
      <w:r w:rsidRPr="006D7169">
        <w:tab/>
      </w:r>
      <w:r>
        <w:t>Adoption of the report</w:t>
      </w:r>
      <w:r w:rsidRPr="006D7169">
        <w:t xml:space="preserve"> (agenda item </w:t>
      </w:r>
      <w:r>
        <w:t>8</w:t>
      </w:r>
      <w:r w:rsidRPr="006D7169">
        <w:t>)</w:t>
      </w:r>
    </w:p>
    <w:p w14:paraId="3E4BAD84" w14:textId="6B705772" w:rsidR="00AE0B64" w:rsidRDefault="00FE118A" w:rsidP="00AE0B64">
      <w:pPr>
        <w:pStyle w:val="SingleTxtG"/>
      </w:pPr>
      <w:r>
        <w:t>60</w:t>
      </w:r>
      <w:r w:rsidR="00AE0B64">
        <w:t>.</w:t>
      </w:r>
      <w:r w:rsidR="00AE0B64">
        <w:tab/>
        <w:t xml:space="preserve">In accordance with the established practice, the Sub-Committee adopted the report on its thirty-eighth session </w:t>
      </w:r>
      <w:r w:rsidR="00AE0B64" w:rsidRPr="00C32396">
        <w:t>and its annex</w:t>
      </w:r>
      <w:r w:rsidR="00DF15DC">
        <w:t>es</w:t>
      </w:r>
      <w:r w:rsidR="00AE0B64">
        <w:t xml:space="preserve"> based on a draft prepared by the secretariat.</w:t>
      </w:r>
    </w:p>
    <w:p w14:paraId="2D5D72BE" w14:textId="2B095D1C" w:rsidR="00482EE1" w:rsidRDefault="00482EE1">
      <w:pPr>
        <w:suppressAutoHyphens w:val="0"/>
        <w:spacing w:line="240" w:lineRule="auto"/>
      </w:pPr>
      <w:r>
        <w:br w:type="page"/>
      </w:r>
    </w:p>
    <w:p w14:paraId="2145BD56" w14:textId="635F1454" w:rsidR="00265F9B" w:rsidRPr="005F1EC3" w:rsidRDefault="00482EE1" w:rsidP="005F1EC3">
      <w:pPr>
        <w:pStyle w:val="H1G"/>
        <w:tabs>
          <w:tab w:val="right" w:pos="8505"/>
        </w:tabs>
      </w:pPr>
      <w:r w:rsidRPr="00482EE1">
        <w:lastRenderedPageBreak/>
        <w:tab/>
      </w:r>
      <w:r w:rsidRPr="00791E92">
        <w:rPr>
          <w:sz w:val="28"/>
          <w:szCs w:val="28"/>
        </w:rPr>
        <w:t>Annex I</w:t>
      </w:r>
      <w:r w:rsidRPr="005F1EC3">
        <w:tab/>
      </w:r>
      <w:r w:rsidR="00791E92">
        <w:tab/>
      </w:r>
      <w:r w:rsidRPr="005F1EC3">
        <w:t>[Original: English and French]</w:t>
      </w:r>
    </w:p>
    <w:p w14:paraId="7F732622" w14:textId="5A8AD5D2" w:rsidR="00482EE1" w:rsidRPr="005F1EC3" w:rsidRDefault="00482EE1" w:rsidP="005F1EC3">
      <w:pPr>
        <w:pStyle w:val="H1G"/>
        <w:tabs>
          <w:tab w:val="right" w:pos="8505"/>
        </w:tabs>
      </w:pPr>
      <w:r w:rsidRPr="005F1EC3">
        <w:tab/>
      </w:r>
      <w:r w:rsidRPr="005F1EC3">
        <w:tab/>
        <w:t>Draft amendments to the eighth revised edition of the Globally Harmonized System of Classification and Labelling of Chemicals (ST/SG/AC.10/30/Rev.8)</w:t>
      </w:r>
    </w:p>
    <w:p w14:paraId="7F8AE880" w14:textId="77777777" w:rsidR="00482EE1" w:rsidRDefault="00482EE1" w:rsidP="00482EE1">
      <w:pPr>
        <w:pStyle w:val="H23G"/>
      </w:pPr>
      <w:r>
        <w:tab/>
      </w:r>
      <w:r>
        <w:tab/>
      </w:r>
      <w:bookmarkStart w:id="6" w:name="_Hlk27058843"/>
      <w:r>
        <w:t>Chapter 1.2</w:t>
      </w:r>
    </w:p>
    <w:p w14:paraId="0F0663F9" w14:textId="77777777" w:rsidR="00482EE1" w:rsidRDefault="00482EE1" w:rsidP="00482EE1">
      <w:pPr>
        <w:pStyle w:val="SingleTxtG"/>
      </w:pPr>
      <w:r>
        <w:t>Amend the definition of “</w:t>
      </w:r>
      <w:r w:rsidRPr="00BA5F8B">
        <w:rPr>
          <w:b/>
          <w:bCs/>
          <w:i/>
          <w:iCs/>
        </w:rPr>
        <w:t>Recommendations on the Transport of Dangerous Goods, Model Regulations</w:t>
      </w:r>
      <w:r>
        <w:t xml:space="preserve">” </w:t>
      </w:r>
      <w:r w:rsidRPr="00BA5F8B">
        <w:t xml:space="preserve">to read as follows: </w:t>
      </w:r>
    </w:p>
    <w:p w14:paraId="03360979" w14:textId="77777777" w:rsidR="00482EE1" w:rsidRDefault="00482EE1" w:rsidP="00482EE1">
      <w:pPr>
        <w:pStyle w:val="SingleTxtG"/>
        <w:ind w:left="1701"/>
      </w:pPr>
      <w:r>
        <w:t>“</w:t>
      </w:r>
      <w:r w:rsidRPr="00E01D8B">
        <w:rPr>
          <w:b/>
          <w:bCs/>
          <w:i/>
          <w:iCs/>
        </w:rPr>
        <w:t>UN Model Regulations</w:t>
      </w:r>
      <w:r>
        <w:t xml:space="preserve"> means the Model Regulations annexed to the latest revised edition of the Recommendations on the Transport of Dangerous Goods published by the United Nations”.</w:t>
      </w:r>
    </w:p>
    <w:p w14:paraId="4B161B68" w14:textId="77777777" w:rsidR="00482EE1" w:rsidRDefault="00482EE1" w:rsidP="00482EE1">
      <w:pPr>
        <w:pStyle w:val="SingleTxtG"/>
      </w:pPr>
      <w:r w:rsidRPr="00EC5E3D">
        <w:rPr>
          <w:u w:val="single"/>
        </w:rPr>
        <w:t>Consequential amendment:</w:t>
      </w:r>
      <w:r>
        <w:rPr>
          <w:i/>
          <w:iCs/>
          <w:u w:val="single"/>
        </w:rPr>
        <w:t xml:space="preserve"> </w:t>
      </w:r>
      <w:r>
        <w:t>R</w:t>
      </w:r>
      <w:r w:rsidRPr="00EC5E3D">
        <w:t xml:space="preserve">eplace all </w:t>
      </w:r>
      <w:r>
        <w:t xml:space="preserve">existing </w:t>
      </w:r>
      <w:r w:rsidRPr="00EC5E3D">
        <w:t xml:space="preserve">references </w:t>
      </w:r>
      <w:r>
        <w:t>(see paragraph 2 above) with “UN Model Regulations”.</w:t>
      </w:r>
    </w:p>
    <w:p w14:paraId="2A264452" w14:textId="77777777" w:rsidR="00482EE1" w:rsidRDefault="00482EE1" w:rsidP="00482EE1">
      <w:pPr>
        <w:pStyle w:val="SingleTxtG"/>
        <w:rPr>
          <w:i/>
          <w:iCs/>
        </w:rPr>
      </w:pPr>
      <w:r w:rsidRPr="00385B2E">
        <w:rPr>
          <w:i/>
          <w:iCs/>
        </w:rPr>
        <w:t>(Ref.Doc: ST/SG/AC.10/C.4/2019/9)</w:t>
      </w:r>
    </w:p>
    <w:p w14:paraId="1917B89C" w14:textId="77777777" w:rsidR="00482EE1" w:rsidRDefault="00482EE1" w:rsidP="00482EE1">
      <w:pPr>
        <w:pStyle w:val="H23G"/>
      </w:pPr>
      <w:r>
        <w:tab/>
      </w:r>
      <w:r>
        <w:tab/>
        <w:t>Chapter 1.5</w:t>
      </w:r>
    </w:p>
    <w:p w14:paraId="3E1202B4" w14:textId="77777777" w:rsidR="00482EE1" w:rsidRDefault="00482EE1" w:rsidP="00482EE1">
      <w:pPr>
        <w:spacing w:before="240"/>
      </w:pPr>
      <w:r>
        <w:tab/>
      </w:r>
      <w:r>
        <w:tab/>
        <w:t>1.5.3.2.1</w:t>
      </w:r>
      <w:r>
        <w:tab/>
        <w:t>In item 9, delete “and safety characteristics”.</w:t>
      </w:r>
    </w:p>
    <w:p w14:paraId="53FE788C" w14:textId="77777777" w:rsidR="00482EE1" w:rsidRDefault="00482EE1" w:rsidP="00482EE1">
      <w:pPr>
        <w:pStyle w:val="SingleTxtG"/>
        <w:spacing w:before="240"/>
        <w:rPr>
          <w:i/>
          <w:iCs/>
        </w:rPr>
      </w:pPr>
      <w:r w:rsidRPr="00385B2E">
        <w:rPr>
          <w:i/>
          <w:iCs/>
        </w:rPr>
        <w:t>(Ref.Doc: ST/SG/AC.10/C.4/2019/</w:t>
      </w:r>
      <w:r>
        <w:rPr>
          <w:i/>
          <w:iCs/>
        </w:rPr>
        <w:t>13</w:t>
      </w:r>
      <w:r w:rsidRPr="00385B2E">
        <w:rPr>
          <w:i/>
          <w:iCs/>
        </w:rPr>
        <w:t>)</w:t>
      </w:r>
    </w:p>
    <w:p w14:paraId="646385CC" w14:textId="77777777" w:rsidR="00482EE1" w:rsidRDefault="00482EE1" w:rsidP="00482EE1">
      <w:pPr>
        <w:pStyle w:val="H23G"/>
      </w:pPr>
      <w:r>
        <w:tab/>
      </w:r>
      <w:r>
        <w:tab/>
        <w:t>Chapter 2.3</w:t>
      </w:r>
    </w:p>
    <w:p w14:paraId="5910D560" w14:textId="77777777" w:rsidR="00482EE1" w:rsidRPr="00D063FC" w:rsidRDefault="00482EE1" w:rsidP="00482EE1">
      <w:pPr>
        <w:pStyle w:val="SingleTxtG"/>
      </w:pPr>
      <w:r>
        <w:t>In table 2.3.1, u</w:t>
      </w:r>
      <w:r w:rsidRPr="00D063FC">
        <w:t>nder “Criteria”:</w:t>
      </w:r>
    </w:p>
    <w:p w14:paraId="75D69DC9" w14:textId="77777777" w:rsidR="00482EE1" w:rsidRPr="00D063FC" w:rsidRDefault="00482EE1" w:rsidP="00482EE1">
      <w:pPr>
        <w:pStyle w:val="Bullet1G"/>
        <w:numPr>
          <w:ilvl w:val="0"/>
          <w:numId w:val="16"/>
        </w:numPr>
        <w:tabs>
          <w:tab w:val="clear" w:pos="1701"/>
          <w:tab w:val="num" w:pos="1985"/>
        </w:tabs>
        <w:kinsoku w:val="0"/>
        <w:overflowPunct w:val="0"/>
        <w:autoSpaceDE w:val="0"/>
        <w:autoSpaceDN w:val="0"/>
        <w:adjustRightInd w:val="0"/>
        <w:snapToGrid w:val="0"/>
        <w:spacing w:after="80"/>
        <w:ind w:left="1985" w:hanging="284"/>
      </w:pPr>
      <w:r>
        <w:t>R</w:t>
      </w:r>
      <w:r w:rsidRPr="00D063FC">
        <w:t>eplace “(1)”, “(2)” and “(3)” with “(a)”, “(b)” and “(c)”</w:t>
      </w:r>
      <w:r>
        <w:t>;</w:t>
      </w:r>
    </w:p>
    <w:p w14:paraId="45702706" w14:textId="77777777" w:rsidR="00482EE1" w:rsidRDefault="00482EE1" w:rsidP="00482EE1">
      <w:pPr>
        <w:pStyle w:val="Bullet1G"/>
        <w:numPr>
          <w:ilvl w:val="0"/>
          <w:numId w:val="16"/>
        </w:numPr>
        <w:tabs>
          <w:tab w:val="clear" w:pos="1701"/>
          <w:tab w:val="num" w:pos="1985"/>
        </w:tabs>
        <w:kinsoku w:val="0"/>
        <w:overflowPunct w:val="0"/>
        <w:autoSpaceDE w:val="0"/>
        <w:autoSpaceDN w:val="0"/>
        <w:adjustRightInd w:val="0"/>
        <w:snapToGrid w:val="0"/>
        <w:ind w:left="1985" w:hanging="284"/>
      </w:pPr>
      <w:r>
        <w:t>Replace “(a)”, “(b)”, “(c)” with “(</w:t>
      </w:r>
      <w:proofErr w:type="spellStart"/>
      <w:r>
        <w:t>i</w:t>
      </w:r>
      <w:proofErr w:type="spellEnd"/>
      <w:r>
        <w:t>)”, “(ii)” and “(iii)”.</w:t>
      </w:r>
    </w:p>
    <w:p w14:paraId="7A95E685" w14:textId="77777777" w:rsidR="00482EE1" w:rsidRPr="00385B2E" w:rsidRDefault="00482EE1" w:rsidP="00482EE1">
      <w:pPr>
        <w:pStyle w:val="Bullet1G"/>
        <w:numPr>
          <w:ilvl w:val="0"/>
          <w:numId w:val="0"/>
        </w:numPr>
        <w:kinsoku w:val="0"/>
        <w:overflowPunct w:val="0"/>
        <w:autoSpaceDE w:val="0"/>
        <w:autoSpaceDN w:val="0"/>
        <w:adjustRightInd w:val="0"/>
        <w:snapToGrid w:val="0"/>
        <w:ind w:left="1134"/>
      </w:pPr>
      <w:r w:rsidRPr="00385B2E">
        <w:rPr>
          <w:i/>
          <w:iCs/>
        </w:rPr>
        <w:t>(Ref.Doc: ST/SG/AC.10/C.4/2019/9)</w:t>
      </w:r>
    </w:p>
    <w:p w14:paraId="63B9783F" w14:textId="77777777" w:rsidR="00482EE1" w:rsidRDefault="00482EE1" w:rsidP="00482EE1">
      <w:pPr>
        <w:pStyle w:val="H23G"/>
      </w:pPr>
      <w:r>
        <w:tab/>
      </w:r>
      <w:r>
        <w:tab/>
        <w:t>Chapter 3.2</w:t>
      </w:r>
    </w:p>
    <w:p w14:paraId="05F8AE47" w14:textId="69D12769" w:rsidR="00482EE1" w:rsidRDefault="00482EE1" w:rsidP="00482EE1">
      <w:pPr>
        <w:pStyle w:val="SingleTxtG"/>
      </w:pPr>
      <w:r>
        <w:t>In table 3.2.2, under “Criteria”, replace “(1)”, “(2)” and “(3)” with “(a)”, “(b)” and “(c)”.</w:t>
      </w:r>
    </w:p>
    <w:p w14:paraId="30428A6C" w14:textId="77777777" w:rsidR="00482EE1" w:rsidRDefault="00482EE1" w:rsidP="00482EE1">
      <w:pPr>
        <w:pStyle w:val="SingleTxtG"/>
        <w:rPr>
          <w:i/>
          <w:iCs/>
        </w:rPr>
      </w:pPr>
      <w:r w:rsidRPr="00385B2E">
        <w:rPr>
          <w:i/>
          <w:iCs/>
        </w:rPr>
        <w:t>(Ref.Doc: ST/SG/AC.10/C.4/2019/9)</w:t>
      </w:r>
    </w:p>
    <w:p w14:paraId="03C526A8" w14:textId="28A25C39" w:rsidR="00482EE1" w:rsidRDefault="00482EE1" w:rsidP="00482EE1">
      <w:pPr>
        <w:pStyle w:val="SingleTxtG"/>
      </w:pPr>
      <w:r>
        <w:tab/>
        <w:t xml:space="preserve">In Table 3.2.6: </w:t>
      </w:r>
    </w:p>
    <w:p w14:paraId="3D68B134" w14:textId="77777777" w:rsidR="00482EE1" w:rsidRDefault="00482EE1" w:rsidP="00482EE1">
      <w:pPr>
        <w:pStyle w:val="Bullet1G"/>
      </w:pPr>
      <w:r>
        <w:t>In the heading of the third column, amend the list of methods to read: “…Methods 1, 2, 3, 4 and 5”.</w:t>
      </w:r>
    </w:p>
    <w:p w14:paraId="7462FE3D" w14:textId="77777777" w:rsidR="00482EE1" w:rsidRDefault="00482EE1" w:rsidP="00482EE1">
      <w:pPr>
        <w:pStyle w:val="Bullet1G"/>
      </w:pPr>
      <w:r>
        <w:t>In the row for category 1, on the third cell of the table, insert “, 5” in the list of methods before “&lt; 50 %”</w:t>
      </w:r>
    </w:p>
    <w:p w14:paraId="14C06F03" w14:textId="77777777" w:rsidR="00482EE1" w:rsidRDefault="00482EE1" w:rsidP="00482EE1">
      <w:pPr>
        <w:pStyle w:val="Bullet1G"/>
      </w:pPr>
      <w:r>
        <w:t>In the row for category 1A, on the fifth cell of the table, insert “, 5” in the list of methods before “&lt; 15 %”</w:t>
      </w:r>
    </w:p>
    <w:p w14:paraId="356F7B84" w14:textId="77777777" w:rsidR="00482EE1" w:rsidRDefault="00482EE1" w:rsidP="00482EE1">
      <w:pPr>
        <w:pStyle w:val="SingleTxtG"/>
        <w:rPr>
          <w:i/>
          <w:iCs/>
        </w:rPr>
      </w:pPr>
      <w:r w:rsidRPr="00385B2E">
        <w:rPr>
          <w:i/>
          <w:iCs/>
        </w:rPr>
        <w:t>(Ref.Doc: ST/SG/AC.10/C.4/2019/</w:t>
      </w:r>
      <w:r>
        <w:rPr>
          <w:i/>
          <w:iCs/>
        </w:rPr>
        <w:t>14</w:t>
      </w:r>
      <w:r w:rsidRPr="00385B2E">
        <w:rPr>
          <w:i/>
          <w:iCs/>
        </w:rPr>
        <w:t>)</w:t>
      </w:r>
    </w:p>
    <w:p w14:paraId="10E23DFD" w14:textId="77777777" w:rsidR="00482EE1" w:rsidRDefault="00482EE1" w:rsidP="00482EE1">
      <w:pPr>
        <w:pStyle w:val="H23G"/>
      </w:pPr>
      <w:r>
        <w:tab/>
      </w:r>
      <w:r>
        <w:tab/>
        <w:t>Chapter 3.5</w:t>
      </w:r>
    </w:p>
    <w:p w14:paraId="5270CDE1" w14:textId="77777777" w:rsidR="00482EE1" w:rsidRPr="00C26DFC" w:rsidRDefault="00482EE1" w:rsidP="00482EE1">
      <w:pPr>
        <w:pStyle w:val="SingleTxtG"/>
        <w:tabs>
          <w:tab w:val="left" w:pos="2268"/>
        </w:tabs>
        <w:ind w:left="2268" w:hanging="1134"/>
      </w:pPr>
      <w:r>
        <w:t>3.5.2.7 (a)</w:t>
      </w:r>
      <w:r>
        <w:tab/>
        <w:t>At the end of the current list, add: “</w:t>
      </w:r>
      <w:r w:rsidRPr="00C26DFC">
        <w:t>Transgenic Rodent Somatic and Germ Cell Gene Mutation Assays (OECD 488)</w:t>
      </w:r>
      <w:r>
        <w:t>”.</w:t>
      </w:r>
    </w:p>
    <w:p w14:paraId="4C9708B4" w14:textId="77777777" w:rsidR="00482EE1" w:rsidRDefault="00482EE1" w:rsidP="00482EE1">
      <w:pPr>
        <w:pStyle w:val="SingleTxtG"/>
        <w:tabs>
          <w:tab w:val="left" w:pos="2268"/>
        </w:tabs>
        <w:ind w:left="2268" w:hanging="1134"/>
      </w:pPr>
      <w:r>
        <w:lastRenderedPageBreak/>
        <w:t>3.5.2.8</w:t>
      </w:r>
      <w:r>
        <w:tab/>
        <w:t>Insert the following references after the introductory sentence, before the current examples (“Liver…”):</w:t>
      </w:r>
    </w:p>
    <w:p w14:paraId="5935C4AB" w14:textId="77777777" w:rsidR="00482EE1" w:rsidRPr="00307652" w:rsidRDefault="00482EE1" w:rsidP="00482EE1">
      <w:pPr>
        <w:pStyle w:val="SingleTxtG"/>
        <w:tabs>
          <w:tab w:val="left" w:pos="2268"/>
        </w:tabs>
        <w:spacing w:after="40"/>
        <w:ind w:left="2268" w:hanging="1134"/>
      </w:pPr>
      <w:r>
        <w:tab/>
        <w:t>“</w:t>
      </w:r>
      <w:r w:rsidRPr="00307652">
        <w:t>In vivo Mammalian Alkaline Comet Assay (OECD 489)</w:t>
      </w:r>
    </w:p>
    <w:p w14:paraId="7EC6C7CF" w14:textId="77777777" w:rsidR="00482EE1" w:rsidRDefault="00482EE1" w:rsidP="00482EE1">
      <w:pPr>
        <w:pStyle w:val="SingleTxtG"/>
        <w:tabs>
          <w:tab w:val="left" w:pos="2268"/>
        </w:tabs>
        <w:ind w:left="2268" w:hanging="1134"/>
      </w:pPr>
      <w:r>
        <w:rPr>
          <w:rFonts w:asciiTheme="majorBidi" w:hAnsiTheme="majorBidi" w:cstheme="majorBidi"/>
        </w:rPr>
        <w:tab/>
      </w:r>
      <w:r w:rsidRPr="00C26DFC">
        <w:rPr>
          <w:rFonts w:asciiTheme="majorBidi" w:hAnsiTheme="majorBidi" w:cstheme="majorBidi"/>
        </w:rPr>
        <w:t>Transgenic Rodent Somatic and Germ Cell Gene Mutation Assays (OECD</w:t>
      </w:r>
      <w:r>
        <w:rPr>
          <w:rFonts w:asciiTheme="majorBidi" w:hAnsiTheme="majorBidi" w:cstheme="majorBidi"/>
        </w:rPr>
        <w:t> </w:t>
      </w:r>
      <w:r w:rsidRPr="00C26DFC">
        <w:rPr>
          <w:rFonts w:asciiTheme="majorBidi" w:hAnsiTheme="majorBidi" w:cstheme="majorBidi"/>
        </w:rPr>
        <w:t>488)</w:t>
      </w:r>
      <w:r>
        <w:t>”</w:t>
      </w:r>
    </w:p>
    <w:p w14:paraId="2AEC3B6C" w14:textId="77777777" w:rsidR="00482EE1" w:rsidRDefault="00482EE1" w:rsidP="00482EE1">
      <w:pPr>
        <w:pStyle w:val="SingleTxtG"/>
        <w:tabs>
          <w:tab w:val="left" w:pos="2268"/>
        </w:tabs>
        <w:ind w:left="2268" w:hanging="1134"/>
      </w:pPr>
      <w:r>
        <w:t>3.5.2.9</w:t>
      </w:r>
      <w:r>
        <w:tab/>
        <w:t>Amend the end of the second example to read as follows: “OECD 476 and 490)”.</w:t>
      </w:r>
    </w:p>
    <w:p w14:paraId="43B07560" w14:textId="77777777" w:rsidR="00482EE1" w:rsidRPr="00385B2E" w:rsidRDefault="00482EE1" w:rsidP="00482EE1">
      <w:pPr>
        <w:pStyle w:val="SingleTxtG"/>
      </w:pPr>
      <w:r w:rsidRPr="00385B2E">
        <w:rPr>
          <w:i/>
          <w:iCs/>
        </w:rPr>
        <w:t>(Ref.Doc: ST/SG/AC.10/C.4/2019/</w:t>
      </w:r>
      <w:r>
        <w:rPr>
          <w:i/>
          <w:iCs/>
        </w:rPr>
        <w:t>14</w:t>
      </w:r>
      <w:r w:rsidRPr="00385B2E">
        <w:rPr>
          <w:i/>
          <w:iCs/>
        </w:rPr>
        <w:t>)</w:t>
      </w:r>
    </w:p>
    <w:p w14:paraId="6393C73A" w14:textId="77777777" w:rsidR="00482EE1" w:rsidRDefault="00482EE1" w:rsidP="00482EE1">
      <w:pPr>
        <w:pStyle w:val="H23G"/>
      </w:pPr>
      <w:r>
        <w:tab/>
      </w:r>
      <w:r>
        <w:tab/>
        <w:t>Annex 1</w:t>
      </w:r>
    </w:p>
    <w:p w14:paraId="374EF6BB" w14:textId="77777777" w:rsidR="00482EE1" w:rsidRDefault="00482EE1" w:rsidP="00482EE1">
      <w:pPr>
        <w:pStyle w:val="SingleTxtG"/>
      </w:pPr>
      <w:r>
        <w:t xml:space="preserve">The amendments in document </w:t>
      </w:r>
      <w:r w:rsidRPr="009E1059">
        <w:t>ST/SG/AC.10/C.4/2019/</w:t>
      </w:r>
      <w:r>
        <w:t>12 were adopted with the following modification:</w:t>
      </w:r>
    </w:p>
    <w:p w14:paraId="6B5C24AB" w14:textId="77777777" w:rsidR="00482EE1" w:rsidRDefault="00482EE1" w:rsidP="00482EE1">
      <w:pPr>
        <w:pStyle w:val="SingleTxtG"/>
      </w:pPr>
      <w:r>
        <w:t>In the note 3 under the heading of the annex, replace “Chapter 5.2 of the UN Model Regulations</w:t>
      </w:r>
      <w:r w:rsidRPr="009E1059">
        <w:rPr>
          <w:vertAlign w:val="superscript"/>
        </w:rPr>
        <w:t>1</w:t>
      </w:r>
      <w:r>
        <w:t>” with “Chapter 5.2, section 5.2.2.2 of the UN Model Regulations” and delete the related footnote.</w:t>
      </w:r>
    </w:p>
    <w:p w14:paraId="48F7B1ED" w14:textId="77777777" w:rsidR="00482EE1" w:rsidRDefault="00482EE1" w:rsidP="00482EE1">
      <w:pPr>
        <w:pStyle w:val="SingleTxtG"/>
      </w:pPr>
      <w:r>
        <w:t>Replace table A1.7 with the following:</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1034"/>
        <w:gridCol w:w="1052"/>
        <w:gridCol w:w="1108"/>
        <w:gridCol w:w="1044"/>
        <w:gridCol w:w="1227"/>
        <w:gridCol w:w="953"/>
        <w:gridCol w:w="2254"/>
        <w:gridCol w:w="967"/>
      </w:tblGrid>
      <w:tr w:rsidR="00482EE1" w:rsidRPr="00756A8E" w14:paraId="072D4FDC" w14:textId="77777777" w:rsidTr="00075DF7">
        <w:trPr>
          <w:cantSplit/>
          <w:tblHeader/>
          <w:jc w:val="center"/>
        </w:trPr>
        <w:tc>
          <w:tcPr>
            <w:tcW w:w="3194" w:type="dxa"/>
            <w:gridSpan w:val="3"/>
            <w:tcBorders>
              <w:top w:val="single" w:sz="4" w:space="0" w:color="auto"/>
              <w:left w:val="single" w:sz="4" w:space="0" w:color="auto"/>
              <w:bottom w:val="single" w:sz="4" w:space="0" w:color="auto"/>
              <w:right w:val="single" w:sz="4" w:space="0" w:color="auto"/>
            </w:tcBorders>
            <w:shd w:val="clear" w:color="auto" w:fill="FFFFFF"/>
          </w:tcPr>
          <w:p w14:paraId="6171AA09" w14:textId="77777777" w:rsidR="00482EE1" w:rsidRPr="00756A8E" w:rsidRDefault="00482EE1" w:rsidP="00075DF7">
            <w:pPr>
              <w:keepNext/>
              <w:keepLines/>
              <w:tabs>
                <w:tab w:val="left" w:pos="1425"/>
              </w:tabs>
              <w:spacing w:before="80" w:after="80"/>
              <w:jc w:val="center"/>
              <w:rPr>
                <w:b/>
                <w:sz w:val="18"/>
                <w:szCs w:val="18"/>
              </w:rPr>
            </w:pPr>
            <w:r w:rsidRPr="00756A8E">
              <w:rPr>
                <w:b/>
                <w:sz w:val="18"/>
                <w:szCs w:val="18"/>
              </w:rPr>
              <w:t>Classification</w:t>
            </w:r>
          </w:p>
        </w:tc>
        <w:tc>
          <w:tcPr>
            <w:tcW w:w="5478" w:type="dxa"/>
            <w:gridSpan w:val="4"/>
            <w:tcBorders>
              <w:top w:val="single" w:sz="4" w:space="0" w:color="auto"/>
              <w:left w:val="single" w:sz="4" w:space="0" w:color="auto"/>
              <w:bottom w:val="single" w:sz="4" w:space="0" w:color="auto"/>
              <w:right w:val="single" w:sz="4" w:space="0" w:color="auto"/>
            </w:tcBorders>
            <w:shd w:val="clear" w:color="auto" w:fill="FFFFFF"/>
          </w:tcPr>
          <w:p w14:paraId="60950C69" w14:textId="77777777" w:rsidR="00482EE1" w:rsidRPr="00756A8E" w:rsidRDefault="00482EE1" w:rsidP="00075DF7">
            <w:pPr>
              <w:keepNext/>
              <w:keepLines/>
              <w:tabs>
                <w:tab w:val="left" w:pos="1425"/>
              </w:tabs>
              <w:spacing w:before="80" w:after="80"/>
              <w:jc w:val="center"/>
              <w:rPr>
                <w:b/>
                <w:sz w:val="18"/>
                <w:szCs w:val="18"/>
              </w:rPr>
            </w:pPr>
            <w:r w:rsidRPr="00756A8E">
              <w:rPr>
                <w:b/>
                <w:sz w:val="18"/>
                <w:szCs w:val="18"/>
              </w:rPr>
              <w:t>Labelling</w:t>
            </w:r>
          </w:p>
        </w:tc>
        <w:tc>
          <w:tcPr>
            <w:tcW w:w="967" w:type="dxa"/>
            <w:vMerge w:val="restart"/>
            <w:tcBorders>
              <w:top w:val="single" w:sz="4" w:space="0" w:color="auto"/>
              <w:left w:val="single" w:sz="4" w:space="0" w:color="auto"/>
              <w:right w:val="single" w:sz="4" w:space="0" w:color="auto"/>
            </w:tcBorders>
            <w:shd w:val="clear" w:color="auto" w:fill="FFFFFF"/>
            <w:vAlign w:val="center"/>
          </w:tcPr>
          <w:p w14:paraId="5109FC9F" w14:textId="77777777" w:rsidR="00482EE1" w:rsidRPr="00756A8E" w:rsidRDefault="00482EE1" w:rsidP="00075DF7">
            <w:pPr>
              <w:keepNext/>
              <w:keepLines/>
              <w:tabs>
                <w:tab w:val="left" w:pos="1425"/>
              </w:tabs>
              <w:spacing w:before="80" w:after="80"/>
              <w:jc w:val="center"/>
              <w:rPr>
                <w:b/>
                <w:sz w:val="18"/>
                <w:szCs w:val="18"/>
              </w:rPr>
            </w:pPr>
            <w:r w:rsidRPr="00756A8E">
              <w:rPr>
                <w:b/>
                <w:sz w:val="18"/>
                <w:szCs w:val="18"/>
              </w:rPr>
              <w:t>GHS Hazard statement code</w:t>
            </w:r>
          </w:p>
        </w:tc>
      </w:tr>
      <w:tr w:rsidR="00482EE1" w:rsidRPr="00756A8E" w14:paraId="1604756A" w14:textId="77777777" w:rsidTr="00075DF7">
        <w:trPr>
          <w:cantSplit/>
          <w:trHeight w:val="669"/>
          <w:jc w:val="center"/>
        </w:trPr>
        <w:tc>
          <w:tcPr>
            <w:tcW w:w="1034" w:type="dxa"/>
            <w:tcBorders>
              <w:bottom w:val="single" w:sz="4" w:space="0" w:color="auto"/>
            </w:tcBorders>
            <w:shd w:val="clear" w:color="auto" w:fill="FFFFFF"/>
            <w:vAlign w:val="center"/>
          </w:tcPr>
          <w:p w14:paraId="705D5434" w14:textId="77777777" w:rsidR="00482EE1" w:rsidRPr="00756A8E" w:rsidRDefault="00482EE1" w:rsidP="00075DF7">
            <w:pPr>
              <w:keepNext/>
              <w:keepLines/>
              <w:tabs>
                <w:tab w:val="left" w:pos="1425"/>
              </w:tabs>
              <w:spacing w:before="40" w:after="40"/>
              <w:jc w:val="center"/>
              <w:rPr>
                <w:b/>
                <w:sz w:val="18"/>
                <w:szCs w:val="18"/>
              </w:rPr>
            </w:pPr>
            <w:r w:rsidRPr="00756A8E">
              <w:rPr>
                <w:b/>
                <w:sz w:val="18"/>
                <w:szCs w:val="18"/>
              </w:rPr>
              <w:t>GHS Hazard class</w:t>
            </w:r>
          </w:p>
        </w:tc>
        <w:tc>
          <w:tcPr>
            <w:tcW w:w="1052" w:type="dxa"/>
            <w:tcBorders>
              <w:bottom w:val="single" w:sz="4" w:space="0" w:color="auto"/>
            </w:tcBorders>
            <w:shd w:val="clear" w:color="auto" w:fill="FFFFFF"/>
            <w:vAlign w:val="center"/>
          </w:tcPr>
          <w:p w14:paraId="47745251" w14:textId="77777777" w:rsidR="00482EE1" w:rsidRPr="00756A8E" w:rsidRDefault="00482EE1" w:rsidP="00075DF7">
            <w:pPr>
              <w:keepNext/>
              <w:keepLines/>
              <w:tabs>
                <w:tab w:val="left" w:pos="1425"/>
              </w:tabs>
              <w:spacing w:before="40" w:after="40"/>
              <w:jc w:val="center"/>
              <w:rPr>
                <w:b/>
                <w:sz w:val="18"/>
                <w:szCs w:val="18"/>
              </w:rPr>
            </w:pPr>
            <w:r w:rsidRPr="00756A8E">
              <w:rPr>
                <w:b/>
                <w:sz w:val="18"/>
                <w:szCs w:val="18"/>
              </w:rPr>
              <w:t>GHS Hazard category</w:t>
            </w:r>
          </w:p>
        </w:tc>
        <w:tc>
          <w:tcPr>
            <w:tcW w:w="1108" w:type="dxa"/>
            <w:tcBorders>
              <w:bottom w:val="single" w:sz="4" w:space="0" w:color="auto"/>
            </w:tcBorders>
            <w:shd w:val="clear" w:color="auto" w:fill="FFFFFF"/>
            <w:vAlign w:val="center"/>
          </w:tcPr>
          <w:p w14:paraId="5486B7FA" w14:textId="77777777" w:rsidR="00482EE1" w:rsidRPr="00756A8E" w:rsidRDefault="00482EE1" w:rsidP="00075DF7">
            <w:pPr>
              <w:keepNext/>
              <w:keepLines/>
              <w:tabs>
                <w:tab w:val="left" w:pos="1425"/>
              </w:tabs>
              <w:spacing w:before="40" w:after="40"/>
              <w:jc w:val="center"/>
              <w:rPr>
                <w:b/>
                <w:bCs/>
                <w:sz w:val="18"/>
                <w:szCs w:val="18"/>
              </w:rPr>
            </w:pPr>
            <w:r w:rsidRPr="00756A8E">
              <w:rPr>
                <w:b/>
                <w:sz w:val="18"/>
                <w:szCs w:val="18"/>
              </w:rPr>
              <w:t xml:space="preserve">UN Model Regulations </w:t>
            </w:r>
            <w:r w:rsidRPr="00756A8E">
              <w:rPr>
                <w:b/>
                <w:bCs/>
                <w:sz w:val="18"/>
                <w:szCs w:val="18"/>
              </w:rPr>
              <w:t>class or division</w:t>
            </w:r>
          </w:p>
        </w:tc>
        <w:tc>
          <w:tcPr>
            <w:tcW w:w="1044" w:type="dxa"/>
            <w:tcBorders>
              <w:bottom w:val="single" w:sz="4" w:space="0" w:color="auto"/>
            </w:tcBorders>
            <w:shd w:val="clear" w:color="auto" w:fill="FFFFFF"/>
            <w:vAlign w:val="center"/>
          </w:tcPr>
          <w:p w14:paraId="4F4CE7C2" w14:textId="77777777" w:rsidR="00482EE1" w:rsidRPr="00756A8E" w:rsidRDefault="00482EE1" w:rsidP="00075DF7">
            <w:pPr>
              <w:keepNext/>
              <w:keepLines/>
              <w:tabs>
                <w:tab w:val="left" w:pos="1425"/>
              </w:tabs>
              <w:spacing w:before="40" w:after="40"/>
              <w:jc w:val="center"/>
              <w:rPr>
                <w:noProof/>
              </w:rPr>
            </w:pPr>
            <w:r w:rsidRPr="00756A8E">
              <w:rPr>
                <w:b/>
                <w:noProof/>
                <w:sz w:val="18"/>
              </w:rPr>
              <w:t>GHS pictogram</w:t>
            </w:r>
          </w:p>
        </w:tc>
        <w:tc>
          <w:tcPr>
            <w:tcW w:w="1227" w:type="dxa"/>
            <w:tcBorders>
              <w:bottom w:val="single" w:sz="4" w:space="0" w:color="auto"/>
            </w:tcBorders>
            <w:shd w:val="clear" w:color="auto" w:fill="FFFFFF"/>
            <w:vAlign w:val="center"/>
          </w:tcPr>
          <w:p w14:paraId="5463D391" w14:textId="77777777" w:rsidR="00482EE1" w:rsidRPr="00756A8E" w:rsidRDefault="00482EE1" w:rsidP="00075DF7">
            <w:pPr>
              <w:keepNext/>
              <w:keepLines/>
              <w:tabs>
                <w:tab w:val="left" w:pos="1425"/>
              </w:tabs>
              <w:spacing w:before="40" w:after="40"/>
              <w:jc w:val="center"/>
              <w:rPr>
                <w:b/>
                <w:noProof/>
                <w:sz w:val="18"/>
                <w:szCs w:val="18"/>
                <w:lang w:eastAsia="en-GB"/>
              </w:rPr>
            </w:pPr>
            <w:r w:rsidRPr="00756A8E">
              <w:rPr>
                <w:b/>
                <w:bCs/>
                <w:sz w:val="18"/>
                <w:szCs w:val="18"/>
              </w:rPr>
              <w:t>UN Model Regulations pictogram</w:t>
            </w:r>
          </w:p>
        </w:tc>
        <w:tc>
          <w:tcPr>
            <w:tcW w:w="953" w:type="dxa"/>
            <w:tcBorders>
              <w:bottom w:val="single" w:sz="4" w:space="0" w:color="auto"/>
            </w:tcBorders>
            <w:shd w:val="clear" w:color="auto" w:fill="FFFFFF"/>
            <w:vAlign w:val="center"/>
          </w:tcPr>
          <w:p w14:paraId="14B85691" w14:textId="77777777" w:rsidR="00482EE1" w:rsidRPr="00756A8E" w:rsidRDefault="00482EE1" w:rsidP="00075DF7">
            <w:pPr>
              <w:keepNext/>
              <w:keepLines/>
              <w:tabs>
                <w:tab w:val="left" w:pos="1425"/>
              </w:tabs>
              <w:spacing w:before="40" w:after="40"/>
              <w:jc w:val="center"/>
              <w:rPr>
                <w:b/>
                <w:sz w:val="18"/>
                <w:szCs w:val="18"/>
              </w:rPr>
            </w:pPr>
            <w:r w:rsidRPr="00756A8E">
              <w:rPr>
                <w:b/>
                <w:sz w:val="18"/>
                <w:szCs w:val="18"/>
              </w:rPr>
              <w:t>GHS Signal word</w:t>
            </w:r>
          </w:p>
        </w:tc>
        <w:tc>
          <w:tcPr>
            <w:tcW w:w="2254" w:type="dxa"/>
            <w:tcBorders>
              <w:bottom w:val="single" w:sz="4" w:space="0" w:color="auto"/>
              <w:right w:val="single" w:sz="4" w:space="0" w:color="auto"/>
            </w:tcBorders>
            <w:shd w:val="clear" w:color="auto" w:fill="FFFFFF"/>
            <w:vAlign w:val="center"/>
          </w:tcPr>
          <w:p w14:paraId="7EDDB9EF" w14:textId="77777777" w:rsidR="00482EE1" w:rsidRPr="00756A8E" w:rsidRDefault="00482EE1" w:rsidP="00075DF7">
            <w:pPr>
              <w:keepNext/>
              <w:keepLines/>
              <w:tabs>
                <w:tab w:val="left" w:pos="1425"/>
              </w:tabs>
              <w:spacing w:before="40" w:after="40"/>
              <w:jc w:val="center"/>
              <w:rPr>
                <w:b/>
                <w:noProof/>
                <w:sz w:val="18"/>
                <w:szCs w:val="18"/>
                <w:lang w:eastAsia="sv-SE"/>
              </w:rPr>
            </w:pPr>
            <w:r w:rsidRPr="00756A8E">
              <w:rPr>
                <w:b/>
                <w:sz w:val="18"/>
                <w:szCs w:val="18"/>
              </w:rPr>
              <w:t>GHS</w:t>
            </w:r>
          </w:p>
          <w:p w14:paraId="1B330E0C" w14:textId="77777777" w:rsidR="00482EE1" w:rsidRPr="00756A8E" w:rsidRDefault="00482EE1" w:rsidP="00075DF7">
            <w:pPr>
              <w:keepNext/>
              <w:keepLines/>
              <w:tabs>
                <w:tab w:val="left" w:pos="1425"/>
              </w:tabs>
              <w:spacing w:before="40" w:after="40"/>
              <w:jc w:val="center"/>
              <w:rPr>
                <w:b/>
                <w:noProof/>
                <w:sz w:val="18"/>
                <w:szCs w:val="18"/>
                <w:lang w:eastAsia="sv-SE"/>
              </w:rPr>
            </w:pPr>
            <w:r w:rsidRPr="00756A8E">
              <w:rPr>
                <w:b/>
                <w:noProof/>
                <w:sz w:val="18"/>
                <w:szCs w:val="18"/>
                <w:lang w:eastAsia="sv-SE"/>
              </w:rPr>
              <w:t>Hazard statement</w:t>
            </w:r>
          </w:p>
        </w:tc>
        <w:tc>
          <w:tcPr>
            <w:tcW w:w="967" w:type="dxa"/>
            <w:vMerge/>
            <w:tcBorders>
              <w:left w:val="single" w:sz="4" w:space="0" w:color="auto"/>
              <w:bottom w:val="single" w:sz="4" w:space="0" w:color="auto"/>
              <w:right w:val="single" w:sz="4" w:space="0" w:color="auto"/>
            </w:tcBorders>
            <w:shd w:val="clear" w:color="auto" w:fill="FFFFFF"/>
            <w:vAlign w:val="center"/>
          </w:tcPr>
          <w:p w14:paraId="10AE9E88" w14:textId="77777777" w:rsidR="00482EE1" w:rsidRPr="00756A8E" w:rsidRDefault="00482EE1" w:rsidP="00075DF7">
            <w:pPr>
              <w:keepNext/>
              <w:keepLines/>
              <w:tabs>
                <w:tab w:val="left" w:pos="1425"/>
              </w:tabs>
              <w:spacing w:before="40" w:after="40"/>
              <w:jc w:val="center"/>
              <w:rPr>
                <w:noProof/>
                <w:sz w:val="18"/>
                <w:szCs w:val="18"/>
                <w:lang w:eastAsia="sv-SE"/>
              </w:rPr>
            </w:pPr>
          </w:p>
        </w:tc>
      </w:tr>
      <w:tr w:rsidR="00482EE1" w:rsidRPr="00756A8E" w14:paraId="08E27F99" w14:textId="77777777" w:rsidTr="00075DF7">
        <w:trPr>
          <w:cantSplit/>
          <w:trHeight w:val="585"/>
          <w:jc w:val="center"/>
        </w:trPr>
        <w:tc>
          <w:tcPr>
            <w:tcW w:w="1034" w:type="dxa"/>
            <w:vMerge w:val="restart"/>
            <w:shd w:val="clear" w:color="auto" w:fill="FFFFFF"/>
            <w:vAlign w:val="center"/>
          </w:tcPr>
          <w:p w14:paraId="44192B37" w14:textId="77777777" w:rsidR="00482EE1" w:rsidRPr="00756A8E" w:rsidRDefault="00482EE1" w:rsidP="00075DF7">
            <w:pPr>
              <w:keepNext/>
              <w:keepLines/>
              <w:tabs>
                <w:tab w:val="left" w:pos="1425"/>
              </w:tabs>
              <w:spacing w:before="40" w:after="40"/>
              <w:jc w:val="center"/>
              <w:rPr>
                <w:b/>
                <w:sz w:val="18"/>
                <w:szCs w:val="18"/>
              </w:rPr>
            </w:pPr>
            <w:r w:rsidRPr="00756A8E">
              <w:rPr>
                <w:b/>
                <w:sz w:val="18"/>
                <w:szCs w:val="18"/>
              </w:rPr>
              <w:t>Flammable solids</w:t>
            </w:r>
          </w:p>
        </w:tc>
        <w:tc>
          <w:tcPr>
            <w:tcW w:w="1052" w:type="dxa"/>
            <w:tcBorders>
              <w:bottom w:val="single" w:sz="4" w:space="0" w:color="auto"/>
            </w:tcBorders>
            <w:shd w:val="clear" w:color="auto" w:fill="FFFFFF"/>
            <w:vAlign w:val="center"/>
          </w:tcPr>
          <w:p w14:paraId="149BB04E" w14:textId="77777777" w:rsidR="00482EE1" w:rsidRPr="00756A8E" w:rsidRDefault="00482EE1" w:rsidP="00075DF7">
            <w:pPr>
              <w:keepNext/>
              <w:keepLines/>
              <w:tabs>
                <w:tab w:val="left" w:pos="1425"/>
              </w:tabs>
              <w:spacing w:before="40" w:after="40"/>
              <w:jc w:val="center"/>
              <w:rPr>
                <w:b/>
                <w:sz w:val="18"/>
                <w:szCs w:val="18"/>
              </w:rPr>
            </w:pPr>
            <w:r>
              <w:rPr>
                <w:b/>
                <w:sz w:val="18"/>
                <w:szCs w:val="18"/>
              </w:rPr>
              <w:t>1</w:t>
            </w:r>
          </w:p>
        </w:tc>
        <w:tc>
          <w:tcPr>
            <w:tcW w:w="1108" w:type="dxa"/>
            <w:vMerge w:val="restart"/>
            <w:shd w:val="clear" w:color="auto" w:fill="FFFFFF"/>
            <w:vAlign w:val="center"/>
          </w:tcPr>
          <w:p w14:paraId="33C75337" w14:textId="77777777" w:rsidR="00482EE1" w:rsidRPr="00756A8E" w:rsidRDefault="00482EE1" w:rsidP="00075DF7">
            <w:pPr>
              <w:keepNext/>
              <w:keepLines/>
              <w:tabs>
                <w:tab w:val="left" w:pos="1425"/>
              </w:tabs>
              <w:spacing w:before="40" w:after="40"/>
              <w:jc w:val="center"/>
              <w:rPr>
                <w:b/>
                <w:sz w:val="18"/>
                <w:szCs w:val="18"/>
              </w:rPr>
            </w:pPr>
            <w:r w:rsidRPr="00756A8E">
              <w:rPr>
                <w:b/>
                <w:noProof/>
                <w:sz w:val="18"/>
                <w:szCs w:val="18"/>
              </w:rPr>
              <w:t>4.1</w:t>
            </w:r>
          </w:p>
        </w:tc>
        <w:tc>
          <w:tcPr>
            <w:tcW w:w="1044" w:type="dxa"/>
            <w:vMerge w:val="restart"/>
            <w:shd w:val="clear" w:color="auto" w:fill="FFFFFF"/>
            <w:vAlign w:val="center"/>
          </w:tcPr>
          <w:p w14:paraId="00D02546" w14:textId="77777777" w:rsidR="00482EE1" w:rsidRPr="00756A8E" w:rsidRDefault="00482EE1" w:rsidP="00075DF7">
            <w:pPr>
              <w:keepNext/>
              <w:keepLines/>
              <w:tabs>
                <w:tab w:val="left" w:pos="1425"/>
              </w:tabs>
              <w:spacing w:before="40" w:after="40"/>
              <w:jc w:val="center"/>
              <w:rPr>
                <w:b/>
                <w:noProof/>
                <w:sz w:val="18"/>
              </w:rPr>
            </w:pPr>
            <w:r w:rsidRPr="00756A8E">
              <w:rPr>
                <w:noProof/>
              </w:rPr>
              <w:drawing>
                <wp:inline distT="0" distB="0" distL="0" distR="0" wp14:anchorId="3282ABCA" wp14:editId="5A0539BA">
                  <wp:extent cx="571500" cy="571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27" w:type="dxa"/>
            <w:vMerge w:val="restart"/>
            <w:shd w:val="clear" w:color="auto" w:fill="FFFFFF"/>
            <w:vAlign w:val="center"/>
          </w:tcPr>
          <w:p w14:paraId="4C329C10" w14:textId="77777777" w:rsidR="00482EE1" w:rsidRPr="00756A8E" w:rsidRDefault="00482EE1" w:rsidP="00075DF7">
            <w:pPr>
              <w:keepNext/>
              <w:keepLines/>
              <w:tabs>
                <w:tab w:val="left" w:pos="1425"/>
              </w:tabs>
              <w:spacing w:before="40" w:after="40"/>
              <w:jc w:val="center"/>
              <w:rPr>
                <w:b/>
                <w:bCs/>
                <w:sz w:val="18"/>
                <w:szCs w:val="18"/>
              </w:rPr>
            </w:pPr>
            <w:r w:rsidRPr="00756A8E">
              <w:rPr>
                <w:b/>
                <w:noProof/>
                <w:sz w:val="18"/>
                <w:szCs w:val="18"/>
                <w:lang w:eastAsia="en-GB"/>
              </w:rPr>
              <w:drawing>
                <wp:inline distT="0" distB="0" distL="0" distR="0" wp14:anchorId="15846A24" wp14:editId="13E8AB31">
                  <wp:extent cx="600075" cy="600075"/>
                  <wp:effectExtent l="0" t="0" r="0" b="0"/>
                  <wp:docPr id="32" name="Picture 32" descr="Description: Beskrivning: H:\Mina Dokument\KemI Internationellt\GHS\Pictograms\strip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Beskrivning: H:\Mina Dokument\KemI Internationellt\GHS\Pictograms\stripes.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53" w:type="dxa"/>
            <w:tcBorders>
              <w:bottom w:val="single" w:sz="4" w:space="0" w:color="auto"/>
            </w:tcBorders>
            <w:shd w:val="clear" w:color="auto" w:fill="FFFFFF"/>
            <w:vAlign w:val="center"/>
          </w:tcPr>
          <w:p w14:paraId="4C99DD0B" w14:textId="77777777" w:rsidR="00482EE1" w:rsidRPr="00756A8E" w:rsidRDefault="00482EE1" w:rsidP="00075DF7">
            <w:pPr>
              <w:keepNext/>
              <w:keepLines/>
              <w:tabs>
                <w:tab w:val="left" w:pos="1425"/>
              </w:tabs>
              <w:spacing w:before="40" w:after="40"/>
              <w:jc w:val="center"/>
              <w:rPr>
                <w:b/>
                <w:sz w:val="18"/>
                <w:szCs w:val="18"/>
              </w:rPr>
            </w:pPr>
            <w:r>
              <w:rPr>
                <w:b/>
                <w:sz w:val="18"/>
                <w:szCs w:val="18"/>
              </w:rPr>
              <w:t>Danger</w:t>
            </w:r>
          </w:p>
        </w:tc>
        <w:tc>
          <w:tcPr>
            <w:tcW w:w="2254" w:type="dxa"/>
            <w:vMerge w:val="restart"/>
            <w:tcBorders>
              <w:right w:val="single" w:sz="4" w:space="0" w:color="auto"/>
            </w:tcBorders>
            <w:shd w:val="clear" w:color="auto" w:fill="FFFFFF"/>
            <w:vAlign w:val="center"/>
          </w:tcPr>
          <w:p w14:paraId="45C1BC06" w14:textId="77777777" w:rsidR="00482EE1" w:rsidRPr="00756A8E" w:rsidRDefault="00482EE1" w:rsidP="00075DF7">
            <w:pPr>
              <w:keepNext/>
              <w:keepLines/>
              <w:tabs>
                <w:tab w:val="left" w:pos="1425"/>
              </w:tabs>
              <w:spacing w:before="40" w:after="40"/>
              <w:rPr>
                <w:b/>
                <w:sz w:val="18"/>
                <w:szCs w:val="18"/>
              </w:rPr>
            </w:pPr>
            <w:r w:rsidRPr="00756A8E">
              <w:rPr>
                <w:noProof/>
                <w:sz w:val="18"/>
                <w:szCs w:val="18"/>
                <w:lang w:eastAsia="sv-SE"/>
              </w:rPr>
              <w:t>F</w:t>
            </w:r>
            <w:proofErr w:type="spellStart"/>
            <w:r w:rsidRPr="00756A8E">
              <w:rPr>
                <w:sz w:val="18"/>
                <w:szCs w:val="18"/>
              </w:rPr>
              <w:t>lammable</w:t>
            </w:r>
            <w:proofErr w:type="spellEnd"/>
            <w:r w:rsidRPr="00756A8E">
              <w:rPr>
                <w:sz w:val="18"/>
                <w:szCs w:val="18"/>
              </w:rPr>
              <w:t xml:space="preserve"> solid</w:t>
            </w:r>
          </w:p>
        </w:tc>
        <w:tc>
          <w:tcPr>
            <w:tcW w:w="967" w:type="dxa"/>
            <w:vMerge w:val="restart"/>
            <w:tcBorders>
              <w:left w:val="single" w:sz="4" w:space="0" w:color="auto"/>
              <w:right w:val="single" w:sz="4" w:space="0" w:color="auto"/>
            </w:tcBorders>
            <w:shd w:val="clear" w:color="auto" w:fill="FFFFFF"/>
            <w:vAlign w:val="center"/>
          </w:tcPr>
          <w:p w14:paraId="34570188" w14:textId="77777777" w:rsidR="00482EE1" w:rsidRPr="00756A8E" w:rsidRDefault="00482EE1" w:rsidP="00075DF7">
            <w:pPr>
              <w:keepNext/>
              <w:keepLines/>
              <w:tabs>
                <w:tab w:val="left" w:pos="1425"/>
              </w:tabs>
              <w:spacing w:before="40" w:after="40"/>
              <w:jc w:val="center"/>
              <w:rPr>
                <w:noProof/>
                <w:sz w:val="18"/>
                <w:szCs w:val="18"/>
                <w:lang w:eastAsia="sv-SE"/>
              </w:rPr>
            </w:pPr>
            <w:r w:rsidRPr="00756A8E">
              <w:rPr>
                <w:noProof/>
                <w:sz w:val="18"/>
                <w:szCs w:val="18"/>
                <w:lang w:eastAsia="sv-SE"/>
              </w:rPr>
              <w:t>H228</w:t>
            </w:r>
          </w:p>
        </w:tc>
      </w:tr>
      <w:tr w:rsidR="00482EE1" w:rsidRPr="00756A8E" w14:paraId="3AA34B07" w14:textId="77777777" w:rsidTr="00075DF7">
        <w:trPr>
          <w:cantSplit/>
          <w:trHeight w:val="422"/>
          <w:jc w:val="center"/>
        </w:trPr>
        <w:tc>
          <w:tcPr>
            <w:tcW w:w="1034" w:type="dxa"/>
            <w:vMerge/>
            <w:shd w:val="clear" w:color="auto" w:fill="FFFFFF"/>
            <w:vAlign w:val="center"/>
          </w:tcPr>
          <w:p w14:paraId="7445C51B" w14:textId="77777777" w:rsidR="00482EE1" w:rsidRPr="00756A8E" w:rsidRDefault="00482EE1" w:rsidP="00075DF7">
            <w:pPr>
              <w:keepNext/>
              <w:keepLines/>
              <w:tabs>
                <w:tab w:val="left" w:pos="1425"/>
              </w:tabs>
              <w:spacing w:before="40" w:after="40"/>
              <w:jc w:val="center"/>
              <w:rPr>
                <w:b/>
                <w:sz w:val="18"/>
                <w:szCs w:val="18"/>
              </w:rPr>
            </w:pPr>
          </w:p>
        </w:tc>
        <w:tc>
          <w:tcPr>
            <w:tcW w:w="1052" w:type="dxa"/>
            <w:shd w:val="clear" w:color="auto" w:fill="FFFFFF"/>
            <w:vAlign w:val="center"/>
          </w:tcPr>
          <w:p w14:paraId="33A78350" w14:textId="77777777" w:rsidR="00482EE1" w:rsidRPr="00756A8E" w:rsidRDefault="00482EE1" w:rsidP="00075DF7">
            <w:pPr>
              <w:keepNext/>
              <w:keepLines/>
              <w:tabs>
                <w:tab w:val="left" w:pos="1425"/>
              </w:tabs>
              <w:spacing w:before="40" w:after="40"/>
              <w:jc w:val="center"/>
              <w:rPr>
                <w:b/>
                <w:sz w:val="18"/>
                <w:szCs w:val="18"/>
              </w:rPr>
            </w:pPr>
            <w:r>
              <w:rPr>
                <w:b/>
                <w:sz w:val="18"/>
                <w:szCs w:val="18"/>
              </w:rPr>
              <w:t>2</w:t>
            </w:r>
          </w:p>
        </w:tc>
        <w:tc>
          <w:tcPr>
            <w:tcW w:w="1108" w:type="dxa"/>
            <w:vMerge/>
            <w:shd w:val="clear" w:color="auto" w:fill="FFFFFF"/>
            <w:vAlign w:val="center"/>
          </w:tcPr>
          <w:p w14:paraId="3C655A1F" w14:textId="77777777" w:rsidR="00482EE1" w:rsidRPr="00756A8E" w:rsidRDefault="00482EE1" w:rsidP="00075DF7">
            <w:pPr>
              <w:keepNext/>
              <w:keepLines/>
              <w:tabs>
                <w:tab w:val="left" w:pos="1425"/>
              </w:tabs>
              <w:spacing w:before="40" w:after="40"/>
              <w:jc w:val="center"/>
              <w:rPr>
                <w:b/>
                <w:noProof/>
                <w:sz w:val="18"/>
                <w:szCs w:val="18"/>
              </w:rPr>
            </w:pPr>
          </w:p>
        </w:tc>
        <w:tc>
          <w:tcPr>
            <w:tcW w:w="1044" w:type="dxa"/>
            <w:vMerge/>
            <w:shd w:val="clear" w:color="auto" w:fill="FFFFFF"/>
            <w:vAlign w:val="center"/>
          </w:tcPr>
          <w:p w14:paraId="173F2ABC" w14:textId="77777777" w:rsidR="00482EE1" w:rsidRPr="00756A8E" w:rsidRDefault="00482EE1" w:rsidP="00075DF7">
            <w:pPr>
              <w:keepNext/>
              <w:keepLines/>
              <w:tabs>
                <w:tab w:val="left" w:pos="1425"/>
              </w:tabs>
              <w:spacing w:before="40" w:after="40"/>
              <w:jc w:val="center"/>
              <w:rPr>
                <w:b/>
                <w:sz w:val="18"/>
                <w:szCs w:val="18"/>
              </w:rPr>
            </w:pPr>
          </w:p>
        </w:tc>
        <w:tc>
          <w:tcPr>
            <w:tcW w:w="1227" w:type="dxa"/>
            <w:vMerge/>
            <w:shd w:val="clear" w:color="auto" w:fill="FFFFFF"/>
            <w:vAlign w:val="center"/>
          </w:tcPr>
          <w:p w14:paraId="6D572F1B" w14:textId="77777777" w:rsidR="00482EE1" w:rsidRPr="00756A8E" w:rsidRDefault="00482EE1" w:rsidP="00075DF7">
            <w:pPr>
              <w:keepNext/>
              <w:keepLines/>
              <w:tabs>
                <w:tab w:val="left" w:pos="1425"/>
              </w:tabs>
              <w:spacing w:before="40" w:after="40"/>
              <w:jc w:val="center"/>
              <w:rPr>
                <w:b/>
                <w:sz w:val="18"/>
                <w:szCs w:val="18"/>
              </w:rPr>
            </w:pPr>
          </w:p>
        </w:tc>
        <w:tc>
          <w:tcPr>
            <w:tcW w:w="953" w:type="dxa"/>
            <w:shd w:val="clear" w:color="auto" w:fill="FFFFFF"/>
            <w:vAlign w:val="center"/>
          </w:tcPr>
          <w:p w14:paraId="44B72395" w14:textId="77777777" w:rsidR="00482EE1" w:rsidRPr="00756A8E" w:rsidRDefault="00482EE1" w:rsidP="00075DF7">
            <w:pPr>
              <w:keepNext/>
              <w:keepLines/>
              <w:tabs>
                <w:tab w:val="left" w:pos="1425"/>
              </w:tabs>
              <w:spacing w:before="40" w:after="40"/>
              <w:jc w:val="center"/>
              <w:rPr>
                <w:b/>
                <w:sz w:val="18"/>
                <w:szCs w:val="18"/>
              </w:rPr>
            </w:pPr>
            <w:r w:rsidRPr="00756A8E">
              <w:rPr>
                <w:b/>
                <w:sz w:val="18"/>
                <w:szCs w:val="18"/>
              </w:rPr>
              <w:t>Warning</w:t>
            </w:r>
          </w:p>
        </w:tc>
        <w:tc>
          <w:tcPr>
            <w:tcW w:w="2254" w:type="dxa"/>
            <w:vMerge/>
            <w:tcBorders>
              <w:right w:val="single" w:sz="4" w:space="0" w:color="auto"/>
            </w:tcBorders>
            <w:shd w:val="clear" w:color="auto" w:fill="FFFFFF"/>
            <w:vAlign w:val="center"/>
          </w:tcPr>
          <w:p w14:paraId="40DCDFE0" w14:textId="77777777" w:rsidR="00482EE1" w:rsidRPr="00756A8E" w:rsidRDefault="00482EE1" w:rsidP="00075DF7">
            <w:pPr>
              <w:keepNext/>
              <w:keepLines/>
              <w:tabs>
                <w:tab w:val="left" w:pos="1425"/>
              </w:tabs>
              <w:spacing w:before="40" w:after="40"/>
              <w:rPr>
                <w:noProof/>
                <w:sz w:val="18"/>
                <w:szCs w:val="18"/>
                <w:lang w:eastAsia="sv-SE"/>
              </w:rPr>
            </w:pPr>
          </w:p>
        </w:tc>
        <w:tc>
          <w:tcPr>
            <w:tcW w:w="967" w:type="dxa"/>
            <w:vMerge/>
            <w:tcBorders>
              <w:left w:val="single" w:sz="4" w:space="0" w:color="auto"/>
              <w:right w:val="single" w:sz="4" w:space="0" w:color="auto"/>
            </w:tcBorders>
            <w:shd w:val="clear" w:color="auto" w:fill="FFFFFF"/>
            <w:vAlign w:val="center"/>
          </w:tcPr>
          <w:p w14:paraId="7485588F" w14:textId="77777777" w:rsidR="00482EE1" w:rsidRPr="00756A8E" w:rsidRDefault="00482EE1" w:rsidP="00075DF7">
            <w:pPr>
              <w:keepNext/>
              <w:keepLines/>
              <w:tabs>
                <w:tab w:val="left" w:pos="1425"/>
              </w:tabs>
              <w:spacing w:before="40" w:after="40"/>
              <w:jc w:val="center"/>
              <w:rPr>
                <w:noProof/>
                <w:sz w:val="18"/>
                <w:szCs w:val="18"/>
                <w:lang w:eastAsia="sv-SE"/>
              </w:rPr>
            </w:pPr>
          </w:p>
        </w:tc>
      </w:tr>
    </w:tbl>
    <w:p w14:paraId="258226BC" w14:textId="77777777" w:rsidR="00482EE1" w:rsidRDefault="00482EE1" w:rsidP="00482EE1">
      <w:pPr>
        <w:pStyle w:val="H23G"/>
      </w:pPr>
      <w:r>
        <w:tab/>
      </w:r>
      <w:bookmarkStart w:id="7" w:name="_Hlk27125974"/>
      <w:r>
        <w:tab/>
        <w:t>Annex 3</w:t>
      </w:r>
    </w:p>
    <w:p w14:paraId="0D14AFF3" w14:textId="14646115" w:rsidR="00482EE1" w:rsidRDefault="00482EE1" w:rsidP="00482EE1">
      <w:pPr>
        <w:pStyle w:val="SingleTxtG"/>
      </w:pPr>
      <w:r>
        <w:tab/>
        <w:t>In Section 2, table A3.2.2, for P230:</w:t>
      </w:r>
    </w:p>
    <w:p w14:paraId="6DAEB2D9" w14:textId="77777777" w:rsidR="00482EE1" w:rsidRPr="00AC6ACE" w:rsidRDefault="00482EE1" w:rsidP="00482EE1">
      <w:pPr>
        <w:pStyle w:val="Bullet1G"/>
      </w:pPr>
      <w:r>
        <w:t>In column (2), replace</w:t>
      </w:r>
      <w:r w:rsidRPr="00C02DBF">
        <w:t xml:space="preserve">: </w:t>
      </w:r>
      <w:r>
        <w:t>“</w:t>
      </w:r>
      <w:r w:rsidRPr="007B35B2">
        <w:t>Keep wetted with…</w:t>
      </w:r>
      <w:r>
        <w:t>”</w:t>
      </w:r>
      <w:r w:rsidRPr="007B35B2">
        <w:t xml:space="preserve"> with </w:t>
      </w:r>
      <w:r>
        <w:t>“</w:t>
      </w:r>
      <w:r w:rsidRPr="007B35B2">
        <w:t>Keep diluted with</w:t>
      </w:r>
      <w:r w:rsidRPr="00AC6ACE">
        <w:t>…</w:t>
      </w:r>
      <w:r w:rsidRPr="001E0496">
        <w:t>:</w:t>
      </w:r>
      <w:r>
        <w:t>”</w:t>
      </w:r>
    </w:p>
    <w:p w14:paraId="62102A2A" w14:textId="77777777" w:rsidR="00482EE1" w:rsidRPr="00BC2E42" w:rsidRDefault="00482EE1" w:rsidP="00482EE1">
      <w:pPr>
        <w:pStyle w:val="Bullet1G"/>
      </w:pPr>
      <w:r w:rsidRPr="00AC6ACE">
        <w:t xml:space="preserve">For the explosives hazard class (divisions 1.1, 1.2, 1.3 and 1.5), </w:t>
      </w:r>
      <w:r>
        <w:t xml:space="preserve">replace the </w:t>
      </w:r>
      <w:r w:rsidRPr="00AC6ACE">
        <w:t>“</w:t>
      </w:r>
      <w:r w:rsidRPr="00A93472">
        <w:t>Conditions for use</w:t>
      </w:r>
      <w:r w:rsidRPr="00BC2E42">
        <w:t>”</w:t>
      </w:r>
      <w:r>
        <w:t xml:space="preserve"> in column (5) with the following</w:t>
      </w:r>
      <w:r w:rsidRPr="00BC2E42">
        <w:t>:</w:t>
      </w:r>
    </w:p>
    <w:p w14:paraId="212E6680" w14:textId="77777777" w:rsidR="00482EE1" w:rsidRDefault="00482EE1" w:rsidP="00482EE1">
      <w:pPr>
        <w:pStyle w:val="SingleTxtG"/>
        <w:ind w:left="1701"/>
        <w:rPr>
          <w:i/>
          <w:iCs/>
        </w:rPr>
      </w:pPr>
      <w:r w:rsidRPr="009E377B">
        <w:rPr>
          <w:i/>
          <w:iCs/>
        </w:rPr>
        <w:t xml:space="preserve"> “- for explosive substances and mixtures that are diluted with solids or liquids, or wetted with, dissolved or suspended in water or other liquids to reduce their explosives properties.</w:t>
      </w:r>
    </w:p>
    <w:p w14:paraId="0C1EFCCB" w14:textId="77777777" w:rsidR="00482EE1" w:rsidRPr="007B35B2" w:rsidRDefault="00482EE1" w:rsidP="00482EE1">
      <w:pPr>
        <w:pStyle w:val="SingleTxtG"/>
        <w:ind w:left="1701"/>
        <w:rPr>
          <w:color w:val="1F497D"/>
        </w:rPr>
      </w:pPr>
      <w:r w:rsidRPr="007B35B2">
        <w:t>…Manufacturer/supplier or competent authority to specify appropriate material</w:t>
      </w:r>
      <w:r w:rsidRPr="007B35B2">
        <w:rPr>
          <w:i/>
        </w:rPr>
        <w:t>.”</w:t>
      </w:r>
      <w:r>
        <w:rPr>
          <w:i/>
        </w:rPr>
        <w:t>.</w:t>
      </w:r>
    </w:p>
    <w:p w14:paraId="47D94577" w14:textId="791BEBA9" w:rsidR="00482EE1" w:rsidRPr="00C00FC2" w:rsidRDefault="00482EE1" w:rsidP="0021565D">
      <w:pPr>
        <w:pStyle w:val="SingleTxtG"/>
      </w:pPr>
      <w:r>
        <w:tab/>
        <w:t>In Section 3, matrix of precautionary statements for e</w:t>
      </w:r>
      <w:r w:rsidRPr="00C00FC2">
        <w:t>xplosives</w:t>
      </w:r>
      <w:r>
        <w:t xml:space="preserve"> </w:t>
      </w:r>
      <w:r w:rsidRPr="00C00FC2">
        <w:t>(divisions 1.1, 1.2, 1.3 and</w:t>
      </w:r>
      <w:r>
        <w:t> </w:t>
      </w:r>
      <w:r w:rsidRPr="00C00FC2">
        <w:t>1.5)</w:t>
      </w:r>
      <w:r w:rsidR="0021565D">
        <w:t>, f</w:t>
      </w:r>
      <w:r>
        <w:t>or P230, u</w:t>
      </w:r>
      <w:r w:rsidRPr="00C00FC2">
        <w:t>nder “Prevention”</w:t>
      </w:r>
      <w:r>
        <w:t>, replace the current text with the following:</w:t>
      </w:r>
    </w:p>
    <w:p w14:paraId="754ACE27" w14:textId="77777777" w:rsidR="00482EE1" w:rsidRPr="00C00FC2" w:rsidRDefault="00482EE1" w:rsidP="00482EE1">
      <w:pPr>
        <w:pStyle w:val="ListParagraph"/>
        <w:spacing w:after="80"/>
        <w:ind w:left="1701" w:right="1418"/>
        <w:jc w:val="both"/>
        <w:rPr>
          <w:i/>
          <w:iCs/>
        </w:rPr>
      </w:pPr>
      <w:r w:rsidRPr="00C00FC2">
        <w:rPr>
          <w:i/>
          <w:iCs/>
        </w:rPr>
        <w:t>“</w:t>
      </w:r>
      <w:r w:rsidRPr="00C00FC2">
        <w:rPr>
          <w:b/>
          <w:iCs/>
        </w:rPr>
        <w:t>Keep diluted with…</w:t>
      </w:r>
    </w:p>
    <w:p w14:paraId="51D3ABE6" w14:textId="77777777" w:rsidR="00482EE1" w:rsidRPr="00C00FC2" w:rsidRDefault="00482EE1" w:rsidP="00482EE1">
      <w:pPr>
        <w:pStyle w:val="ListParagraph"/>
        <w:ind w:left="1701" w:right="1417"/>
        <w:jc w:val="both"/>
        <w:rPr>
          <w:i/>
          <w:iCs/>
        </w:rPr>
      </w:pPr>
      <w:r w:rsidRPr="00C00FC2">
        <w:rPr>
          <w:i/>
          <w:iCs/>
        </w:rPr>
        <w:t xml:space="preserve">- for explosive substances and mixtures that are diluted with solids or liquids, or wetted with, dissolved or suspended in water or other liquids to reduce their explosives properties. </w:t>
      </w:r>
    </w:p>
    <w:p w14:paraId="4076689A" w14:textId="77777777" w:rsidR="00482EE1" w:rsidRDefault="00482EE1" w:rsidP="00482EE1">
      <w:pPr>
        <w:pStyle w:val="ListParagraph"/>
        <w:spacing w:after="240"/>
        <w:ind w:left="1701" w:right="1418"/>
        <w:jc w:val="both"/>
        <w:rPr>
          <w:i/>
        </w:rPr>
      </w:pPr>
      <w:r w:rsidRPr="00C00FC2">
        <w:t>…Manufacturer/supplier or competent authority to specify appropriate material</w:t>
      </w:r>
      <w:r w:rsidRPr="00C00FC2">
        <w:rPr>
          <w:i/>
        </w:rPr>
        <w:t>.”</w:t>
      </w:r>
    </w:p>
    <w:p w14:paraId="1997B1D1" w14:textId="62E5F96B" w:rsidR="00482EE1" w:rsidRDefault="00482EE1" w:rsidP="00482EE1">
      <w:pPr>
        <w:pStyle w:val="SingleTxtG"/>
        <w:rPr>
          <w:i/>
          <w:iCs/>
        </w:rPr>
      </w:pPr>
      <w:r w:rsidRPr="00385B2E">
        <w:rPr>
          <w:i/>
          <w:iCs/>
        </w:rPr>
        <w:t>(Ref.Doc: ST/SG/AC.10/C.4/2019/</w:t>
      </w:r>
      <w:r>
        <w:rPr>
          <w:i/>
          <w:iCs/>
        </w:rPr>
        <w:t>15</w:t>
      </w:r>
      <w:r w:rsidRPr="00385B2E">
        <w:rPr>
          <w:i/>
          <w:iCs/>
        </w:rPr>
        <w:t>)</w:t>
      </w:r>
    </w:p>
    <w:p w14:paraId="1DE15A19" w14:textId="611612F0" w:rsidR="0021565D" w:rsidRPr="0021565D" w:rsidRDefault="0021565D" w:rsidP="00A17A9B">
      <w:pPr>
        <w:pStyle w:val="SingleTxtG"/>
        <w:ind w:left="1560"/>
        <w:rPr>
          <w:i/>
          <w:iCs/>
          <w:u w:val="single"/>
        </w:rPr>
      </w:pPr>
      <w:r w:rsidRPr="0021565D">
        <w:rPr>
          <w:i/>
          <w:iCs/>
          <w:u w:val="single"/>
        </w:rPr>
        <w:lastRenderedPageBreak/>
        <w:t>Note by the secretariat</w:t>
      </w:r>
      <w:r>
        <w:rPr>
          <w:i/>
          <w:iCs/>
          <w:u w:val="single"/>
        </w:rPr>
        <w:t>:</w:t>
      </w:r>
    </w:p>
    <w:p w14:paraId="2B9E710A" w14:textId="6205FD64" w:rsidR="0021565D" w:rsidRPr="00385B2E" w:rsidRDefault="0021565D" w:rsidP="00A17A9B">
      <w:pPr>
        <w:pStyle w:val="SingleTxtG"/>
        <w:ind w:left="1560"/>
      </w:pPr>
      <w:r w:rsidRPr="0021565D">
        <w:rPr>
          <w:i/>
          <w:iCs/>
        </w:rPr>
        <w:t>Consequential amendment:</w:t>
      </w:r>
      <w:r>
        <w:rPr>
          <w:i/>
          <w:iCs/>
        </w:rPr>
        <w:t xml:space="preserve"> The same amendment applies to P230 in the matrix </w:t>
      </w:r>
      <w:r w:rsidR="00A17A9B">
        <w:rPr>
          <w:i/>
          <w:iCs/>
        </w:rPr>
        <w:t xml:space="preserve">of precautionary statements </w:t>
      </w:r>
      <w:r>
        <w:rPr>
          <w:i/>
          <w:iCs/>
        </w:rPr>
        <w:t>for desensitized explosives (categories 1, 2, 3 and 4)</w:t>
      </w:r>
      <w:r w:rsidR="00A17A9B">
        <w:rPr>
          <w:i/>
          <w:iCs/>
        </w:rPr>
        <w:t>.</w:t>
      </w:r>
    </w:p>
    <w:bookmarkEnd w:id="7"/>
    <w:p w14:paraId="6B8D588B" w14:textId="77777777" w:rsidR="00482EE1" w:rsidRDefault="00482EE1" w:rsidP="00482EE1">
      <w:pPr>
        <w:pStyle w:val="H23G"/>
      </w:pPr>
      <w:r>
        <w:tab/>
      </w:r>
      <w:r>
        <w:tab/>
        <w:t>Annex 4</w:t>
      </w:r>
    </w:p>
    <w:p w14:paraId="288AC07D" w14:textId="77777777" w:rsidR="00482EE1" w:rsidRDefault="00482EE1" w:rsidP="00482EE1">
      <w:pPr>
        <w:pStyle w:val="SingleTxtG"/>
      </w:pPr>
      <w:r>
        <w:tab/>
        <w:t>A4.3.9</w:t>
      </w:r>
      <w:r>
        <w:tab/>
      </w:r>
      <w:r>
        <w:tab/>
        <w:t>Amend the heading of section 9 to read “Physical and chemical properties”</w:t>
      </w:r>
    </w:p>
    <w:p w14:paraId="6E0735C7" w14:textId="77777777" w:rsidR="00482EE1" w:rsidRPr="00385B2E" w:rsidRDefault="00482EE1" w:rsidP="00482EE1">
      <w:pPr>
        <w:pStyle w:val="SingleTxtG"/>
      </w:pPr>
      <w:r w:rsidRPr="00385B2E">
        <w:rPr>
          <w:i/>
          <w:iCs/>
        </w:rPr>
        <w:t>(Ref.Doc: ST/SG/AC.10/C.4/2019/</w:t>
      </w:r>
      <w:r>
        <w:rPr>
          <w:i/>
          <w:iCs/>
        </w:rPr>
        <w:t>13</w:t>
      </w:r>
      <w:r w:rsidRPr="00385B2E">
        <w:rPr>
          <w:i/>
          <w:iCs/>
        </w:rPr>
        <w:t>)</w:t>
      </w:r>
    </w:p>
    <w:p w14:paraId="12C10233" w14:textId="4A1C8460" w:rsidR="00482EE1" w:rsidRDefault="00482EE1" w:rsidP="00482EE1">
      <w:pPr>
        <w:pStyle w:val="SingleTxtG"/>
        <w:rPr>
          <w:b/>
          <w:sz w:val="28"/>
        </w:rPr>
      </w:pPr>
      <w:r>
        <w:tab/>
      </w:r>
      <w:r>
        <w:br w:type="page"/>
      </w:r>
    </w:p>
    <w:p w14:paraId="63CD326A" w14:textId="51D41E43" w:rsidR="00482EE1" w:rsidRDefault="00482EE1" w:rsidP="00482EE1">
      <w:pPr>
        <w:pStyle w:val="H1G"/>
        <w:tabs>
          <w:tab w:val="right" w:pos="8505"/>
        </w:tabs>
      </w:pPr>
      <w:r>
        <w:lastRenderedPageBreak/>
        <w:tab/>
      </w:r>
      <w:r w:rsidRPr="00791E92">
        <w:rPr>
          <w:sz w:val="28"/>
          <w:szCs w:val="28"/>
        </w:rPr>
        <w:t>Annex II</w:t>
      </w:r>
      <w:r>
        <w:tab/>
      </w:r>
      <w:r w:rsidR="00791E92">
        <w:tab/>
      </w:r>
      <w:r>
        <w:t>[Original: English and French]</w:t>
      </w:r>
    </w:p>
    <w:p w14:paraId="117E106F" w14:textId="5213F818" w:rsidR="00482EE1" w:rsidRDefault="00482EE1" w:rsidP="00482EE1">
      <w:pPr>
        <w:pStyle w:val="H1G"/>
      </w:pPr>
      <w:r>
        <w:tab/>
      </w:r>
      <w:r>
        <w:tab/>
        <w:t xml:space="preserve">Corrections </w:t>
      </w:r>
      <w:r w:rsidRPr="00B231DF">
        <w:t xml:space="preserve">to the </w:t>
      </w:r>
      <w:r>
        <w:t xml:space="preserve">eighth </w:t>
      </w:r>
      <w:r w:rsidRPr="00B231DF">
        <w:t xml:space="preserve">revised edition of the </w:t>
      </w:r>
      <w:r>
        <w:t xml:space="preserve">Globally Harmonized System of Classification and Labelling of Chemicals </w:t>
      </w:r>
      <w:r w:rsidRPr="00B231DF">
        <w:t>(ST/SG/AC.10/</w:t>
      </w:r>
      <w:r>
        <w:t>30</w:t>
      </w:r>
      <w:r w:rsidRPr="00B231DF">
        <w:t>/Rev.</w:t>
      </w:r>
      <w:r>
        <w:t>8</w:t>
      </w:r>
      <w:r w:rsidRPr="00B231DF">
        <w:t>)</w:t>
      </w:r>
    </w:p>
    <w:p w14:paraId="2C4924C1" w14:textId="77777777" w:rsidR="00482EE1" w:rsidRDefault="00482EE1" w:rsidP="00482EE1">
      <w:pPr>
        <w:pStyle w:val="H23G"/>
      </w:pPr>
      <w:r>
        <w:tab/>
        <w:t>1.</w:t>
      </w:r>
      <w:r>
        <w:tab/>
        <w:t>Chapter 1.4, sub-paragraphs 1.4.10.5.3.3 (a), (b) and (c), hazard statements H410, H411 and H412</w:t>
      </w:r>
    </w:p>
    <w:p w14:paraId="0D13BCF5" w14:textId="77777777" w:rsidR="00482EE1" w:rsidRDefault="00482EE1" w:rsidP="00482EE1">
      <w:pPr>
        <w:spacing w:after="240"/>
      </w:pPr>
      <w:r>
        <w:tab/>
      </w:r>
      <w:r>
        <w:tab/>
        <w:t>The correction does not apply to the English version</w:t>
      </w:r>
    </w:p>
    <w:p w14:paraId="4944C95D" w14:textId="77777777" w:rsidR="00482EE1" w:rsidRPr="000A0EC2" w:rsidRDefault="00482EE1" w:rsidP="00482EE1">
      <w:pPr>
        <w:pStyle w:val="SingleTxtG"/>
        <w:rPr>
          <w:i/>
          <w:iCs/>
        </w:rPr>
      </w:pPr>
      <w:r w:rsidRPr="00385B2E">
        <w:rPr>
          <w:i/>
          <w:iCs/>
        </w:rPr>
        <w:t>(Ref.Doc: ST/SG/AC.10/C.4/2019/</w:t>
      </w:r>
      <w:r>
        <w:rPr>
          <w:i/>
          <w:iCs/>
        </w:rPr>
        <w:t>8</w:t>
      </w:r>
      <w:r w:rsidRPr="00385B2E">
        <w:rPr>
          <w:i/>
          <w:iCs/>
        </w:rPr>
        <w:t>)</w:t>
      </w:r>
    </w:p>
    <w:p w14:paraId="6EEDBDC3" w14:textId="77777777" w:rsidR="00482EE1" w:rsidRPr="00A657E8" w:rsidRDefault="00482EE1" w:rsidP="00482EE1">
      <w:pPr>
        <w:pStyle w:val="H23G"/>
      </w:pPr>
      <w:r>
        <w:tab/>
        <w:t>2.</w:t>
      </w:r>
      <w:r>
        <w:tab/>
      </w:r>
      <w:r w:rsidRPr="00A657E8">
        <w:t>Chapter 2.3, decision logic 2.3.2</w:t>
      </w:r>
    </w:p>
    <w:p w14:paraId="3195DEE5" w14:textId="77777777" w:rsidR="00482EE1" w:rsidRPr="009B6AB5" w:rsidRDefault="00482EE1" w:rsidP="00482EE1">
      <w:pPr>
        <w:pStyle w:val="SingleTxtG"/>
        <w:rPr>
          <w:rFonts w:asciiTheme="majorBidi" w:hAnsiTheme="majorBidi" w:cstheme="majorBidi"/>
        </w:rPr>
      </w:pPr>
      <w:r>
        <w:rPr>
          <w:rFonts w:asciiTheme="majorBidi" w:hAnsiTheme="majorBidi" w:cstheme="majorBidi"/>
        </w:rPr>
        <w:t>In the arrow leading to the text box “Not classified as chemical under pressure</w:t>
      </w:r>
      <w:r w:rsidRPr="009B6AB5">
        <w:rPr>
          <w:rFonts w:asciiTheme="majorBidi" w:hAnsiTheme="majorBidi" w:cstheme="majorBidi"/>
          <w:vertAlign w:val="superscript"/>
        </w:rPr>
        <w:t>1</w:t>
      </w:r>
      <w:r>
        <w:rPr>
          <w:rFonts w:asciiTheme="majorBidi" w:hAnsiTheme="majorBidi" w:cstheme="majorBidi"/>
        </w:rPr>
        <w:t xml:space="preserve">” </w:t>
      </w:r>
      <w:r w:rsidRPr="009B6AB5">
        <w:rPr>
          <w:rFonts w:asciiTheme="majorBidi" w:hAnsiTheme="majorBidi" w:cstheme="majorBidi"/>
          <w:i/>
          <w:iCs/>
        </w:rPr>
        <w:t>for</w:t>
      </w:r>
      <w:r>
        <w:rPr>
          <w:rFonts w:asciiTheme="majorBidi" w:hAnsiTheme="majorBidi" w:cstheme="majorBidi"/>
          <w:i/>
          <w:iCs/>
        </w:rPr>
        <w:t xml:space="preserve"> </w:t>
      </w:r>
      <w:proofErr w:type="spellStart"/>
      <w:r w:rsidRPr="009B6AB5">
        <w:rPr>
          <w:rFonts w:asciiTheme="majorBidi" w:hAnsiTheme="majorBidi" w:cstheme="majorBidi"/>
        </w:rPr>
        <w:t>NoC</w:t>
      </w:r>
      <w:proofErr w:type="spellEnd"/>
      <w:r>
        <w:rPr>
          <w:rFonts w:asciiTheme="majorBidi" w:hAnsiTheme="majorBidi" w:cstheme="majorBidi"/>
          <w:i/>
          <w:iCs/>
        </w:rPr>
        <w:t xml:space="preserve"> read </w:t>
      </w:r>
      <w:r>
        <w:rPr>
          <w:rFonts w:asciiTheme="majorBidi" w:hAnsiTheme="majorBidi" w:cstheme="majorBidi"/>
        </w:rPr>
        <w:t>No</w:t>
      </w:r>
    </w:p>
    <w:p w14:paraId="5D94D72C" w14:textId="77777777" w:rsidR="00482EE1" w:rsidRPr="009B6AB5" w:rsidRDefault="00482EE1" w:rsidP="00482EE1">
      <w:pPr>
        <w:pStyle w:val="SingleTxtG"/>
        <w:rPr>
          <w:rFonts w:asciiTheme="majorBidi" w:hAnsiTheme="majorBidi" w:cstheme="majorBidi"/>
        </w:rPr>
      </w:pPr>
      <w:r>
        <w:rPr>
          <w:rFonts w:asciiTheme="majorBidi" w:hAnsiTheme="majorBidi" w:cstheme="majorBidi"/>
        </w:rPr>
        <w:t xml:space="preserve">In the </w:t>
      </w:r>
      <w:r w:rsidRPr="009B6AB5">
        <w:rPr>
          <w:rFonts w:asciiTheme="majorBidi" w:hAnsiTheme="majorBidi" w:cstheme="majorBidi"/>
        </w:rPr>
        <w:t>text boxes for category 3, 1 and 2</w:t>
      </w:r>
      <w:r>
        <w:rPr>
          <w:rFonts w:asciiTheme="majorBidi" w:hAnsiTheme="majorBidi" w:cstheme="majorBidi"/>
        </w:rPr>
        <w:t>, i</w:t>
      </w:r>
      <w:r w:rsidRPr="009B6AB5">
        <w:rPr>
          <w:rFonts w:asciiTheme="majorBidi" w:hAnsiTheme="majorBidi" w:cstheme="majorBidi"/>
        </w:rPr>
        <w:t>nsert the missing signal words under the symbols in each of the boxes to read as follows:</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645"/>
        <w:gridCol w:w="2646"/>
      </w:tblGrid>
      <w:tr w:rsidR="00482EE1" w14:paraId="4A8A95E1" w14:textId="77777777" w:rsidTr="00075DF7">
        <w:tc>
          <w:tcPr>
            <w:tcW w:w="2646" w:type="dxa"/>
          </w:tcPr>
          <w:p w14:paraId="320FA6F9" w14:textId="77777777" w:rsidR="00482EE1" w:rsidRDefault="00482EE1" w:rsidP="00075DF7">
            <w:pPr>
              <w:pStyle w:val="SingleTxtG"/>
              <w:ind w:left="0"/>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14:anchorId="5FFC2E8C" wp14:editId="68929017">
                      <wp:simplePos x="0" y="0"/>
                      <wp:positionH relativeFrom="column">
                        <wp:posOffset>66894</wp:posOffset>
                      </wp:positionH>
                      <wp:positionV relativeFrom="paragraph">
                        <wp:posOffset>119911</wp:posOffset>
                      </wp:positionV>
                      <wp:extent cx="1259580" cy="874427"/>
                      <wp:effectExtent l="0" t="0" r="93345" b="971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580" cy="87442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C86348F" w14:textId="77777777" w:rsidR="008F74AF" w:rsidRDefault="008F74AF" w:rsidP="00482EE1">
                                  <w:pPr>
                                    <w:pStyle w:val="NormalWeb"/>
                                    <w:jc w:val="center"/>
                                    <w:rPr>
                                      <w:sz w:val="20"/>
                                      <w:szCs w:val="20"/>
                                    </w:rPr>
                                  </w:pPr>
                                  <w:r w:rsidRPr="003C5A9C">
                                    <w:rPr>
                                      <w:sz w:val="20"/>
                                      <w:szCs w:val="20"/>
                                    </w:rPr>
                                    <w:t>Category 3</w:t>
                                  </w:r>
                                </w:p>
                                <w:p w14:paraId="639B220C" w14:textId="77777777" w:rsidR="008F74AF" w:rsidRDefault="008F74AF" w:rsidP="00482EE1">
                                  <w:pPr>
                                    <w:pStyle w:val="NormalWeb"/>
                                    <w:jc w:val="center"/>
                                  </w:pPr>
                                  <w:r>
                                    <w:rPr>
                                      <w:noProof/>
                                      <w:lang w:eastAsia="zh-CN"/>
                                    </w:rPr>
                                    <w:drawing>
                                      <wp:inline distT="0" distB="0" distL="0" distR="0" wp14:anchorId="65282C2F" wp14:editId="5133F6A4">
                                        <wp:extent cx="694055" cy="30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055" cy="300355"/>
                                                </a:xfrm>
                                                <a:prstGeom prst="rect">
                                                  <a:avLst/>
                                                </a:prstGeom>
                                                <a:noFill/>
                                                <a:ln>
                                                  <a:noFill/>
                                                </a:ln>
                                              </pic:spPr>
                                            </pic:pic>
                                          </a:graphicData>
                                        </a:graphic>
                                      </wp:inline>
                                    </w:drawing>
                                  </w:r>
                                </w:p>
                                <w:p w14:paraId="517606DE" w14:textId="77777777" w:rsidR="008F74AF" w:rsidRPr="009B6AB5" w:rsidRDefault="008F74AF" w:rsidP="00482EE1">
                                  <w:pPr>
                                    <w:pStyle w:val="NormalWeb"/>
                                    <w:jc w:val="center"/>
                                    <w:rPr>
                                      <w:sz w:val="20"/>
                                      <w:szCs w:val="20"/>
                                    </w:rPr>
                                  </w:pPr>
                                  <w:r w:rsidRPr="009B6AB5">
                                    <w:rPr>
                                      <w:sz w:val="20"/>
                                      <w:szCs w:val="20"/>
                                    </w:rPr>
                                    <w:t>Warning</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C2E8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26" type="#_x0000_t114" style="position:absolute;left:0;text-align:left;margin-left:5.25pt;margin-top:9.45pt;width:99.2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">
                      <v:shadow on="t" offset="6pt,6pt"/>
                      <v:textbox inset="1mm,1mm,1mm,1mm">
                        <w:txbxContent>
                          <w:p w14:paraId="1C86348F" w14:textId="77777777" w:rsidR="008F74AF" w:rsidRDefault="008F74AF" w:rsidP="00482EE1">
                            <w:pPr>
                              <w:pStyle w:val="NormalWeb"/>
                              <w:jc w:val="center"/>
                              <w:rPr>
                                <w:sz w:val="20"/>
                                <w:szCs w:val="20"/>
                              </w:rPr>
                            </w:pPr>
                            <w:r w:rsidRPr="003C5A9C">
                              <w:rPr>
                                <w:sz w:val="20"/>
                                <w:szCs w:val="20"/>
                              </w:rPr>
                              <w:t>Category 3</w:t>
                            </w:r>
                          </w:p>
                          <w:p w14:paraId="639B220C" w14:textId="77777777" w:rsidR="008F74AF" w:rsidRDefault="008F74AF" w:rsidP="00482EE1">
                            <w:pPr>
                              <w:pStyle w:val="NormalWeb"/>
                              <w:jc w:val="center"/>
                            </w:pPr>
                            <w:r>
                              <w:rPr>
                                <w:noProof/>
                                <w:lang w:eastAsia="zh-CN"/>
                              </w:rPr>
                              <w:drawing>
                                <wp:inline distT="0" distB="0" distL="0" distR="0" wp14:anchorId="65282C2F" wp14:editId="5133F6A4">
                                  <wp:extent cx="694055" cy="30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055" cy="300355"/>
                                          </a:xfrm>
                                          <a:prstGeom prst="rect">
                                            <a:avLst/>
                                          </a:prstGeom>
                                          <a:noFill/>
                                          <a:ln>
                                            <a:noFill/>
                                          </a:ln>
                                        </pic:spPr>
                                      </pic:pic>
                                    </a:graphicData>
                                  </a:graphic>
                                </wp:inline>
                              </w:drawing>
                            </w:r>
                          </w:p>
                          <w:p w14:paraId="517606DE" w14:textId="77777777" w:rsidR="008F74AF" w:rsidRPr="009B6AB5" w:rsidRDefault="008F74AF" w:rsidP="00482EE1">
                            <w:pPr>
                              <w:pStyle w:val="NormalWeb"/>
                              <w:jc w:val="center"/>
                              <w:rPr>
                                <w:sz w:val="20"/>
                                <w:szCs w:val="20"/>
                              </w:rPr>
                            </w:pPr>
                            <w:r w:rsidRPr="009B6AB5">
                              <w:rPr>
                                <w:sz w:val="20"/>
                                <w:szCs w:val="20"/>
                              </w:rPr>
                              <w:t>Warning</w:t>
                            </w:r>
                          </w:p>
                        </w:txbxContent>
                      </v:textbox>
                    </v:shape>
                  </w:pict>
                </mc:Fallback>
              </mc:AlternateContent>
            </w:r>
          </w:p>
          <w:p w14:paraId="1D857F31" w14:textId="77777777" w:rsidR="00482EE1" w:rsidRDefault="00482EE1" w:rsidP="00075DF7">
            <w:pPr>
              <w:pStyle w:val="SingleTxtG"/>
              <w:ind w:left="0"/>
              <w:rPr>
                <w:rFonts w:asciiTheme="majorBidi" w:hAnsiTheme="majorBidi" w:cstheme="majorBidi"/>
              </w:rPr>
            </w:pPr>
          </w:p>
          <w:p w14:paraId="256D4163" w14:textId="77777777" w:rsidR="00482EE1" w:rsidRDefault="00482EE1" w:rsidP="00075DF7">
            <w:pPr>
              <w:pStyle w:val="SingleTxtG"/>
              <w:ind w:left="0"/>
              <w:rPr>
                <w:rFonts w:asciiTheme="majorBidi" w:hAnsiTheme="majorBidi" w:cstheme="majorBidi"/>
              </w:rPr>
            </w:pPr>
          </w:p>
          <w:p w14:paraId="6B722A7C" w14:textId="77777777" w:rsidR="00482EE1" w:rsidRDefault="00482EE1" w:rsidP="00075DF7">
            <w:pPr>
              <w:pStyle w:val="SingleTxtG"/>
              <w:ind w:left="0"/>
              <w:rPr>
                <w:rFonts w:asciiTheme="majorBidi" w:hAnsiTheme="majorBidi" w:cstheme="majorBidi"/>
              </w:rPr>
            </w:pPr>
          </w:p>
          <w:p w14:paraId="15D4C7BE" w14:textId="77777777" w:rsidR="00482EE1" w:rsidRDefault="00482EE1" w:rsidP="00075DF7">
            <w:pPr>
              <w:pStyle w:val="SingleTxtG"/>
              <w:ind w:left="0"/>
              <w:rPr>
                <w:rFonts w:asciiTheme="majorBidi" w:hAnsiTheme="majorBidi" w:cstheme="majorBidi"/>
              </w:rPr>
            </w:pPr>
          </w:p>
        </w:tc>
        <w:tc>
          <w:tcPr>
            <w:tcW w:w="2645" w:type="dxa"/>
          </w:tcPr>
          <w:p w14:paraId="1EFF7EB2" w14:textId="77777777" w:rsidR="00482EE1" w:rsidRDefault="00482EE1" w:rsidP="00075DF7">
            <w:pPr>
              <w:pStyle w:val="SingleTxtG"/>
              <w:ind w:left="0"/>
              <w:rPr>
                <w:rFonts w:asciiTheme="majorBidi" w:hAnsiTheme="majorBidi" w:cstheme="majorBidi"/>
              </w:rPr>
            </w:pPr>
            <w:r>
              <w:rPr>
                <w:noProof/>
              </w:rPr>
              <mc:AlternateContent>
                <mc:Choice Requires="wps">
                  <w:drawing>
                    <wp:anchor distT="0" distB="0" distL="114300" distR="114300" simplePos="0" relativeHeight="251660288" behindDoc="0" locked="0" layoutInCell="1" allowOverlap="1" wp14:anchorId="59AEBD63" wp14:editId="1FA4628C">
                      <wp:simplePos x="0" y="0"/>
                      <wp:positionH relativeFrom="column">
                        <wp:posOffset>58159</wp:posOffset>
                      </wp:positionH>
                      <wp:positionV relativeFrom="paragraph">
                        <wp:posOffset>134672</wp:posOffset>
                      </wp:positionV>
                      <wp:extent cx="1419964" cy="1099279"/>
                      <wp:effectExtent l="0" t="0" r="104140" b="1009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964" cy="109927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189DD2D" w14:textId="77777777" w:rsidR="008F74AF" w:rsidRDefault="008F74AF" w:rsidP="00482EE1">
                                  <w:pPr>
                                    <w:pStyle w:val="NormalWeb"/>
                                    <w:jc w:val="center"/>
                                    <w:rPr>
                                      <w:sz w:val="20"/>
                                      <w:szCs w:val="20"/>
                                    </w:rPr>
                                  </w:pPr>
                                  <w:r w:rsidRPr="003C5A9C">
                                    <w:rPr>
                                      <w:sz w:val="20"/>
                                      <w:szCs w:val="20"/>
                                    </w:rPr>
                                    <w:t>Category 1</w:t>
                                  </w:r>
                                </w:p>
                                <w:p w14:paraId="30F6DAE5" w14:textId="77777777" w:rsidR="008F74AF" w:rsidRDefault="008F74AF" w:rsidP="00482EE1">
                                  <w:pPr>
                                    <w:pStyle w:val="NormalWeb"/>
                                    <w:jc w:val="center"/>
                                    <w:rPr>
                                      <w:color w:val="000000"/>
                                      <w:kern w:val="24"/>
                                      <w:sz w:val="20"/>
                                      <w:szCs w:val="20"/>
                                    </w:rPr>
                                  </w:pPr>
                                  <w:r>
                                    <w:rPr>
                                      <w:noProof/>
                                      <w:lang w:eastAsia="zh-CN"/>
                                    </w:rPr>
                                    <w:drawing>
                                      <wp:inline distT="0" distB="0" distL="0" distR="0" wp14:anchorId="7072D081" wp14:editId="7FB5CBE3">
                                        <wp:extent cx="354965" cy="46990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 cy="469900"/>
                                                </a:xfrm>
                                                <a:prstGeom prst="rect">
                                                  <a:avLst/>
                                                </a:prstGeom>
                                                <a:solidFill>
                                                  <a:srgbClr val="FFFFFF"/>
                                                </a:solidFill>
                                                <a:ln>
                                                  <a:noFill/>
                                                </a:ln>
                                              </pic:spPr>
                                            </pic:pic>
                                          </a:graphicData>
                                        </a:graphic>
                                      </wp:inline>
                                    </w:drawing>
                                  </w:r>
                                  <w:r>
                                    <w:rPr>
                                      <w:noProof/>
                                    </w:rPr>
                                    <w:t xml:space="preserve"> </w:t>
                                  </w:r>
                                  <w:r>
                                    <w:rPr>
                                      <w:noProof/>
                                      <w:lang w:eastAsia="zh-CN"/>
                                    </w:rPr>
                                    <w:drawing>
                                      <wp:inline distT="0" distB="0" distL="0" distR="0" wp14:anchorId="7C5BBA5F" wp14:editId="6609D8E7">
                                        <wp:extent cx="694690" cy="2997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99720"/>
                                                </a:xfrm>
                                                <a:prstGeom prst="rect">
                                                  <a:avLst/>
                                                </a:prstGeom>
                                                <a:noFill/>
                                                <a:ln>
                                                  <a:noFill/>
                                                </a:ln>
                                              </pic:spPr>
                                            </pic:pic>
                                          </a:graphicData>
                                        </a:graphic>
                                      </wp:inline>
                                    </w:drawing>
                                  </w:r>
                                </w:p>
                                <w:p w14:paraId="09384AFA" w14:textId="77777777" w:rsidR="008F74AF" w:rsidRDefault="008F74AF" w:rsidP="00482EE1">
                                  <w:pPr>
                                    <w:jc w:val="center"/>
                                  </w:pPr>
                                  <w:r w:rsidRPr="0036267B">
                                    <w:t>Danger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EBD63" id="AutoShape 14" o:spid="_x0000_s1027" type="#_x0000_t114" style="position:absolute;left:0;text-align:left;margin-left:4.6pt;margin-top:10.6pt;width:111.8pt;height:8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">
                      <v:shadow on="t" offset="6pt,6pt"/>
                      <v:textbox>
                        <w:txbxContent>
                          <w:p w14:paraId="5189DD2D" w14:textId="77777777" w:rsidR="008F74AF" w:rsidRDefault="008F74AF" w:rsidP="00482EE1">
                            <w:pPr>
                              <w:pStyle w:val="NormalWeb"/>
                              <w:jc w:val="center"/>
                              <w:rPr>
                                <w:sz w:val="20"/>
                                <w:szCs w:val="20"/>
                              </w:rPr>
                            </w:pPr>
                            <w:r w:rsidRPr="003C5A9C">
                              <w:rPr>
                                <w:sz w:val="20"/>
                                <w:szCs w:val="20"/>
                              </w:rPr>
                              <w:t>Category 1</w:t>
                            </w:r>
                          </w:p>
                          <w:p w14:paraId="30F6DAE5" w14:textId="77777777" w:rsidR="008F74AF" w:rsidRDefault="008F74AF" w:rsidP="00482EE1">
                            <w:pPr>
                              <w:pStyle w:val="NormalWeb"/>
                              <w:jc w:val="center"/>
                              <w:rPr>
                                <w:color w:val="000000"/>
                                <w:kern w:val="24"/>
                                <w:sz w:val="20"/>
                                <w:szCs w:val="20"/>
                              </w:rPr>
                            </w:pPr>
                            <w:r>
                              <w:rPr>
                                <w:noProof/>
                                <w:lang w:eastAsia="zh-CN"/>
                              </w:rPr>
                              <w:drawing>
                                <wp:inline distT="0" distB="0" distL="0" distR="0" wp14:anchorId="7072D081" wp14:editId="7FB5CBE3">
                                  <wp:extent cx="354965" cy="469900"/>
                                  <wp:effectExtent l="0" t="0" r="698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 cy="469900"/>
                                          </a:xfrm>
                                          <a:prstGeom prst="rect">
                                            <a:avLst/>
                                          </a:prstGeom>
                                          <a:solidFill>
                                            <a:srgbClr val="FFFFFF"/>
                                          </a:solidFill>
                                          <a:ln>
                                            <a:noFill/>
                                          </a:ln>
                                        </pic:spPr>
                                      </pic:pic>
                                    </a:graphicData>
                                  </a:graphic>
                                </wp:inline>
                              </w:drawing>
                            </w:r>
                            <w:r>
                              <w:rPr>
                                <w:noProof/>
                              </w:rPr>
                              <w:t xml:space="preserve"> </w:t>
                            </w:r>
                            <w:r>
                              <w:rPr>
                                <w:noProof/>
                                <w:lang w:eastAsia="zh-CN"/>
                              </w:rPr>
                              <w:drawing>
                                <wp:inline distT="0" distB="0" distL="0" distR="0" wp14:anchorId="7C5BBA5F" wp14:editId="6609D8E7">
                                  <wp:extent cx="694690" cy="2997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99720"/>
                                          </a:xfrm>
                                          <a:prstGeom prst="rect">
                                            <a:avLst/>
                                          </a:prstGeom>
                                          <a:noFill/>
                                          <a:ln>
                                            <a:noFill/>
                                          </a:ln>
                                        </pic:spPr>
                                      </pic:pic>
                                    </a:graphicData>
                                  </a:graphic>
                                </wp:inline>
                              </w:drawing>
                            </w:r>
                          </w:p>
                          <w:p w14:paraId="09384AFA" w14:textId="77777777" w:rsidR="008F74AF" w:rsidRDefault="008F74AF" w:rsidP="00482EE1">
                            <w:pPr>
                              <w:jc w:val="center"/>
                            </w:pPr>
                            <w:r w:rsidRPr="0036267B">
                              <w:t>Danger</w:t>
                            </w:r>
                          </w:p>
                        </w:txbxContent>
                      </v:textbox>
                    </v:shape>
                  </w:pict>
                </mc:Fallback>
              </mc:AlternateContent>
            </w:r>
          </w:p>
        </w:tc>
        <w:tc>
          <w:tcPr>
            <w:tcW w:w="2646" w:type="dxa"/>
          </w:tcPr>
          <w:p w14:paraId="4AAC2EC2" w14:textId="77777777" w:rsidR="00482EE1" w:rsidRPr="009B6AB5" w:rsidRDefault="00482EE1" w:rsidP="00075DF7">
            <w:pPr>
              <w:pStyle w:val="SingleTxtG"/>
              <w:ind w:left="0"/>
              <w:rPr>
                <w:rFonts w:asciiTheme="majorBidi" w:hAnsiTheme="majorBidi" w:cstheme="majorBidi"/>
                <w:b/>
                <w:bCs/>
              </w:rPr>
            </w:pPr>
            <w:r>
              <w:rPr>
                <w:noProof/>
              </w:rPr>
              <mc:AlternateContent>
                <mc:Choice Requires="wps">
                  <w:drawing>
                    <wp:anchor distT="0" distB="0" distL="114300" distR="114300" simplePos="0" relativeHeight="251661312" behindDoc="0" locked="0" layoutInCell="1" allowOverlap="1" wp14:anchorId="006557B3" wp14:editId="4AE22267">
                      <wp:simplePos x="0" y="0"/>
                      <wp:positionH relativeFrom="column">
                        <wp:posOffset>99185</wp:posOffset>
                      </wp:positionH>
                      <wp:positionV relativeFrom="paragraph">
                        <wp:posOffset>134725</wp:posOffset>
                      </wp:positionV>
                      <wp:extent cx="1394980" cy="1099279"/>
                      <wp:effectExtent l="0" t="0" r="91440" b="10096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980" cy="109927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2D302A4" w14:textId="77777777" w:rsidR="008F74AF" w:rsidRDefault="008F74AF" w:rsidP="00482EE1">
                                  <w:pPr>
                                    <w:pStyle w:val="NormalWeb"/>
                                    <w:jc w:val="center"/>
                                    <w:rPr>
                                      <w:sz w:val="20"/>
                                      <w:szCs w:val="20"/>
                                    </w:rPr>
                                  </w:pPr>
                                  <w:r w:rsidRPr="003C5A9C">
                                    <w:rPr>
                                      <w:sz w:val="20"/>
                                      <w:szCs w:val="20"/>
                                    </w:rPr>
                                    <w:t>Category 2</w:t>
                                  </w:r>
                                </w:p>
                                <w:p w14:paraId="14191690" w14:textId="77777777" w:rsidR="008F74AF" w:rsidRDefault="008F74AF" w:rsidP="00482EE1">
                                  <w:pPr>
                                    <w:pStyle w:val="NormalWeb"/>
                                    <w:jc w:val="center"/>
                                    <w:rPr>
                                      <w:color w:val="000000"/>
                                      <w:kern w:val="24"/>
                                      <w:sz w:val="20"/>
                                      <w:szCs w:val="20"/>
                                    </w:rPr>
                                  </w:pPr>
                                  <w:r>
                                    <w:rPr>
                                      <w:noProof/>
                                      <w:lang w:eastAsia="zh-CN"/>
                                    </w:rPr>
                                    <w:drawing>
                                      <wp:inline distT="0" distB="0" distL="0" distR="0" wp14:anchorId="7C951B10" wp14:editId="7F3C4007">
                                        <wp:extent cx="354965" cy="4699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 cy="469900"/>
                                                </a:xfrm>
                                                <a:prstGeom prst="rect">
                                                  <a:avLst/>
                                                </a:prstGeom>
                                                <a:solidFill>
                                                  <a:srgbClr val="FFFFFF"/>
                                                </a:solidFill>
                                                <a:ln>
                                                  <a:noFill/>
                                                </a:ln>
                                              </pic:spPr>
                                            </pic:pic>
                                          </a:graphicData>
                                        </a:graphic>
                                      </wp:inline>
                                    </w:drawing>
                                  </w:r>
                                  <w:r>
                                    <w:rPr>
                                      <w:noProof/>
                                    </w:rPr>
                                    <w:t xml:space="preserve"> </w:t>
                                  </w:r>
                                  <w:r>
                                    <w:rPr>
                                      <w:noProof/>
                                      <w:lang w:eastAsia="zh-CN"/>
                                    </w:rPr>
                                    <w:drawing>
                                      <wp:inline distT="0" distB="0" distL="0" distR="0" wp14:anchorId="45713944" wp14:editId="23AEAEC3">
                                        <wp:extent cx="694690" cy="299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99720"/>
                                                </a:xfrm>
                                                <a:prstGeom prst="rect">
                                                  <a:avLst/>
                                                </a:prstGeom>
                                                <a:noFill/>
                                                <a:ln>
                                                  <a:noFill/>
                                                </a:ln>
                                              </pic:spPr>
                                            </pic:pic>
                                          </a:graphicData>
                                        </a:graphic>
                                      </wp:inline>
                                    </w:drawing>
                                  </w:r>
                                </w:p>
                                <w:p w14:paraId="218342A5" w14:textId="77777777" w:rsidR="008F74AF" w:rsidRDefault="008F74AF" w:rsidP="00482EE1">
                                  <w:pPr>
                                    <w:jc w:val="center"/>
                                  </w:pPr>
                                  <w:r>
                                    <w:t>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557B3" id="_x0000_s1028" type="#_x0000_t114" style="position:absolute;left:0;text-align:left;margin-left:7.8pt;margin-top:10.6pt;width:109.85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">
                      <v:shadow on="t" offset="6pt,6pt"/>
                      <v:textbox>
                        <w:txbxContent>
                          <w:p w14:paraId="22D302A4" w14:textId="77777777" w:rsidR="008F74AF" w:rsidRDefault="008F74AF" w:rsidP="00482EE1">
                            <w:pPr>
                              <w:pStyle w:val="NormalWeb"/>
                              <w:jc w:val="center"/>
                              <w:rPr>
                                <w:sz w:val="20"/>
                                <w:szCs w:val="20"/>
                              </w:rPr>
                            </w:pPr>
                            <w:r w:rsidRPr="003C5A9C">
                              <w:rPr>
                                <w:sz w:val="20"/>
                                <w:szCs w:val="20"/>
                              </w:rPr>
                              <w:t>Category 2</w:t>
                            </w:r>
                          </w:p>
                          <w:p w14:paraId="14191690" w14:textId="77777777" w:rsidR="008F74AF" w:rsidRDefault="008F74AF" w:rsidP="00482EE1">
                            <w:pPr>
                              <w:pStyle w:val="NormalWeb"/>
                              <w:jc w:val="center"/>
                              <w:rPr>
                                <w:color w:val="000000"/>
                                <w:kern w:val="24"/>
                                <w:sz w:val="20"/>
                                <w:szCs w:val="20"/>
                              </w:rPr>
                            </w:pPr>
                            <w:r>
                              <w:rPr>
                                <w:noProof/>
                                <w:lang w:eastAsia="zh-CN"/>
                              </w:rPr>
                              <w:drawing>
                                <wp:inline distT="0" distB="0" distL="0" distR="0" wp14:anchorId="7C951B10" wp14:editId="7F3C4007">
                                  <wp:extent cx="354965" cy="469900"/>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965" cy="469900"/>
                                          </a:xfrm>
                                          <a:prstGeom prst="rect">
                                            <a:avLst/>
                                          </a:prstGeom>
                                          <a:solidFill>
                                            <a:srgbClr val="FFFFFF"/>
                                          </a:solidFill>
                                          <a:ln>
                                            <a:noFill/>
                                          </a:ln>
                                        </pic:spPr>
                                      </pic:pic>
                                    </a:graphicData>
                                  </a:graphic>
                                </wp:inline>
                              </w:drawing>
                            </w:r>
                            <w:r>
                              <w:rPr>
                                <w:noProof/>
                              </w:rPr>
                              <w:t xml:space="preserve"> </w:t>
                            </w:r>
                            <w:r>
                              <w:rPr>
                                <w:noProof/>
                                <w:lang w:eastAsia="zh-CN"/>
                              </w:rPr>
                              <w:drawing>
                                <wp:inline distT="0" distB="0" distL="0" distR="0" wp14:anchorId="45713944" wp14:editId="23AEAEC3">
                                  <wp:extent cx="694690" cy="299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299720"/>
                                          </a:xfrm>
                                          <a:prstGeom prst="rect">
                                            <a:avLst/>
                                          </a:prstGeom>
                                          <a:noFill/>
                                          <a:ln>
                                            <a:noFill/>
                                          </a:ln>
                                        </pic:spPr>
                                      </pic:pic>
                                    </a:graphicData>
                                  </a:graphic>
                                </wp:inline>
                              </w:drawing>
                            </w:r>
                          </w:p>
                          <w:p w14:paraId="218342A5" w14:textId="77777777" w:rsidR="008F74AF" w:rsidRDefault="008F74AF" w:rsidP="00482EE1">
                            <w:pPr>
                              <w:jc w:val="center"/>
                            </w:pPr>
                            <w:r>
                              <w:t>Warning</w:t>
                            </w:r>
                          </w:p>
                        </w:txbxContent>
                      </v:textbox>
                    </v:shape>
                  </w:pict>
                </mc:Fallback>
              </mc:AlternateContent>
            </w:r>
          </w:p>
        </w:tc>
      </w:tr>
    </w:tbl>
    <w:p w14:paraId="41A4A491" w14:textId="77777777" w:rsidR="00482EE1" w:rsidRDefault="00482EE1" w:rsidP="00482EE1">
      <w:pPr>
        <w:pStyle w:val="SingleTxtG"/>
        <w:ind w:left="1701"/>
        <w:rPr>
          <w:rFonts w:asciiTheme="majorBidi" w:hAnsiTheme="majorBidi" w:cstheme="majorBidi"/>
          <w:i/>
          <w:iCs/>
          <w:u w:val="single"/>
        </w:rPr>
      </w:pPr>
    </w:p>
    <w:p w14:paraId="644A219F" w14:textId="77777777" w:rsidR="00482EE1" w:rsidRPr="00385B2E" w:rsidRDefault="00482EE1" w:rsidP="00482EE1">
      <w:pPr>
        <w:pStyle w:val="SingleTxtG"/>
      </w:pPr>
      <w:r w:rsidRPr="00385B2E">
        <w:rPr>
          <w:i/>
          <w:iCs/>
        </w:rPr>
        <w:t xml:space="preserve">(Ref.Doc: </w:t>
      </w:r>
      <w:r>
        <w:rPr>
          <w:i/>
          <w:iCs/>
        </w:rPr>
        <w:t>Informal document INF.7</w:t>
      </w:r>
      <w:r w:rsidRPr="00385B2E">
        <w:rPr>
          <w:i/>
          <w:iCs/>
        </w:rPr>
        <w:t>)</w:t>
      </w:r>
    </w:p>
    <w:p w14:paraId="0AF8AD87" w14:textId="77777777" w:rsidR="00482EE1" w:rsidRPr="00A657E8" w:rsidRDefault="00482EE1" w:rsidP="00482EE1">
      <w:pPr>
        <w:pStyle w:val="H23G"/>
      </w:pPr>
      <w:r>
        <w:tab/>
        <w:t>3.</w:t>
      </w:r>
      <w:r w:rsidRPr="00A657E8">
        <w:tab/>
        <w:t>Chapter 2.7, paragraphs 2.7.2.1, 2.7.2.4 and 2.7.4</w:t>
      </w:r>
    </w:p>
    <w:p w14:paraId="0125C294" w14:textId="77777777" w:rsidR="00482EE1" w:rsidRDefault="00482EE1" w:rsidP="00482EE1">
      <w:pPr>
        <w:pStyle w:val="SingleTxtG"/>
        <w:rPr>
          <w:rFonts w:asciiTheme="majorBidi" w:hAnsiTheme="majorBidi" w:cstheme="majorBidi"/>
        </w:rPr>
      </w:pPr>
      <w:r w:rsidRPr="00774D00">
        <w:rPr>
          <w:rFonts w:asciiTheme="majorBidi" w:hAnsiTheme="majorBidi" w:cstheme="majorBidi"/>
          <w:i/>
          <w:iCs/>
        </w:rPr>
        <w:t>For</w:t>
      </w:r>
      <w:r>
        <w:rPr>
          <w:rFonts w:asciiTheme="majorBidi" w:hAnsiTheme="majorBidi" w:cstheme="majorBidi"/>
          <w:i/>
          <w:iCs/>
        </w:rPr>
        <w:t xml:space="preserve"> </w:t>
      </w:r>
      <w:r>
        <w:rPr>
          <w:rFonts w:asciiTheme="majorBidi" w:hAnsiTheme="majorBidi" w:cstheme="majorBidi"/>
        </w:rPr>
        <w:t xml:space="preserve">33.2.1 </w:t>
      </w:r>
      <w:r w:rsidRPr="00774D00">
        <w:rPr>
          <w:rFonts w:asciiTheme="majorBidi" w:hAnsiTheme="majorBidi" w:cstheme="majorBidi"/>
          <w:i/>
          <w:iCs/>
        </w:rPr>
        <w:t>read</w:t>
      </w:r>
      <w:r>
        <w:rPr>
          <w:rFonts w:asciiTheme="majorBidi" w:hAnsiTheme="majorBidi" w:cstheme="majorBidi"/>
        </w:rPr>
        <w:t xml:space="preserve"> 33.2</w:t>
      </w:r>
    </w:p>
    <w:p w14:paraId="20A65387" w14:textId="77777777" w:rsidR="00482EE1" w:rsidRPr="00385B2E" w:rsidRDefault="00482EE1" w:rsidP="00482EE1">
      <w:pPr>
        <w:pStyle w:val="SingleTxtG"/>
      </w:pPr>
      <w:r w:rsidRPr="00385B2E">
        <w:rPr>
          <w:i/>
          <w:iCs/>
        </w:rPr>
        <w:t xml:space="preserve">(Ref.Doc: </w:t>
      </w:r>
      <w:r>
        <w:rPr>
          <w:i/>
          <w:iCs/>
        </w:rPr>
        <w:t>Informal document INF.7</w:t>
      </w:r>
      <w:r w:rsidRPr="00385B2E">
        <w:rPr>
          <w:i/>
          <w:iCs/>
        </w:rPr>
        <w:t>)</w:t>
      </w:r>
    </w:p>
    <w:p w14:paraId="27DF1885" w14:textId="77777777" w:rsidR="00482EE1" w:rsidRPr="00A657E8" w:rsidRDefault="00482EE1" w:rsidP="00482EE1">
      <w:pPr>
        <w:pStyle w:val="H23G"/>
      </w:pPr>
      <w:r>
        <w:tab/>
        <w:t>4.</w:t>
      </w:r>
      <w:r>
        <w:tab/>
      </w:r>
      <w:r w:rsidRPr="00A657E8">
        <w:t>Chapter 2.9, paragraphs 2.9.2 and 2.9.4.1</w:t>
      </w:r>
    </w:p>
    <w:p w14:paraId="34BC6751" w14:textId="77777777" w:rsidR="00482EE1" w:rsidRDefault="00482EE1" w:rsidP="00482EE1">
      <w:pPr>
        <w:pStyle w:val="SingleTxtG"/>
        <w:rPr>
          <w:rFonts w:asciiTheme="majorBidi" w:hAnsiTheme="majorBidi" w:cstheme="majorBidi"/>
        </w:rPr>
      </w:pPr>
      <w:r w:rsidRPr="00774D00">
        <w:rPr>
          <w:rFonts w:asciiTheme="majorBidi" w:hAnsiTheme="majorBidi" w:cstheme="majorBidi"/>
          <w:i/>
          <w:iCs/>
        </w:rPr>
        <w:t>For</w:t>
      </w:r>
      <w:r>
        <w:rPr>
          <w:rFonts w:asciiTheme="majorBidi" w:hAnsiTheme="majorBidi" w:cstheme="majorBidi"/>
          <w:i/>
          <w:iCs/>
        </w:rPr>
        <w:t xml:space="preserve"> </w:t>
      </w:r>
      <w:r>
        <w:rPr>
          <w:rFonts w:asciiTheme="majorBidi" w:hAnsiTheme="majorBidi" w:cstheme="majorBidi"/>
        </w:rPr>
        <w:t xml:space="preserve">33.3.1.5 </w:t>
      </w:r>
      <w:r w:rsidRPr="00774D00">
        <w:rPr>
          <w:rFonts w:asciiTheme="majorBidi" w:hAnsiTheme="majorBidi" w:cstheme="majorBidi"/>
          <w:i/>
          <w:iCs/>
        </w:rPr>
        <w:t>read</w:t>
      </w:r>
      <w:r>
        <w:rPr>
          <w:rFonts w:asciiTheme="majorBidi" w:hAnsiTheme="majorBidi" w:cstheme="majorBidi"/>
        </w:rPr>
        <w:t xml:space="preserve"> 33.4.5</w:t>
      </w:r>
    </w:p>
    <w:p w14:paraId="3AD46B13" w14:textId="77777777" w:rsidR="00482EE1" w:rsidRPr="00385B2E" w:rsidRDefault="00482EE1" w:rsidP="00482EE1">
      <w:pPr>
        <w:pStyle w:val="SingleTxtG"/>
      </w:pPr>
      <w:r w:rsidRPr="00385B2E">
        <w:rPr>
          <w:i/>
          <w:iCs/>
        </w:rPr>
        <w:t xml:space="preserve">(Ref.Doc: </w:t>
      </w:r>
      <w:r>
        <w:rPr>
          <w:i/>
          <w:iCs/>
        </w:rPr>
        <w:t>Informal document INF.7</w:t>
      </w:r>
      <w:r w:rsidRPr="00385B2E">
        <w:rPr>
          <w:i/>
          <w:iCs/>
        </w:rPr>
        <w:t>)</w:t>
      </w:r>
    </w:p>
    <w:p w14:paraId="021C9588" w14:textId="77777777" w:rsidR="00482EE1" w:rsidRPr="00A657E8" w:rsidRDefault="00482EE1" w:rsidP="00482EE1">
      <w:pPr>
        <w:pStyle w:val="H23G"/>
      </w:pPr>
      <w:r>
        <w:tab/>
        <w:t>5.</w:t>
      </w:r>
      <w:r w:rsidRPr="00A657E8">
        <w:tab/>
        <w:t>Chapter 2.10, paragraphs 2.10.2 and 2.10.4.1</w:t>
      </w:r>
    </w:p>
    <w:p w14:paraId="1DA12121" w14:textId="77777777" w:rsidR="00482EE1" w:rsidRDefault="00482EE1" w:rsidP="00482EE1">
      <w:pPr>
        <w:pStyle w:val="SingleTxtG"/>
        <w:rPr>
          <w:rFonts w:asciiTheme="majorBidi" w:hAnsiTheme="majorBidi" w:cstheme="majorBidi"/>
        </w:rPr>
      </w:pPr>
      <w:r w:rsidRPr="00774D00">
        <w:rPr>
          <w:rFonts w:asciiTheme="majorBidi" w:hAnsiTheme="majorBidi" w:cstheme="majorBidi"/>
          <w:i/>
          <w:iCs/>
        </w:rPr>
        <w:t>For</w:t>
      </w:r>
      <w:r>
        <w:rPr>
          <w:rFonts w:asciiTheme="majorBidi" w:hAnsiTheme="majorBidi" w:cstheme="majorBidi"/>
          <w:i/>
          <w:iCs/>
        </w:rPr>
        <w:t xml:space="preserve"> </w:t>
      </w:r>
      <w:r>
        <w:rPr>
          <w:rFonts w:asciiTheme="majorBidi" w:hAnsiTheme="majorBidi" w:cstheme="majorBidi"/>
        </w:rPr>
        <w:t xml:space="preserve">33.3.1.4 </w:t>
      </w:r>
      <w:r w:rsidRPr="00774D00">
        <w:rPr>
          <w:rFonts w:asciiTheme="majorBidi" w:hAnsiTheme="majorBidi" w:cstheme="majorBidi"/>
          <w:i/>
          <w:iCs/>
        </w:rPr>
        <w:t>read</w:t>
      </w:r>
      <w:r>
        <w:rPr>
          <w:rFonts w:asciiTheme="majorBidi" w:hAnsiTheme="majorBidi" w:cstheme="majorBidi"/>
        </w:rPr>
        <w:t xml:space="preserve"> 33.4.4</w:t>
      </w:r>
    </w:p>
    <w:p w14:paraId="4980B499" w14:textId="77777777" w:rsidR="00482EE1" w:rsidRDefault="00482EE1" w:rsidP="00482EE1">
      <w:pPr>
        <w:pStyle w:val="SingleTxtG"/>
        <w:rPr>
          <w:rFonts w:asciiTheme="majorBidi" w:hAnsiTheme="majorBidi" w:cstheme="majorBidi"/>
        </w:rPr>
      </w:pPr>
      <w:r w:rsidRPr="00385B2E">
        <w:rPr>
          <w:i/>
          <w:iCs/>
        </w:rPr>
        <w:t xml:space="preserve">(Ref.Doc: </w:t>
      </w:r>
      <w:r>
        <w:rPr>
          <w:i/>
          <w:iCs/>
        </w:rPr>
        <w:t>Informal document INF.7</w:t>
      </w:r>
      <w:r w:rsidRPr="00385B2E">
        <w:rPr>
          <w:i/>
          <w:iCs/>
        </w:rPr>
        <w:t>)</w:t>
      </w:r>
    </w:p>
    <w:p w14:paraId="699D389B" w14:textId="77777777" w:rsidR="00482EE1" w:rsidRPr="00A657E8" w:rsidRDefault="00482EE1" w:rsidP="00482EE1">
      <w:pPr>
        <w:pStyle w:val="H23G"/>
      </w:pPr>
      <w:r>
        <w:tab/>
        <w:t>6.</w:t>
      </w:r>
      <w:r w:rsidRPr="00A657E8">
        <w:tab/>
        <w:t>Chapter 2.11, paragraphs 2.11.2.1, 2.11.2.2 and 2.11.4.1</w:t>
      </w:r>
    </w:p>
    <w:p w14:paraId="4F918925" w14:textId="77777777" w:rsidR="00482EE1" w:rsidRDefault="00482EE1" w:rsidP="00482EE1">
      <w:pPr>
        <w:pStyle w:val="SingleTxtG"/>
        <w:keepNext/>
        <w:keepLines/>
        <w:rPr>
          <w:rFonts w:asciiTheme="majorBidi" w:hAnsiTheme="majorBidi" w:cstheme="majorBidi"/>
        </w:rPr>
      </w:pPr>
      <w:r w:rsidRPr="00774D00">
        <w:rPr>
          <w:rFonts w:asciiTheme="majorBidi" w:hAnsiTheme="majorBidi" w:cstheme="majorBidi"/>
          <w:i/>
          <w:iCs/>
        </w:rPr>
        <w:t>For</w:t>
      </w:r>
      <w:r>
        <w:rPr>
          <w:rFonts w:asciiTheme="majorBidi" w:hAnsiTheme="majorBidi" w:cstheme="majorBidi"/>
          <w:i/>
          <w:iCs/>
        </w:rPr>
        <w:t xml:space="preserve"> </w:t>
      </w:r>
      <w:r>
        <w:rPr>
          <w:rFonts w:asciiTheme="majorBidi" w:hAnsiTheme="majorBidi" w:cstheme="majorBidi"/>
        </w:rPr>
        <w:t xml:space="preserve">33.3.1.6 </w:t>
      </w:r>
      <w:r w:rsidRPr="00774D00">
        <w:rPr>
          <w:rFonts w:asciiTheme="majorBidi" w:hAnsiTheme="majorBidi" w:cstheme="majorBidi"/>
          <w:i/>
          <w:iCs/>
        </w:rPr>
        <w:t>read</w:t>
      </w:r>
      <w:r>
        <w:rPr>
          <w:rFonts w:asciiTheme="majorBidi" w:hAnsiTheme="majorBidi" w:cstheme="majorBidi"/>
        </w:rPr>
        <w:t xml:space="preserve"> 33.4.6</w:t>
      </w:r>
    </w:p>
    <w:p w14:paraId="1D472D6E" w14:textId="77777777" w:rsidR="00482EE1" w:rsidRDefault="00482EE1" w:rsidP="00482EE1">
      <w:pPr>
        <w:pStyle w:val="SingleTxtG"/>
        <w:rPr>
          <w:rFonts w:asciiTheme="majorBidi" w:hAnsiTheme="majorBidi" w:cstheme="majorBidi"/>
        </w:rPr>
      </w:pPr>
      <w:r w:rsidRPr="00385B2E">
        <w:rPr>
          <w:i/>
          <w:iCs/>
        </w:rPr>
        <w:t xml:space="preserve">(Ref.Doc: </w:t>
      </w:r>
      <w:r>
        <w:rPr>
          <w:i/>
          <w:iCs/>
        </w:rPr>
        <w:t>Informal document INF.7</w:t>
      </w:r>
      <w:r w:rsidRPr="00385B2E">
        <w:rPr>
          <w:i/>
          <w:iCs/>
        </w:rPr>
        <w:t>)</w:t>
      </w:r>
    </w:p>
    <w:p w14:paraId="4EA69865" w14:textId="77777777" w:rsidR="00482EE1" w:rsidRPr="00A657E8" w:rsidRDefault="00482EE1" w:rsidP="00482EE1">
      <w:pPr>
        <w:pStyle w:val="H23G"/>
      </w:pPr>
      <w:r>
        <w:tab/>
        <w:t>7.</w:t>
      </w:r>
      <w:r w:rsidRPr="00A657E8">
        <w:tab/>
        <w:t>Chapter 2.12, paragraphs 2.12.2 and 2.12.4.1</w:t>
      </w:r>
    </w:p>
    <w:p w14:paraId="683146D0" w14:textId="77777777" w:rsidR="00482EE1" w:rsidRDefault="00482EE1" w:rsidP="00482EE1">
      <w:pPr>
        <w:pStyle w:val="SingleTxtG"/>
        <w:rPr>
          <w:rFonts w:asciiTheme="majorBidi" w:hAnsiTheme="majorBidi" w:cstheme="majorBidi"/>
        </w:rPr>
      </w:pPr>
      <w:r>
        <w:rPr>
          <w:rFonts w:asciiTheme="majorBidi" w:hAnsiTheme="majorBidi" w:cstheme="majorBidi"/>
          <w:i/>
          <w:iCs/>
        </w:rPr>
        <w:t>F</w:t>
      </w:r>
      <w:r w:rsidRPr="00FF0DA3">
        <w:rPr>
          <w:rFonts w:asciiTheme="majorBidi" w:hAnsiTheme="majorBidi" w:cstheme="majorBidi"/>
          <w:i/>
          <w:iCs/>
        </w:rPr>
        <w:t xml:space="preserve">or </w:t>
      </w:r>
      <w:r w:rsidRPr="00FF0DA3">
        <w:rPr>
          <w:rFonts w:asciiTheme="majorBidi" w:hAnsiTheme="majorBidi" w:cstheme="majorBidi"/>
        </w:rPr>
        <w:t xml:space="preserve">33.4.1.4 </w:t>
      </w:r>
      <w:r w:rsidRPr="00FF0DA3">
        <w:rPr>
          <w:rFonts w:asciiTheme="majorBidi" w:hAnsiTheme="majorBidi" w:cstheme="majorBidi"/>
          <w:i/>
          <w:iCs/>
        </w:rPr>
        <w:t>read</w:t>
      </w:r>
      <w:r w:rsidRPr="00FF0DA3">
        <w:rPr>
          <w:rFonts w:asciiTheme="majorBidi" w:hAnsiTheme="majorBidi" w:cstheme="majorBidi"/>
        </w:rPr>
        <w:t xml:space="preserve"> 33.5.4</w:t>
      </w:r>
    </w:p>
    <w:p w14:paraId="45767786" w14:textId="77777777" w:rsidR="00482EE1" w:rsidRDefault="00482EE1" w:rsidP="00482EE1">
      <w:pPr>
        <w:pStyle w:val="SingleTxtG"/>
        <w:rPr>
          <w:i/>
          <w:iCs/>
        </w:rPr>
      </w:pPr>
      <w:r w:rsidRPr="00385B2E">
        <w:rPr>
          <w:i/>
          <w:iCs/>
        </w:rPr>
        <w:lastRenderedPageBreak/>
        <w:t xml:space="preserve">(Ref.Doc: </w:t>
      </w:r>
      <w:r>
        <w:rPr>
          <w:i/>
          <w:iCs/>
        </w:rPr>
        <w:t>Informal document INF.7</w:t>
      </w:r>
      <w:r w:rsidRPr="00385B2E">
        <w:rPr>
          <w:i/>
          <w:iCs/>
        </w:rPr>
        <w:t>)</w:t>
      </w:r>
    </w:p>
    <w:p w14:paraId="6CD420F9" w14:textId="77777777" w:rsidR="00482EE1" w:rsidRPr="009E1059" w:rsidRDefault="00482EE1" w:rsidP="00482EE1">
      <w:pPr>
        <w:pStyle w:val="H23G"/>
      </w:pPr>
      <w:r>
        <w:tab/>
        <w:t>8.</w:t>
      </w:r>
      <w:r>
        <w:tab/>
      </w:r>
      <w:r w:rsidRPr="009E1059">
        <w:t>Chapter 2.14, table 2.14.1</w:t>
      </w:r>
      <w:r>
        <w:t>, under “</w:t>
      </w:r>
      <w:r w:rsidRPr="00907086">
        <w:t>Criteria using test O.3”, Category 1</w:t>
      </w:r>
    </w:p>
    <w:p w14:paraId="2101F3BC" w14:textId="77777777" w:rsidR="00482EE1" w:rsidRPr="009E1059" w:rsidRDefault="00482EE1" w:rsidP="00482EE1">
      <w:pPr>
        <w:pStyle w:val="SingleTxtG"/>
      </w:pPr>
      <w:r w:rsidRPr="009E1059">
        <w:t>The correction does not apply to the English version</w:t>
      </w:r>
    </w:p>
    <w:p w14:paraId="62F02FC3" w14:textId="77777777" w:rsidR="00482EE1" w:rsidRDefault="00482EE1" w:rsidP="00482EE1">
      <w:pPr>
        <w:pStyle w:val="SingleTxtG"/>
        <w:rPr>
          <w:i/>
          <w:iCs/>
        </w:rPr>
      </w:pPr>
      <w:r w:rsidRPr="00385B2E">
        <w:rPr>
          <w:i/>
          <w:iCs/>
        </w:rPr>
        <w:t xml:space="preserve">(Ref.Doc: </w:t>
      </w:r>
      <w:r>
        <w:rPr>
          <w:i/>
          <w:iCs/>
        </w:rPr>
        <w:t>Informal document INF.7</w:t>
      </w:r>
      <w:r w:rsidRPr="00385B2E">
        <w:rPr>
          <w:i/>
          <w:iCs/>
        </w:rPr>
        <w:t>)</w:t>
      </w:r>
    </w:p>
    <w:p w14:paraId="33653C15" w14:textId="77777777" w:rsidR="00482EE1" w:rsidRPr="00A657E8" w:rsidRDefault="00482EE1" w:rsidP="00482EE1">
      <w:pPr>
        <w:pStyle w:val="H23G"/>
      </w:pPr>
      <w:r>
        <w:tab/>
        <w:t>9.</w:t>
      </w:r>
      <w:r>
        <w:tab/>
      </w:r>
      <w:r w:rsidRPr="00A657E8">
        <w:t>Chapter 3.2, decision logic 3.2.1</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559"/>
        <w:gridCol w:w="709"/>
        <w:gridCol w:w="1559"/>
      </w:tblGrid>
      <w:tr w:rsidR="00482EE1" w14:paraId="135FC445" w14:textId="77777777" w:rsidTr="00075DF7">
        <w:tc>
          <w:tcPr>
            <w:tcW w:w="421" w:type="dxa"/>
          </w:tcPr>
          <w:p w14:paraId="4DBECF37" w14:textId="77777777" w:rsidR="00482EE1" w:rsidRPr="001B4120" w:rsidRDefault="00482EE1" w:rsidP="00075DF7">
            <w:pPr>
              <w:jc w:val="center"/>
              <w:rPr>
                <w:i/>
                <w:iCs/>
              </w:rPr>
            </w:pPr>
            <w:r w:rsidRPr="001B4120">
              <w:rPr>
                <w:i/>
                <w:iCs/>
              </w:rPr>
              <w:t>For</w:t>
            </w:r>
          </w:p>
        </w:tc>
        <w:tc>
          <w:tcPr>
            <w:tcW w:w="1559" w:type="dxa"/>
          </w:tcPr>
          <w:p w14:paraId="2C2045CD" w14:textId="77777777" w:rsidR="00482EE1" w:rsidRDefault="00482EE1" w:rsidP="00075DF7">
            <w:pPr>
              <w:jc w:val="center"/>
            </w:pPr>
            <w:r w:rsidRPr="001B4120">
              <w:rPr>
                <w:noProof/>
              </w:rPr>
              <w:drawing>
                <wp:inline distT="0" distB="0" distL="0" distR="0" wp14:anchorId="604EA1FC" wp14:editId="43A91D3C">
                  <wp:extent cx="790833" cy="123953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784" cy="1248858"/>
                          </a:xfrm>
                          <a:prstGeom prst="rect">
                            <a:avLst/>
                          </a:prstGeom>
                          <a:noFill/>
                          <a:ln>
                            <a:noFill/>
                          </a:ln>
                        </pic:spPr>
                      </pic:pic>
                    </a:graphicData>
                  </a:graphic>
                </wp:inline>
              </w:drawing>
            </w:r>
          </w:p>
        </w:tc>
        <w:tc>
          <w:tcPr>
            <w:tcW w:w="709" w:type="dxa"/>
          </w:tcPr>
          <w:p w14:paraId="6D2294A0" w14:textId="77777777" w:rsidR="00482EE1" w:rsidRPr="001B4120" w:rsidRDefault="00482EE1" w:rsidP="00075DF7">
            <w:pPr>
              <w:jc w:val="center"/>
              <w:rPr>
                <w:i/>
                <w:iCs/>
              </w:rPr>
            </w:pPr>
            <w:r w:rsidRPr="001B4120">
              <w:rPr>
                <w:i/>
                <w:iCs/>
              </w:rPr>
              <w:t>read</w:t>
            </w:r>
          </w:p>
        </w:tc>
        <w:tc>
          <w:tcPr>
            <w:tcW w:w="1559" w:type="dxa"/>
          </w:tcPr>
          <w:p w14:paraId="62AC9F15" w14:textId="77777777" w:rsidR="00482EE1" w:rsidRDefault="00482EE1" w:rsidP="00075DF7">
            <w:r w:rsidRPr="001B4120">
              <w:rPr>
                <w:noProof/>
              </w:rPr>
              <w:drawing>
                <wp:inline distT="0" distB="0" distL="0" distR="0" wp14:anchorId="49D354B9" wp14:editId="4B661373">
                  <wp:extent cx="978604" cy="120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2121" cy="1245961"/>
                          </a:xfrm>
                          <a:prstGeom prst="rect">
                            <a:avLst/>
                          </a:prstGeom>
                          <a:noFill/>
                          <a:ln>
                            <a:noFill/>
                          </a:ln>
                        </pic:spPr>
                      </pic:pic>
                    </a:graphicData>
                  </a:graphic>
                </wp:inline>
              </w:drawing>
            </w:r>
          </w:p>
        </w:tc>
      </w:tr>
    </w:tbl>
    <w:p w14:paraId="5BF94429" w14:textId="77777777" w:rsidR="00482EE1" w:rsidRPr="00385B2E" w:rsidRDefault="00482EE1" w:rsidP="00482EE1">
      <w:pPr>
        <w:pStyle w:val="SingleTxtG"/>
      </w:pPr>
      <w:r w:rsidRPr="00385B2E">
        <w:rPr>
          <w:i/>
          <w:iCs/>
        </w:rPr>
        <w:t xml:space="preserve">(Ref.Doc: </w:t>
      </w:r>
      <w:r>
        <w:rPr>
          <w:i/>
          <w:iCs/>
        </w:rPr>
        <w:t>Informal document INF.7</w:t>
      </w:r>
      <w:r w:rsidRPr="00385B2E">
        <w:rPr>
          <w:i/>
          <w:iCs/>
        </w:rPr>
        <w:t>)</w:t>
      </w:r>
    </w:p>
    <w:p w14:paraId="04B8C279" w14:textId="6899BDBA" w:rsidR="00482EE1" w:rsidRDefault="00482EE1" w:rsidP="00482EE1">
      <w:pPr>
        <w:pStyle w:val="H23G"/>
      </w:pPr>
      <w:r>
        <w:tab/>
        <w:t>10.</w:t>
      </w:r>
      <w:r>
        <w:tab/>
        <w:t>Annex 1, table A1.29 (b), hazard statements H410, H411 and H412</w:t>
      </w:r>
    </w:p>
    <w:p w14:paraId="3F094CD0" w14:textId="77777777" w:rsidR="00482EE1" w:rsidRDefault="00482EE1" w:rsidP="00482EE1">
      <w:pPr>
        <w:spacing w:after="240"/>
      </w:pPr>
      <w:r>
        <w:tab/>
      </w:r>
      <w:r>
        <w:tab/>
        <w:t>The correction does not apply to the English version</w:t>
      </w:r>
    </w:p>
    <w:p w14:paraId="62D48B85" w14:textId="77777777" w:rsidR="00482EE1" w:rsidRDefault="00482EE1" w:rsidP="00482EE1">
      <w:pPr>
        <w:pStyle w:val="SingleTxtG"/>
        <w:rPr>
          <w:i/>
          <w:iCs/>
        </w:rPr>
      </w:pPr>
      <w:r w:rsidRPr="00385B2E">
        <w:rPr>
          <w:i/>
          <w:iCs/>
        </w:rPr>
        <w:t>(Ref.Doc: ST/SG/AC.10/C.4/2019/</w:t>
      </w:r>
      <w:r>
        <w:rPr>
          <w:i/>
          <w:iCs/>
        </w:rPr>
        <w:t>8</w:t>
      </w:r>
      <w:r w:rsidRPr="00385B2E">
        <w:rPr>
          <w:i/>
          <w:iCs/>
        </w:rPr>
        <w:t>)</w:t>
      </w:r>
    </w:p>
    <w:p w14:paraId="0EF963DB" w14:textId="77777777" w:rsidR="00482EE1" w:rsidRDefault="00482EE1" w:rsidP="00482EE1">
      <w:pPr>
        <w:pStyle w:val="H23G"/>
      </w:pPr>
      <w:r>
        <w:tab/>
        <w:t>11.</w:t>
      </w:r>
      <w:r>
        <w:tab/>
        <w:t>Annex 3 section 1, table A3.1.3, column (2), hazard statements H410, H411 et H412</w:t>
      </w:r>
    </w:p>
    <w:p w14:paraId="107889AD" w14:textId="77777777" w:rsidR="00482EE1" w:rsidRDefault="00482EE1" w:rsidP="00482EE1">
      <w:pPr>
        <w:spacing w:after="240"/>
      </w:pPr>
      <w:r>
        <w:tab/>
      </w:r>
      <w:r>
        <w:tab/>
        <w:t>The corrections do not apply to the English version</w:t>
      </w:r>
    </w:p>
    <w:p w14:paraId="7B465F67" w14:textId="77777777" w:rsidR="00482EE1" w:rsidRDefault="00482EE1" w:rsidP="00482EE1">
      <w:pPr>
        <w:pStyle w:val="SingleTxtG"/>
        <w:rPr>
          <w:i/>
          <w:iCs/>
        </w:rPr>
      </w:pPr>
      <w:r w:rsidRPr="00385B2E">
        <w:rPr>
          <w:i/>
          <w:iCs/>
        </w:rPr>
        <w:t>(Ref.Doc: ST/SG/AC.10/C.4/2019/</w:t>
      </w:r>
      <w:r>
        <w:rPr>
          <w:i/>
          <w:iCs/>
        </w:rPr>
        <w:t>8</w:t>
      </w:r>
      <w:r w:rsidRPr="00385B2E">
        <w:rPr>
          <w:i/>
          <w:iCs/>
        </w:rPr>
        <w:t>)</w:t>
      </w:r>
    </w:p>
    <w:p w14:paraId="55C6DD0A" w14:textId="77777777" w:rsidR="00482EE1" w:rsidRDefault="00482EE1" w:rsidP="00482EE1">
      <w:pPr>
        <w:pStyle w:val="H23G"/>
      </w:pPr>
      <w:r>
        <w:tab/>
        <w:t>12.</w:t>
      </w:r>
      <w:r>
        <w:tab/>
        <w:t>Annex 3, Section 3, matrix of precautionary statements for pyrophoric liquids (Chapter 2.9) and pyrophoric solids (chapter 2.10)</w:t>
      </w:r>
    </w:p>
    <w:p w14:paraId="491AB4C1" w14:textId="77777777" w:rsidR="00482EE1" w:rsidRPr="00A93472" w:rsidRDefault="00482EE1" w:rsidP="00482EE1">
      <w:pPr>
        <w:pStyle w:val="H23G"/>
        <w:rPr>
          <w:b w:val="0"/>
          <w:bCs/>
        </w:rPr>
      </w:pPr>
      <w:r w:rsidRPr="00A93472">
        <w:rPr>
          <w:b w:val="0"/>
          <w:bCs/>
        </w:rPr>
        <w:tab/>
      </w:r>
      <w:r w:rsidRPr="00A93472">
        <w:rPr>
          <w:b w:val="0"/>
          <w:bCs/>
        </w:rPr>
        <w:tab/>
        <w:t xml:space="preserve">Under “Prevention” </w:t>
      </w:r>
      <w:r w:rsidRPr="00A93472">
        <w:rPr>
          <w:b w:val="0"/>
          <w:bCs/>
          <w:i/>
          <w:iCs/>
        </w:rPr>
        <w:t>insert</w:t>
      </w:r>
      <w:r w:rsidRPr="00A93472">
        <w:rPr>
          <w:b w:val="0"/>
          <w:bCs/>
        </w:rPr>
        <w:t xml:space="preserve"> </w:t>
      </w:r>
    </w:p>
    <w:p w14:paraId="20952E13" w14:textId="77777777" w:rsidR="00482EE1" w:rsidRDefault="00482EE1" w:rsidP="00482EE1">
      <w:pPr>
        <w:pStyle w:val="SingleTxtG"/>
        <w:spacing w:after="0"/>
        <w:ind w:left="1701"/>
        <w:rPr>
          <w:b/>
          <w:bCs/>
        </w:rPr>
      </w:pPr>
      <w:r w:rsidRPr="00BA779A">
        <w:t>P231</w:t>
      </w:r>
      <w:r>
        <w:rPr>
          <w:b/>
          <w:bCs/>
        </w:rPr>
        <w:t xml:space="preserve"> </w:t>
      </w:r>
      <w:r>
        <w:rPr>
          <w:b/>
          <w:bCs/>
        </w:rPr>
        <w:br/>
        <w:t>Handle and store contents under inert gas/…</w:t>
      </w:r>
    </w:p>
    <w:p w14:paraId="16156034" w14:textId="77777777" w:rsidR="00482EE1" w:rsidRDefault="00482EE1" w:rsidP="00482EE1">
      <w:pPr>
        <w:pStyle w:val="SingleTxtG"/>
        <w:ind w:left="1701"/>
      </w:pPr>
      <w:r>
        <w:t>…Manufacturer/supplier or the competent authority to specify appropriate liquid or gas if “inert gas” is not appropriate.</w:t>
      </w:r>
    </w:p>
    <w:p w14:paraId="4D186170" w14:textId="77777777" w:rsidR="00482EE1" w:rsidRDefault="00482EE1" w:rsidP="00482EE1">
      <w:pPr>
        <w:pStyle w:val="SingleTxtG"/>
        <w:rPr>
          <w:i/>
          <w:iCs/>
        </w:rPr>
      </w:pPr>
      <w:r w:rsidRPr="00385B2E">
        <w:rPr>
          <w:i/>
          <w:iCs/>
        </w:rPr>
        <w:t>(</w:t>
      </w:r>
      <w:r>
        <w:rPr>
          <w:i/>
          <w:iCs/>
        </w:rPr>
        <w:t>Ref.Doc.</w:t>
      </w:r>
      <w:r w:rsidRPr="00385B2E">
        <w:rPr>
          <w:i/>
          <w:iCs/>
        </w:rPr>
        <w:t>: ST/SG/AC.10/C.4/2019/</w:t>
      </w:r>
      <w:r>
        <w:rPr>
          <w:i/>
          <w:iCs/>
        </w:rPr>
        <w:t>15)</w:t>
      </w:r>
    </w:p>
    <w:p w14:paraId="3B5EE885" w14:textId="77777777" w:rsidR="00482EE1" w:rsidRDefault="00482EE1" w:rsidP="00482EE1">
      <w:pPr>
        <w:pStyle w:val="H23G"/>
      </w:pPr>
      <w:r>
        <w:tab/>
        <w:t>13.</w:t>
      </w:r>
      <w:r>
        <w:tab/>
        <w:t>Annex 3, Section 3, matrix of precautionary statements for eye damage/irritation</w:t>
      </w:r>
      <w:r w:rsidRPr="00CA3BE0">
        <w:t xml:space="preserve"> </w:t>
      </w:r>
      <w:r>
        <w:t>(chapter 3.3), hazard categories 1, 2/2A, 2B</w:t>
      </w:r>
    </w:p>
    <w:p w14:paraId="430B0032" w14:textId="77777777" w:rsidR="00482EE1" w:rsidRDefault="00482EE1" w:rsidP="00482EE1">
      <w:pPr>
        <w:pStyle w:val="SingleTxtG"/>
      </w:pPr>
      <w:r>
        <w:t xml:space="preserve">In the heading of the tables, </w:t>
      </w:r>
      <w:r w:rsidRPr="00CF0BE8">
        <w:rPr>
          <w:i/>
          <w:iCs/>
        </w:rPr>
        <w:t>for</w:t>
      </w:r>
      <w:r w:rsidRPr="00CF0BE8">
        <w:t xml:space="preserve"> </w:t>
      </w:r>
      <w:r>
        <w:t xml:space="preserve">EYE DAMAGE/IRRITATION </w:t>
      </w:r>
      <w:r w:rsidRPr="00CF0BE8">
        <w:rPr>
          <w:i/>
          <w:iCs/>
        </w:rPr>
        <w:t>read</w:t>
      </w:r>
      <w:r>
        <w:t xml:space="preserve"> SERIOUS EYE DAMAGE/EYE IRRITATION (CHAPTER 3.3)</w:t>
      </w:r>
    </w:p>
    <w:p w14:paraId="18135BC1" w14:textId="77777777" w:rsidR="00482EE1" w:rsidRDefault="00482EE1" w:rsidP="00482EE1">
      <w:pPr>
        <w:pStyle w:val="SingleTxtG"/>
        <w:rPr>
          <w:i/>
          <w:iCs/>
        </w:rPr>
      </w:pPr>
      <w:r w:rsidRPr="00385B2E">
        <w:rPr>
          <w:i/>
          <w:iCs/>
        </w:rPr>
        <w:t>(</w:t>
      </w:r>
      <w:r>
        <w:rPr>
          <w:i/>
          <w:iCs/>
        </w:rPr>
        <w:t>Ref.Doc.</w:t>
      </w:r>
      <w:r w:rsidRPr="00385B2E">
        <w:rPr>
          <w:i/>
          <w:iCs/>
        </w:rPr>
        <w:t>: ST/SG/AC.10/C.4/2019/</w:t>
      </w:r>
      <w:r>
        <w:rPr>
          <w:i/>
          <w:iCs/>
        </w:rPr>
        <w:t>15)</w:t>
      </w:r>
    </w:p>
    <w:p w14:paraId="39B3A992" w14:textId="77777777" w:rsidR="00482EE1" w:rsidRDefault="00482EE1" w:rsidP="00482EE1">
      <w:pPr>
        <w:pStyle w:val="H23G"/>
      </w:pPr>
      <w:r>
        <w:tab/>
        <w:t>14.</w:t>
      </w:r>
      <w:r>
        <w:tab/>
        <w:t>Annex 3, Section 3, matrix of precautionary statements for hazardous to the aquatic environment (long-term hazard) categories 1,2 and 3, hazard statements H410, H411 et H412</w:t>
      </w:r>
    </w:p>
    <w:p w14:paraId="3C7D1131" w14:textId="77777777" w:rsidR="00482EE1" w:rsidRDefault="00482EE1" w:rsidP="00482EE1">
      <w:pPr>
        <w:spacing w:after="240"/>
      </w:pPr>
      <w:r>
        <w:tab/>
      </w:r>
      <w:r>
        <w:tab/>
        <w:t>The corrections do not apply to the English version</w:t>
      </w:r>
    </w:p>
    <w:p w14:paraId="250965C3" w14:textId="77777777" w:rsidR="00482EE1" w:rsidRDefault="00482EE1" w:rsidP="00482EE1">
      <w:pPr>
        <w:pStyle w:val="SingleTxtG"/>
        <w:rPr>
          <w:i/>
          <w:iCs/>
        </w:rPr>
      </w:pPr>
      <w:r w:rsidRPr="00385B2E">
        <w:rPr>
          <w:i/>
          <w:iCs/>
        </w:rPr>
        <w:lastRenderedPageBreak/>
        <w:t>(Ref.Doc: ST/SG/AC.10/C.4/2019/</w:t>
      </w:r>
      <w:r>
        <w:rPr>
          <w:i/>
          <w:iCs/>
        </w:rPr>
        <w:t>8</w:t>
      </w:r>
      <w:r w:rsidRPr="00385B2E">
        <w:rPr>
          <w:i/>
          <w:iCs/>
        </w:rPr>
        <w:t>)</w:t>
      </w:r>
    </w:p>
    <w:p w14:paraId="74919EF6" w14:textId="77777777" w:rsidR="00482EE1" w:rsidRPr="000C4044" w:rsidRDefault="00482EE1" w:rsidP="00482EE1">
      <w:pPr>
        <w:pStyle w:val="H23G"/>
      </w:pPr>
      <w:r>
        <w:tab/>
        <w:t>15.</w:t>
      </w:r>
      <w:r>
        <w:tab/>
      </w:r>
      <w:r w:rsidRPr="00385B2E">
        <w:t>Annex 7, example 10, scenario B</w:t>
      </w:r>
    </w:p>
    <w:p w14:paraId="118C3B41" w14:textId="77777777" w:rsidR="00482EE1" w:rsidRPr="00914005" w:rsidRDefault="00482EE1" w:rsidP="00482EE1">
      <w:pPr>
        <w:pStyle w:val="SingleTxtG"/>
      </w:pPr>
      <w:r w:rsidRPr="00914005">
        <w:t xml:space="preserve">Replace the figure </w:t>
      </w:r>
      <w:r>
        <w:t>with</w:t>
      </w:r>
      <w:r w:rsidRPr="00914005">
        <w:t xml:space="preserve"> an example of an inner receptacle label for sample 1, with the figure below:</w:t>
      </w:r>
    </w:p>
    <w:p w14:paraId="4BC9F811" w14:textId="77777777" w:rsidR="00482EE1" w:rsidRDefault="00482EE1" w:rsidP="00482EE1">
      <w:pPr>
        <w:pStyle w:val="SingleTxtG"/>
        <w:spacing w:after="80"/>
        <w:jc w:val="center"/>
      </w:pPr>
      <w:r w:rsidRPr="001E2096">
        <w:rPr>
          <w:noProof/>
        </w:rPr>
        <w:drawing>
          <wp:inline distT="0" distB="0" distL="0" distR="0" wp14:anchorId="2604FF3E" wp14:editId="28C0A68C">
            <wp:extent cx="2254620" cy="22197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3148" cy="2247793"/>
                    </a:xfrm>
                    <a:prstGeom prst="rect">
                      <a:avLst/>
                    </a:prstGeom>
                    <a:noFill/>
                    <a:ln>
                      <a:noFill/>
                    </a:ln>
                  </pic:spPr>
                </pic:pic>
              </a:graphicData>
            </a:graphic>
          </wp:inline>
        </w:drawing>
      </w:r>
    </w:p>
    <w:p w14:paraId="1E3E7AA5" w14:textId="77777777" w:rsidR="00482EE1" w:rsidRDefault="00482EE1" w:rsidP="00482EE1">
      <w:pPr>
        <w:pStyle w:val="SingleTxtG"/>
        <w:rPr>
          <w:i/>
          <w:iCs/>
        </w:rPr>
      </w:pPr>
      <w:r w:rsidRPr="00385B2E">
        <w:rPr>
          <w:i/>
          <w:iCs/>
        </w:rPr>
        <w:t>(Ref.Doc: ST/SG/AC.10/C.4/2019/9)</w:t>
      </w:r>
    </w:p>
    <w:p w14:paraId="5DF3D6F1" w14:textId="77777777" w:rsidR="00482EE1" w:rsidRPr="004A72C4" w:rsidRDefault="00482EE1" w:rsidP="00482EE1">
      <w:pPr>
        <w:pStyle w:val="H23G"/>
      </w:pPr>
      <w:r>
        <w:tab/>
        <w:t>16.</w:t>
      </w:r>
      <w:r>
        <w:tab/>
      </w:r>
      <w:r w:rsidRPr="004A72C4">
        <w:t>Annex 9</w:t>
      </w:r>
      <w:r>
        <w:t>, A9.5.2.3.5</w:t>
      </w:r>
    </w:p>
    <w:p w14:paraId="6E89D4EF" w14:textId="77777777" w:rsidR="00482EE1" w:rsidRDefault="00482EE1" w:rsidP="00482EE1">
      <w:pPr>
        <w:pStyle w:val="SingleTxtG"/>
        <w:spacing w:after="240"/>
        <w:ind w:left="2268" w:hanging="1134"/>
        <w:rPr>
          <w:rFonts w:asciiTheme="majorBidi" w:hAnsiTheme="majorBidi" w:cstheme="majorBidi"/>
        </w:rPr>
      </w:pPr>
      <w:r w:rsidRPr="004A72C4">
        <w:rPr>
          <w:rFonts w:asciiTheme="majorBidi" w:hAnsiTheme="majorBidi" w:cstheme="majorBidi"/>
          <w:i/>
          <w:iCs/>
        </w:rPr>
        <w:t>For</w:t>
      </w:r>
      <w:r w:rsidRPr="00FC6396">
        <w:rPr>
          <w:rFonts w:asciiTheme="majorBidi" w:hAnsiTheme="majorBidi" w:cstheme="majorBidi"/>
        </w:rPr>
        <w:t xml:space="preserve"> (OECD 306, 1996).</w:t>
      </w:r>
      <w:r>
        <w:rPr>
          <w:rFonts w:asciiTheme="majorBidi" w:hAnsiTheme="majorBidi" w:cstheme="majorBidi"/>
        </w:rPr>
        <w:t xml:space="preserve"> </w:t>
      </w:r>
      <w:r w:rsidRPr="004A72C4">
        <w:rPr>
          <w:rFonts w:asciiTheme="majorBidi" w:hAnsiTheme="majorBidi" w:cstheme="majorBidi"/>
          <w:i/>
          <w:iCs/>
        </w:rPr>
        <w:t>read</w:t>
      </w:r>
      <w:r>
        <w:rPr>
          <w:rFonts w:asciiTheme="majorBidi" w:hAnsiTheme="majorBidi" w:cstheme="majorBidi"/>
        </w:rPr>
        <w:t xml:space="preserve"> </w:t>
      </w:r>
      <w:r w:rsidRPr="00FC6396">
        <w:rPr>
          <w:rFonts w:asciiTheme="majorBidi" w:hAnsiTheme="majorBidi" w:cstheme="majorBidi"/>
        </w:rPr>
        <w:t>(OECD 306, 1992).</w:t>
      </w:r>
    </w:p>
    <w:p w14:paraId="38BAB88E" w14:textId="77777777" w:rsidR="00482EE1" w:rsidRPr="00385B2E" w:rsidRDefault="00482EE1" w:rsidP="00482EE1">
      <w:pPr>
        <w:pStyle w:val="SingleTxtG"/>
      </w:pPr>
      <w:r w:rsidRPr="00385B2E">
        <w:rPr>
          <w:i/>
          <w:iCs/>
        </w:rPr>
        <w:t>(Ref.Doc: ST/SG/AC.10/C.4/2019/</w:t>
      </w:r>
      <w:r>
        <w:rPr>
          <w:i/>
          <w:iCs/>
        </w:rPr>
        <w:t>14</w:t>
      </w:r>
      <w:r w:rsidRPr="00385B2E">
        <w:rPr>
          <w:i/>
          <w:iCs/>
        </w:rPr>
        <w:t>)</w:t>
      </w:r>
    </w:p>
    <w:p w14:paraId="1E98FA72" w14:textId="1B5144A8" w:rsidR="00482EE1" w:rsidRDefault="00482EE1" w:rsidP="00482EE1">
      <w:pPr>
        <w:spacing w:before="240"/>
        <w:jc w:val="center"/>
      </w:pPr>
      <w:r>
        <w:rPr>
          <w:u w:val="single"/>
        </w:rPr>
        <w:tab/>
      </w:r>
      <w:r>
        <w:rPr>
          <w:u w:val="single"/>
        </w:rPr>
        <w:tab/>
      </w:r>
      <w:r>
        <w:rPr>
          <w:u w:val="single"/>
        </w:rPr>
        <w:tab/>
      </w:r>
      <w:bookmarkEnd w:id="6"/>
      <w:bookmarkEnd w:id="1"/>
      <w:bookmarkEnd w:id="2"/>
    </w:p>
    <w:sectPr w:rsidR="00482EE1" w:rsidSect="00A44C9A">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F929" w14:textId="77777777" w:rsidR="008F74AF" w:rsidRDefault="008F74AF"/>
  </w:endnote>
  <w:endnote w:type="continuationSeparator" w:id="0">
    <w:p w14:paraId="36D4075B" w14:textId="77777777" w:rsidR="008F74AF" w:rsidRDefault="008F74AF"/>
  </w:endnote>
  <w:endnote w:type="continuationNotice" w:id="1">
    <w:p w14:paraId="2D571CB5" w14:textId="77777777" w:rsidR="008F74AF" w:rsidRDefault="008F7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9FAF" w14:textId="77777777" w:rsidR="008F74AF" w:rsidRPr="008F020A" w:rsidRDefault="008F74AF" w:rsidP="008F020A">
    <w:pPr>
      <w:pStyle w:val="Footer"/>
      <w:tabs>
        <w:tab w:val="right" w:pos="9638"/>
      </w:tabs>
      <w:rPr>
        <w:sz w:val="18"/>
      </w:rPr>
    </w:pP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2</w:t>
    </w:r>
    <w:r w:rsidRPr="008F02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9241" w14:textId="77777777" w:rsidR="008F74AF" w:rsidRPr="008F020A" w:rsidRDefault="008F74AF" w:rsidP="008F020A">
    <w:pPr>
      <w:pStyle w:val="Footer"/>
      <w:tabs>
        <w:tab w:val="right" w:pos="9638"/>
      </w:tabs>
      <w:rPr>
        <w:b/>
        <w:sz w:val="18"/>
      </w:rPr>
    </w:pPr>
    <w:r>
      <w:tab/>
    </w:r>
    <w:r w:rsidRPr="008F020A">
      <w:rPr>
        <w:b/>
        <w:sz w:val="18"/>
      </w:rPr>
      <w:fldChar w:fldCharType="begin"/>
    </w:r>
    <w:r w:rsidRPr="008F020A">
      <w:rPr>
        <w:b/>
        <w:sz w:val="18"/>
      </w:rPr>
      <w:instrText xml:space="preserve"> PAGE  \* MERGEFORMAT </w:instrText>
    </w:r>
    <w:r w:rsidRPr="008F020A">
      <w:rPr>
        <w:b/>
        <w:sz w:val="18"/>
      </w:rPr>
      <w:fldChar w:fldCharType="separate"/>
    </w:r>
    <w:r w:rsidRPr="008F020A">
      <w:rPr>
        <w:b/>
        <w:noProof/>
        <w:sz w:val="18"/>
      </w:rPr>
      <w:t>3</w:t>
    </w:r>
    <w:r w:rsidRPr="008F02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86AA" w14:textId="77777777" w:rsidR="008F74AF" w:rsidRPr="000B175B" w:rsidRDefault="008F74AF" w:rsidP="000B175B">
      <w:pPr>
        <w:tabs>
          <w:tab w:val="right" w:pos="2155"/>
        </w:tabs>
        <w:spacing w:after="80"/>
        <w:ind w:left="680"/>
        <w:rPr>
          <w:u w:val="single"/>
        </w:rPr>
      </w:pPr>
      <w:r>
        <w:rPr>
          <w:u w:val="single"/>
        </w:rPr>
        <w:tab/>
      </w:r>
    </w:p>
  </w:footnote>
  <w:footnote w:type="continuationSeparator" w:id="0">
    <w:p w14:paraId="6505A53C" w14:textId="77777777" w:rsidR="008F74AF" w:rsidRPr="00FC68B7" w:rsidRDefault="008F74AF" w:rsidP="00FC68B7">
      <w:pPr>
        <w:tabs>
          <w:tab w:val="left" w:pos="2155"/>
        </w:tabs>
        <w:spacing w:after="80"/>
        <w:ind w:left="680"/>
        <w:rPr>
          <w:u w:val="single"/>
        </w:rPr>
      </w:pPr>
      <w:r>
        <w:rPr>
          <w:u w:val="single"/>
        </w:rPr>
        <w:tab/>
      </w:r>
    </w:p>
  </w:footnote>
  <w:footnote w:type="continuationNotice" w:id="1">
    <w:p w14:paraId="4996ABDB" w14:textId="77777777" w:rsidR="008F74AF" w:rsidRDefault="008F7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E380" w14:textId="6E614D49" w:rsidR="008F74AF" w:rsidRPr="008F020A" w:rsidRDefault="008F74AF">
    <w:pPr>
      <w:pStyle w:val="Header"/>
    </w:pPr>
    <w:r>
      <w:t>ST/SG/AC.10/C.4/76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66C" w14:textId="70F8EFB6" w:rsidR="008F74AF" w:rsidRPr="008F020A" w:rsidRDefault="008F74AF" w:rsidP="008F020A">
    <w:pPr>
      <w:pStyle w:val="Header"/>
      <w:jc w:val="right"/>
    </w:pPr>
    <w:r>
      <w:t>ST/SG/AC.10/C.4/76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90D0B"/>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225B75"/>
    <w:multiLevelType w:val="hybridMultilevel"/>
    <w:tmpl w:val="735040F2"/>
    <w:lvl w:ilvl="0" w:tplc="F6DE256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2F363E"/>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60F450A"/>
    <w:multiLevelType w:val="hybridMultilevel"/>
    <w:tmpl w:val="82C2A9FC"/>
    <w:lvl w:ilvl="0" w:tplc="007601A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2B701DC0"/>
    <w:multiLevelType w:val="hybridMultilevel"/>
    <w:tmpl w:val="9A44C48A"/>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D0427E9"/>
    <w:multiLevelType w:val="hybridMultilevel"/>
    <w:tmpl w:val="02F4B6E0"/>
    <w:lvl w:ilvl="0" w:tplc="EEF4CD0C">
      <w:start w:val="6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20055E2"/>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37B4366"/>
    <w:multiLevelType w:val="hybridMultilevel"/>
    <w:tmpl w:val="A3043F3A"/>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6C855E3"/>
    <w:multiLevelType w:val="hybridMultilevel"/>
    <w:tmpl w:val="6788259E"/>
    <w:lvl w:ilvl="0" w:tplc="818EA8C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3B131524"/>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44372DB5"/>
    <w:multiLevelType w:val="hybridMultilevel"/>
    <w:tmpl w:val="F74A6ED0"/>
    <w:lvl w:ilvl="0" w:tplc="381AB3E6">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47491178"/>
    <w:multiLevelType w:val="hybridMultilevel"/>
    <w:tmpl w:val="DD48CBF4"/>
    <w:lvl w:ilvl="0" w:tplc="6B76086E">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887226E"/>
    <w:multiLevelType w:val="hybridMultilevel"/>
    <w:tmpl w:val="E2101CF2"/>
    <w:lvl w:ilvl="0" w:tplc="E9D06554">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D1B3DF0"/>
    <w:multiLevelType w:val="hybridMultilevel"/>
    <w:tmpl w:val="DC4E5B3C"/>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7" w15:restartNumberingAfterBreak="0">
    <w:nsid w:val="4E500705"/>
    <w:multiLevelType w:val="hybridMultilevel"/>
    <w:tmpl w:val="F3C8D83E"/>
    <w:lvl w:ilvl="0" w:tplc="06B6F4F4">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4F401470"/>
    <w:multiLevelType w:val="hybridMultilevel"/>
    <w:tmpl w:val="7D9AFEF8"/>
    <w:lvl w:ilvl="0" w:tplc="4838F9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EB6374E"/>
    <w:multiLevelType w:val="hybridMultilevel"/>
    <w:tmpl w:val="656A1D5A"/>
    <w:lvl w:ilvl="0" w:tplc="1586044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0" w15:restartNumberingAfterBreak="0">
    <w:nsid w:val="601263C9"/>
    <w:multiLevelType w:val="hybridMultilevel"/>
    <w:tmpl w:val="86781922"/>
    <w:lvl w:ilvl="0" w:tplc="6D98D1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F3BE2"/>
    <w:multiLevelType w:val="hybridMultilevel"/>
    <w:tmpl w:val="F2762C1A"/>
    <w:lvl w:ilvl="0" w:tplc="51BAE44C">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F05CB"/>
    <w:multiLevelType w:val="hybridMultilevel"/>
    <w:tmpl w:val="3BDE4310"/>
    <w:lvl w:ilvl="0" w:tplc="B8CA8EA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5" w15:restartNumberingAfterBreak="0">
    <w:nsid w:val="6C427DA7"/>
    <w:multiLevelType w:val="hybridMultilevel"/>
    <w:tmpl w:val="2BA48EA8"/>
    <w:lvl w:ilvl="0" w:tplc="E014E6DC">
      <w:start w:val="1"/>
      <w:numFmt w:val="upperLetter"/>
      <w:lvlText w:val="%1."/>
      <w:lvlJc w:val="left"/>
      <w:pPr>
        <w:ind w:left="1385" w:hanging="360"/>
      </w:pPr>
      <w:rPr>
        <w:rFonts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6" w15:restartNumberingAfterBreak="0">
    <w:nsid w:val="6EE22856"/>
    <w:multiLevelType w:val="hybridMultilevel"/>
    <w:tmpl w:val="625280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1A5188B"/>
    <w:multiLevelType w:val="hybridMultilevel"/>
    <w:tmpl w:val="461E670A"/>
    <w:lvl w:ilvl="0" w:tplc="4156E4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11CCE"/>
    <w:multiLevelType w:val="hybridMultilevel"/>
    <w:tmpl w:val="303AAF4C"/>
    <w:lvl w:ilvl="0" w:tplc="C67031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4"/>
  </w:num>
  <w:num w:numId="13">
    <w:abstractNumId w:val="12"/>
  </w:num>
  <w:num w:numId="14">
    <w:abstractNumId w:val="33"/>
  </w:num>
  <w:num w:numId="15">
    <w:abstractNumId w:val="38"/>
  </w:num>
  <w:num w:numId="16">
    <w:abstractNumId w:val="11"/>
  </w:num>
  <w:num w:numId="17">
    <w:abstractNumId w:val="18"/>
  </w:num>
  <w:num w:numId="18">
    <w:abstractNumId w:val="37"/>
  </w:num>
  <w:num w:numId="19">
    <w:abstractNumId w:val="35"/>
  </w:num>
  <w:num w:numId="20">
    <w:abstractNumId w:val="30"/>
  </w:num>
  <w:num w:numId="21">
    <w:abstractNumId w:val="21"/>
  </w:num>
  <w:num w:numId="22">
    <w:abstractNumId w:val="16"/>
  </w:num>
  <w:num w:numId="23">
    <w:abstractNumId w:val="15"/>
  </w:num>
  <w:num w:numId="24">
    <w:abstractNumId w:val="20"/>
  </w:num>
  <w:num w:numId="25">
    <w:abstractNumId w:val="36"/>
  </w:num>
  <w:num w:numId="26">
    <w:abstractNumId w:val="22"/>
  </w:num>
  <w:num w:numId="27">
    <w:abstractNumId w:val="13"/>
  </w:num>
  <w:num w:numId="28">
    <w:abstractNumId w:val="27"/>
  </w:num>
  <w:num w:numId="29">
    <w:abstractNumId w:val="29"/>
  </w:num>
  <w:num w:numId="30">
    <w:abstractNumId w:val="34"/>
  </w:num>
  <w:num w:numId="31">
    <w:abstractNumId w:val="39"/>
  </w:num>
  <w:num w:numId="32">
    <w:abstractNumId w:val="17"/>
  </w:num>
  <w:num w:numId="33">
    <w:abstractNumId w:val="28"/>
  </w:num>
  <w:num w:numId="34">
    <w:abstractNumId w:val="25"/>
  </w:num>
  <w:num w:numId="35">
    <w:abstractNumId w:val="24"/>
  </w:num>
  <w:num w:numId="36">
    <w:abstractNumId w:val="10"/>
  </w:num>
  <w:num w:numId="37">
    <w:abstractNumId w:val="19"/>
  </w:num>
  <w:num w:numId="38">
    <w:abstractNumId w:val="26"/>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0A"/>
    <w:rsid w:val="000022AB"/>
    <w:rsid w:val="00020E7C"/>
    <w:rsid w:val="00031B81"/>
    <w:rsid w:val="000353DA"/>
    <w:rsid w:val="00050F6B"/>
    <w:rsid w:val="00051F2C"/>
    <w:rsid w:val="00057FD8"/>
    <w:rsid w:val="000631CB"/>
    <w:rsid w:val="00072C8C"/>
    <w:rsid w:val="00075DF7"/>
    <w:rsid w:val="000763E5"/>
    <w:rsid w:val="00077E14"/>
    <w:rsid w:val="00082B83"/>
    <w:rsid w:val="00091419"/>
    <w:rsid w:val="000931C0"/>
    <w:rsid w:val="000A7EB0"/>
    <w:rsid w:val="000B175B"/>
    <w:rsid w:val="000B3A0F"/>
    <w:rsid w:val="000E0415"/>
    <w:rsid w:val="000E087D"/>
    <w:rsid w:val="000F4BDD"/>
    <w:rsid w:val="000F52CD"/>
    <w:rsid w:val="0011582C"/>
    <w:rsid w:val="001174A8"/>
    <w:rsid w:val="00117787"/>
    <w:rsid w:val="00121695"/>
    <w:rsid w:val="00131D42"/>
    <w:rsid w:val="00137CAC"/>
    <w:rsid w:val="00155525"/>
    <w:rsid w:val="001633FB"/>
    <w:rsid w:val="00174D6D"/>
    <w:rsid w:val="00175EBB"/>
    <w:rsid w:val="001764D1"/>
    <w:rsid w:val="00176948"/>
    <w:rsid w:val="001845B7"/>
    <w:rsid w:val="001850A7"/>
    <w:rsid w:val="001A41A0"/>
    <w:rsid w:val="001B4B04"/>
    <w:rsid w:val="001C6663"/>
    <w:rsid w:val="001C7895"/>
    <w:rsid w:val="001D26DF"/>
    <w:rsid w:val="001D2FDC"/>
    <w:rsid w:val="001F1892"/>
    <w:rsid w:val="00211E0B"/>
    <w:rsid w:val="00214921"/>
    <w:rsid w:val="0021565D"/>
    <w:rsid w:val="00216A1E"/>
    <w:rsid w:val="002309A7"/>
    <w:rsid w:val="00237785"/>
    <w:rsid w:val="00240E46"/>
    <w:rsid w:val="00241466"/>
    <w:rsid w:val="00244B1F"/>
    <w:rsid w:val="00250154"/>
    <w:rsid w:val="002614F7"/>
    <w:rsid w:val="00265F9B"/>
    <w:rsid w:val="002725CA"/>
    <w:rsid w:val="00280EB7"/>
    <w:rsid w:val="00283379"/>
    <w:rsid w:val="002A5439"/>
    <w:rsid w:val="002B07BE"/>
    <w:rsid w:val="002B1CDA"/>
    <w:rsid w:val="002C07C2"/>
    <w:rsid w:val="002D3853"/>
    <w:rsid w:val="002D429D"/>
    <w:rsid w:val="003107FA"/>
    <w:rsid w:val="00310D86"/>
    <w:rsid w:val="003130EA"/>
    <w:rsid w:val="003138CB"/>
    <w:rsid w:val="00315B7E"/>
    <w:rsid w:val="003229D8"/>
    <w:rsid w:val="00346AEC"/>
    <w:rsid w:val="00367F20"/>
    <w:rsid w:val="0037352C"/>
    <w:rsid w:val="003801A7"/>
    <w:rsid w:val="00382308"/>
    <w:rsid w:val="00387B71"/>
    <w:rsid w:val="0039277A"/>
    <w:rsid w:val="003972E0"/>
    <w:rsid w:val="003C2CC4"/>
    <w:rsid w:val="003C668D"/>
    <w:rsid w:val="003D4B23"/>
    <w:rsid w:val="003F5B6C"/>
    <w:rsid w:val="0040660A"/>
    <w:rsid w:val="004140AB"/>
    <w:rsid w:val="00424871"/>
    <w:rsid w:val="00425903"/>
    <w:rsid w:val="00430161"/>
    <w:rsid w:val="004325CB"/>
    <w:rsid w:val="00437122"/>
    <w:rsid w:val="00437F3F"/>
    <w:rsid w:val="0044024E"/>
    <w:rsid w:val="00446DE4"/>
    <w:rsid w:val="00472863"/>
    <w:rsid w:val="0047297F"/>
    <w:rsid w:val="00482EE1"/>
    <w:rsid w:val="004A7081"/>
    <w:rsid w:val="004B2C9D"/>
    <w:rsid w:val="004C1EA9"/>
    <w:rsid w:val="004C25C7"/>
    <w:rsid w:val="004C3FDC"/>
    <w:rsid w:val="004C7AC3"/>
    <w:rsid w:val="004D7092"/>
    <w:rsid w:val="00510AD7"/>
    <w:rsid w:val="00522EAE"/>
    <w:rsid w:val="0052509D"/>
    <w:rsid w:val="00527910"/>
    <w:rsid w:val="005420F2"/>
    <w:rsid w:val="00570139"/>
    <w:rsid w:val="00571138"/>
    <w:rsid w:val="005801C2"/>
    <w:rsid w:val="00586F5C"/>
    <w:rsid w:val="00590144"/>
    <w:rsid w:val="005B3DB3"/>
    <w:rsid w:val="005C5FC8"/>
    <w:rsid w:val="005C7273"/>
    <w:rsid w:val="005C7D0B"/>
    <w:rsid w:val="005D76C7"/>
    <w:rsid w:val="005E2569"/>
    <w:rsid w:val="005E2B46"/>
    <w:rsid w:val="005F1EC3"/>
    <w:rsid w:val="005F6DDD"/>
    <w:rsid w:val="0060347F"/>
    <w:rsid w:val="00611FC4"/>
    <w:rsid w:val="006176FB"/>
    <w:rsid w:val="00617B7A"/>
    <w:rsid w:val="00622AE8"/>
    <w:rsid w:val="00626ADE"/>
    <w:rsid w:val="006314F9"/>
    <w:rsid w:val="006323EF"/>
    <w:rsid w:val="00633886"/>
    <w:rsid w:val="0063419C"/>
    <w:rsid w:val="00640B26"/>
    <w:rsid w:val="006617AD"/>
    <w:rsid w:val="00695BBA"/>
    <w:rsid w:val="006A4B50"/>
    <w:rsid w:val="006A7392"/>
    <w:rsid w:val="006C0D34"/>
    <w:rsid w:val="006D7C57"/>
    <w:rsid w:val="006E41C2"/>
    <w:rsid w:val="006E564B"/>
    <w:rsid w:val="006E5FF5"/>
    <w:rsid w:val="006F795C"/>
    <w:rsid w:val="00707544"/>
    <w:rsid w:val="00712468"/>
    <w:rsid w:val="0071291B"/>
    <w:rsid w:val="00713AB0"/>
    <w:rsid w:val="0072632A"/>
    <w:rsid w:val="0073100B"/>
    <w:rsid w:val="007319E8"/>
    <w:rsid w:val="0074069E"/>
    <w:rsid w:val="0076117F"/>
    <w:rsid w:val="00785A34"/>
    <w:rsid w:val="00790791"/>
    <w:rsid w:val="00791E92"/>
    <w:rsid w:val="007B1FD3"/>
    <w:rsid w:val="007B6BA5"/>
    <w:rsid w:val="007C3329"/>
    <w:rsid w:val="007C3390"/>
    <w:rsid w:val="007C4F4B"/>
    <w:rsid w:val="007D041D"/>
    <w:rsid w:val="007E3DBA"/>
    <w:rsid w:val="007E4C22"/>
    <w:rsid w:val="007F0AAA"/>
    <w:rsid w:val="007F6611"/>
    <w:rsid w:val="00801A7D"/>
    <w:rsid w:val="00805714"/>
    <w:rsid w:val="00814A28"/>
    <w:rsid w:val="00815334"/>
    <w:rsid w:val="008175E9"/>
    <w:rsid w:val="008242D7"/>
    <w:rsid w:val="0082632A"/>
    <w:rsid w:val="00827CD8"/>
    <w:rsid w:val="0083479C"/>
    <w:rsid w:val="00862B18"/>
    <w:rsid w:val="00871FD5"/>
    <w:rsid w:val="00873589"/>
    <w:rsid w:val="008810A6"/>
    <w:rsid w:val="00890CAE"/>
    <w:rsid w:val="00892839"/>
    <w:rsid w:val="008954EB"/>
    <w:rsid w:val="00897661"/>
    <w:rsid w:val="008979B1"/>
    <w:rsid w:val="008A1F14"/>
    <w:rsid w:val="008A6B25"/>
    <w:rsid w:val="008A6C4F"/>
    <w:rsid w:val="008B34FD"/>
    <w:rsid w:val="008B65DE"/>
    <w:rsid w:val="008C1F84"/>
    <w:rsid w:val="008C5513"/>
    <w:rsid w:val="008E0E46"/>
    <w:rsid w:val="008F020A"/>
    <w:rsid w:val="008F74AF"/>
    <w:rsid w:val="00900028"/>
    <w:rsid w:val="0090102E"/>
    <w:rsid w:val="0091342D"/>
    <w:rsid w:val="009274F9"/>
    <w:rsid w:val="00942983"/>
    <w:rsid w:val="00944654"/>
    <w:rsid w:val="00945A5D"/>
    <w:rsid w:val="0096006D"/>
    <w:rsid w:val="00963CBA"/>
    <w:rsid w:val="0096718A"/>
    <w:rsid w:val="009835BD"/>
    <w:rsid w:val="0099124E"/>
    <w:rsid w:val="00991261"/>
    <w:rsid w:val="0099386C"/>
    <w:rsid w:val="009B3220"/>
    <w:rsid w:val="009B495C"/>
    <w:rsid w:val="009C13E5"/>
    <w:rsid w:val="009E7C23"/>
    <w:rsid w:val="009F0F06"/>
    <w:rsid w:val="009F1A3D"/>
    <w:rsid w:val="00A04EA8"/>
    <w:rsid w:val="00A07628"/>
    <w:rsid w:val="00A1034B"/>
    <w:rsid w:val="00A1427D"/>
    <w:rsid w:val="00A17A9B"/>
    <w:rsid w:val="00A23DBC"/>
    <w:rsid w:val="00A32290"/>
    <w:rsid w:val="00A44C9A"/>
    <w:rsid w:val="00A50DA9"/>
    <w:rsid w:val="00A56BA9"/>
    <w:rsid w:val="00A71CD1"/>
    <w:rsid w:val="00A72F22"/>
    <w:rsid w:val="00A746D4"/>
    <w:rsid w:val="00A748A6"/>
    <w:rsid w:val="00A75EC9"/>
    <w:rsid w:val="00A81FD3"/>
    <w:rsid w:val="00A84F6A"/>
    <w:rsid w:val="00A863F3"/>
    <w:rsid w:val="00A879A4"/>
    <w:rsid w:val="00A931BB"/>
    <w:rsid w:val="00A94092"/>
    <w:rsid w:val="00AA42D4"/>
    <w:rsid w:val="00AA42F9"/>
    <w:rsid w:val="00AB4195"/>
    <w:rsid w:val="00AB51CF"/>
    <w:rsid w:val="00AC21D7"/>
    <w:rsid w:val="00AD0AC8"/>
    <w:rsid w:val="00AD762E"/>
    <w:rsid w:val="00AE0B64"/>
    <w:rsid w:val="00AE2AD3"/>
    <w:rsid w:val="00B01321"/>
    <w:rsid w:val="00B25F21"/>
    <w:rsid w:val="00B30179"/>
    <w:rsid w:val="00B3317B"/>
    <w:rsid w:val="00B47F24"/>
    <w:rsid w:val="00B532AD"/>
    <w:rsid w:val="00B57A9C"/>
    <w:rsid w:val="00B674F2"/>
    <w:rsid w:val="00B774A6"/>
    <w:rsid w:val="00B81E12"/>
    <w:rsid w:val="00B93068"/>
    <w:rsid w:val="00B95387"/>
    <w:rsid w:val="00BA650E"/>
    <w:rsid w:val="00BB46AD"/>
    <w:rsid w:val="00BC74E9"/>
    <w:rsid w:val="00BD0D25"/>
    <w:rsid w:val="00BE3687"/>
    <w:rsid w:val="00BE618E"/>
    <w:rsid w:val="00BF4973"/>
    <w:rsid w:val="00C00C8F"/>
    <w:rsid w:val="00C44AF0"/>
    <w:rsid w:val="00C44FB3"/>
    <w:rsid w:val="00C463DD"/>
    <w:rsid w:val="00C50725"/>
    <w:rsid w:val="00C5363A"/>
    <w:rsid w:val="00C61928"/>
    <w:rsid w:val="00C62F76"/>
    <w:rsid w:val="00C745C3"/>
    <w:rsid w:val="00C86E65"/>
    <w:rsid w:val="00C93E8C"/>
    <w:rsid w:val="00CA29FD"/>
    <w:rsid w:val="00CA394F"/>
    <w:rsid w:val="00CA3A31"/>
    <w:rsid w:val="00CA6A9A"/>
    <w:rsid w:val="00CA7725"/>
    <w:rsid w:val="00CB302A"/>
    <w:rsid w:val="00CE18F6"/>
    <w:rsid w:val="00CE4A8F"/>
    <w:rsid w:val="00CF5DB3"/>
    <w:rsid w:val="00CF6813"/>
    <w:rsid w:val="00D110DD"/>
    <w:rsid w:val="00D11DFB"/>
    <w:rsid w:val="00D2031B"/>
    <w:rsid w:val="00D25FE2"/>
    <w:rsid w:val="00D43252"/>
    <w:rsid w:val="00D4535D"/>
    <w:rsid w:val="00D612D1"/>
    <w:rsid w:val="00D64103"/>
    <w:rsid w:val="00D7349B"/>
    <w:rsid w:val="00D753D8"/>
    <w:rsid w:val="00D8265D"/>
    <w:rsid w:val="00D839F8"/>
    <w:rsid w:val="00D91CF7"/>
    <w:rsid w:val="00D9275B"/>
    <w:rsid w:val="00D96CC5"/>
    <w:rsid w:val="00D978C6"/>
    <w:rsid w:val="00DA67AD"/>
    <w:rsid w:val="00DC084E"/>
    <w:rsid w:val="00DC40D2"/>
    <w:rsid w:val="00DE3158"/>
    <w:rsid w:val="00DF0787"/>
    <w:rsid w:val="00DF15DC"/>
    <w:rsid w:val="00E130AB"/>
    <w:rsid w:val="00E17FC3"/>
    <w:rsid w:val="00E2281C"/>
    <w:rsid w:val="00E32D23"/>
    <w:rsid w:val="00E562AA"/>
    <w:rsid w:val="00E5644E"/>
    <w:rsid w:val="00E7260F"/>
    <w:rsid w:val="00E76497"/>
    <w:rsid w:val="00E8535A"/>
    <w:rsid w:val="00E96630"/>
    <w:rsid w:val="00EA772F"/>
    <w:rsid w:val="00EB6832"/>
    <w:rsid w:val="00EB7531"/>
    <w:rsid w:val="00EC6165"/>
    <w:rsid w:val="00ED7A2A"/>
    <w:rsid w:val="00EF1D7F"/>
    <w:rsid w:val="00F01AEB"/>
    <w:rsid w:val="00F063FF"/>
    <w:rsid w:val="00F2504C"/>
    <w:rsid w:val="00F3371E"/>
    <w:rsid w:val="00F361CC"/>
    <w:rsid w:val="00F40E75"/>
    <w:rsid w:val="00F509FC"/>
    <w:rsid w:val="00F54674"/>
    <w:rsid w:val="00F81F92"/>
    <w:rsid w:val="00F83FF6"/>
    <w:rsid w:val="00F907D6"/>
    <w:rsid w:val="00F97E08"/>
    <w:rsid w:val="00FC68B7"/>
    <w:rsid w:val="00FD0402"/>
    <w:rsid w:val="00FD6B2B"/>
    <w:rsid w:val="00FE118A"/>
    <w:rsid w:val="00FE3E8E"/>
    <w:rsid w:val="00FE7906"/>
    <w:rsid w:val="00FE7BE7"/>
    <w:rsid w:val="00FF03BB"/>
    <w:rsid w:val="00FF3F46"/>
    <w:rsid w:val="00FF5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95E4C42"/>
  <w15:docId w15:val="{FD9DF8C5-2567-4DFB-A0ED-7812F510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qFormat/>
    <w:rsid w:val="00A81FD3"/>
    <w:rPr>
      <w:rFonts w:ascii="Times New Roman" w:hAnsi="Times New Roman"/>
      <w:sz w:val="18"/>
      <w:vertAlign w:val="superscript"/>
    </w:rPr>
  </w:style>
  <w:style w:type="paragraph" w:styleId="FootnoteText">
    <w:name w:val="footnote text"/>
    <w:aliases w:val="5_G"/>
    <w:basedOn w:val="Normal"/>
    <w:link w:val="FootnoteTextChar"/>
    <w:qFormat/>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qFormat/>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qFormat/>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8F020A"/>
    <w:rPr>
      <w:b/>
      <w:sz w:val="28"/>
      <w:lang w:eastAsia="en-US"/>
    </w:rPr>
  </w:style>
  <w:style w:type="character" w:customStyle="1" w:styleId="H23GChar">
    <w:name w:val="_ H_2/3_G Char"/>
    <w:link w:val="H23G"/>
    <w:locked/>
    <w:rsid w:val="008F020A"/>
    <w:rPr>
      <w:b/>
      <w:lang w:eastAsia="en-US"/>
    </w:rPr>
  </w:style>
  <w:style w:type="character" w:customStyle="1" w:styleId="SingleTxtGChar">
    <w:name w:val="_ Single Txt_G Char"/>
    <w:link w:val="SingleTxtG"/>
    <w:qFormat/>
    <w:rsid w:val="00082B83"/>
    <w:rPr>
      <w:lang w:eastAsia="en-US"/>
    </w:rPr>
  </w:style>
  <w:style w:type="paragraph" w:styleId="CommentSubject">
    <w:name w:val="annotation subject"/>
    <w:basedOn w:val="CommentText"/>
    <w:next w:val="CommentText"/>
    <w:link w:val="CommentSubjectChar"/>
    <w:semiHidden/>
    <w:unhideWhenUsed/>
    <w:rsid w:val="00082B83"/>
    <w:pPr>
      <w:spacing w:line="240" w:lineRule="auto"/>
    </w:pPr>
    <w:rPr>
      <w:b/>
      <w:bCs/>
    </w:rPr>
  </w:style>
  <w:style w:type="character" w:customStyle="1" w:styleId="CommentTextChar">
    <w:name w:val="Comment Text Char"/>
    <w:basedOn w:val="DefaultParagraphFont"/>
    <w:link w:val="CommentText"/>
    <w:semiHidden/>
    <w:rsid w:val="00082B83"/>
    <w:rPr>
      <w:lang w:eastAsia="en-US"/>
    </w:rPr>
  </w:style>
  <w:style w:type="character" w:customStyle="1" w:styleId="CommentSubjectChar">
    <w:name w:val="Comment Subject Char"/>
    <w:basedOn w:val="CommentTextChar"/>
    <w:link w:val="CommentSubject"/>
    <w:semiHidden/>
    <w:rsid w:val="00082B83"/>
    <w:rPr>
      <w:b/>
      <w:bCs/>
      <w:lang w:eastAsia="en-US"/>
    </w:rPr>
  </w:style>
  <w:style w:type="paragraph" w:styleId="Revision">
    <w:name w:val="Revision"/>
    <w:hidden/>
    <w:uiPriority w:val="99"/>
    <w:semiHidden/>
    <w:rsid w:val="00082B83"/>
    <w:rPr>
      <w:lang w:eastAsia="en-US"/>
    </w:rPr>
  </w:style>
  <w:style w:type="paragraph" w:styleId="BalloonText">
    <w:name w:val="Balloon Text"/>
    <w:basedOn w:val="Normal"/>
    <w:link w:val="BalloonTextChar"/>
    <w:rsid w:val="00082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82B83"/>
    <w:rPr>
      <w:rFonts w:ascii="Segoe UI" w:hAnsi="Segoe UI" w:cs="Segoe UI"/>
      <w:sz w:val="18"/>
      <w:szCs w:val="18"/>
      <w:lang w:eastAsia="en-US"/>
    </w:rPr>
  </w:style>
  <w:style w:type="character" w:customStyle="1" w:styleId="H1GChar">
    <w:name w:val="_ H_1_G Char"/>
    <w:link w:val="H1G"/>
    <w:rsid w:val="0040660A"/>
    <w:rPr>
      <w:b/>
      <w:sz w:val="24"/>
      <w:lang w:eastAsia="en-US"/>
    </w:rPr>
  </w:style>
  <w:style w:type="paragraph" w:styleId="ListParagraph">
    <w:name w:val="List Paragraph"/>
    <w:basedOn w:val="Normal"/>
    <w:uiPriority w:val="34"/>
    <w:qFormat/>
    <w:rsid w:val="009835BD"/>
    <w:pPr>
      <w:ind w:left="720"/>
      <w:contextualSpacing/>
    </w:pPr>
  </w:style>
  <w:style w:type="character" w:customStyle="1" w:styleId="FooterChar">
    <w:name w:val="Footer Char"/>
    <w:aliases w:val="3_G Char"/>
    <w:basedOn w:val="DefaultParagraphFont"/>
    <w:link w:val="Footer"/>
    <w:rsid w:val="00AD0AC8"/>
    <w:rPr>
      <w:sz w:val="16"/>
      <w:lang w:eastAsia="en-US"/>
    </w:rPr>
  </w:style>
  <w:style w:type="character" w:customStyle="1" w:styleId="FootnoteTextChar">
    <w:name w:val="Footnote Text Char"/>
    <w:aliases w:val="5_G Char"/>
    <w:basedOn w:val="DefaultParagraphFont"/>
    <w:link w:val="FootnoteText"/>
    <w:rsid w:val="00801A7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C05B-E648-44D7-8129-C34CA4E1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81</TotalTime>
  <Pages>19</Pages>
  <Words>5446</Words>
  <Characters>29882</Characters>
  <Application>Microsoft Office Word</Application>
  <DocSecurity>0</DocSecurity>
  <Lines>664</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Laurence Berthet</cp:lastModifiedBy>
  <cp:revision>10</cp:revision>
  <cp:lastPrinted>2020-01-08T13:35:00Z</cp:lastPrinted>
  <dcterms:created xsi:type="dcterms:W3CDTF">2020-01-06T12:55:00Z</dcterms:created>
  <dcterms:modified xsi:type="dcterms:W3CDTF">2020-01-08T13:36:00Z</dcterms:modified>
</cp:coreProperties>
</file>