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4279BABF" w14:textId="77777777" w:rsidTr="00691F20">
        <w:trPr>
          <w:cantSplit/>
          <w:trHeight w:hRule="exact" w:val="851"/>
        </w:trPr>
        <w:tc>
          <w:tcPr>
            <w:tcW w:w="9639" w:type="dxa"/>
            <w:tcBorders>
              <w:bottom w:val="single" w:sz="4" w:space="0" w:color="auto"/>
            </w:tcBorders>
            <w:vAlign w:val="bottom"/>
          </w:tcPr>
          <w:p w14:paraId="64AC565B" w14:textId="61BB8E8C" w:rsidR="0099001C" w:rsidRPr="0099001C" w:rsidRDefault="0099001C" w:rsidP="00760020">
            <w:pPr>
              <w:jc w:val="right"/>
              <w:rPr>
                <w:b/>
                <w:sz w:val="40"/>
                <w:szCs w:val="40"/>
              </w:rPr>
            </w:pPr>
            <w:r w:rsidRPr="0099001C">
              <w:rPr>
                <w:b/>
                <w:sz w:val="40"/>
                <w:szCs w:val="40"/>
              </w:rPr>
              <w:t>UN/SCEGHS/</w:t>
            </w:r>
            <w:r w:rsidR="00430201">
              <w:rPr>
                <w:b/>
                <w:sz w:val="40"/>
                <w:szCs w:val="40"/>
              </w:rPr>
              <w:t>3</w:t>
            </w:r>
            <w:r w:rsidR="00760020">
              <w:rPr>
                <w:b/>
                <w:sz w:val="40"/>
                <w:szCs w:val="40"/>
              </w:rPr>
              <w:t>7</w:t>
            </w:r>
            <w:r w:rsidRPr="0099001C">
              <w:rPr>
                <w:b/>
                <w:sz w:val="40"/>
                <w:szCs w:val="40"/>
              </w:rPr>
              <w:t>/INF.</w:t>
            </w:r>
            <w:r w:rsidR="0081259E">
              <w:rPr>
                <w:b/>
                <w:sz w:val="40"/>
                <w:szCs w:val="40"/>
              </w:rPr>
              <w:t>1</w:t>
            </w:r>
            <w:r w:rsidR="00D8184C">
              <w:rPr>
                <w:b/>
                <w:sz w:val="40"/>
                <w:szCs w:val="40"/>
              </w:rPr>
              <w:t>9</w:t>
            </w:r>
          </w:p>
        </w:tc>
      </w:tr>
      <w:tr w:rsidR="0099001C" w14:paraId="22C94238" w14:textId="77777777" w:rsidTr="008B6E26">
        <w:trPr>
          <w:cantSplit/>
          <w:trHeight w:hRule="exact" w:val="3114"/>
        </w:trPr>
        <w:tc>
          <w:tcPr>
            <w:tcW w:w="9639" w:type="dxa"/>
            <w:tcBorders>
              <w:top w:val="single" w:sz="4" w:space="0" w:color="auto"/>
            </w:tcBorders>
          </w:tcPr>
          <w:p w14:paraId="52FE1B7C"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97145AD" w14:textId="247AA065"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D8184C">
              <w:rPr>
                <w:b/>
                <w:lang w:val="en-US"/>
              </w:rPr>
              <w:t>3</w:t>
            </w:r>
            <w:r w:rsidR="00EB2B47">
              <w:rPr>
                <w:b/>
                <w:lang w:val="en-US"/>
              </w:rPr>
              <w:t xml:space="preserve"> </w:t>
            </w:r>
            <w:r w:rsidR="004E65DA">
              <w:rPr>
                <w:b/>
                <w:lang w:val="en-US"/>
              </w:rPr>
              <w:t xml:space="preserve">July </w:t>
            </w:r>
            <w:r w:rsidRPr="00B93A39">
              <w:rPr>
                <w:b/>
                <w:lang w:val="en-US"/>
              </w:rPr>
              <w:t>201</w:t>
            </w:r>
            <w:r w:rsidR="00B93A39">
              <w:rPr>
                <w:b/>
                <w:lang w:val="en-US"/>
              </w:rPr>
              <w:t>9</w:t>
            </w:r>
          </w:p>
          <w:p w14:paraId="098AF1B1" w14:textId="77777777" w:rsidR="00965932" w:rsidRPr="00B93A39" w:rsidRDefault="00965932" w:rsidP="00965932">
            <w:pPr>
              <w:jc w:val="both"/>
              <w:rPr>
                <w:b/>
                <w:lang w:val="en-US"/>
              </w:rPr>
            </w:pPr>
          </w:p>
          <w:p w14:paraId="3266BFE2" w14:textId="2AF63B84" w:rsidR="00965932" w:rsidRPr="00030139" w:rsidRDefault="00965932" w:rsidP="00965932">
            <w:pPr>
              <w:jc w:val="both"/>
            </w:pPr>
            <w:r w:rsidRPr="00030139">
              <w:rPr>
                <w:b/>
              </w:rPr>
              <w:t>Thirty-</w:t>
            </w:r>
            <w:r w:rsidR="00030139" w:rsidRPr="00030139">
              <w:rPr>
                <w:b/>
              </w:rPr>
              <w:t>seventh</w:t>
            </w:r>
            <w:r w:rsidRPr="00030139">
              <w:rPr>
                <w:b/>
              </w:rPr>
              <w:t xml:space="preserve"> session</w:t>
            </w:r>
            <w:r w:rsidRPr="00030139">
              <w:t xml:space="preserve"> </w:t>
            </w:r>
          </w:p>
          <w:p w14:paraId="2ADC1DDD" w14:textId="76B99A24" w:rsidR="001B06A5" w:rsidRPr="000B4919" w:rsidRDefault="001B06A5" w:rsidP="001B06A5">
            <w:pPr>
              <w:jc w:val="both"/>
            </w:pPr>
            <w:r w:rsidRPr="00030139">
              <w:t xml:space="preserve">Geneva, </w:t>
            </w:r>
            <w:r w:rsidR="00030139" w:rsidRPr="00030139">
              <w:t>8</w:t>
            </w:r>
            <w:r w:rsidR="004A6A16" w:rsidRPr="00030139">
              <w:t>-</w:t>
            </w:r>
            <w:r w:rsidR="00030139" w:rsidRPr="00030139">
              <w:t>10</w:t>
            </w:r>
            <w:r w:rsidR="00AE5C96" w:rsidRPr="00030139">
              <w:t xml:space="preserve"> </w:t>
            </w:r>
            <w:r w:rsidR="00030139" w:rsidRPr="00030139">
              <w:t>July 2019</w:t>
            </w:r>
          </w:p>
          <w:p w14:paraId="59727C2D" w14:textId="06B16FF5" w:rsidR="001B06A5" w:rsidRPr="00FA63B2" w:rsidRDefault="001B06A5" w:rsidP="001B06A5">
            <w:pPr>
              <w:spacing w:before="40"/>
            </w:pPr>
            <w:r w:rsidRPr="00AC39CB">
              <w:t xml:space="preserve">Item </w:t>
            </w:r>
            <w:r w:rsidR="00D8184C">
              <w:t>4</w:t>
            </w:r>
            <w:r w:rsidR="006560F1" w:rsidRPr="00AC39CB">
              <w:t xml:space="preserve"> (</w:t>
            </w:r>
            <w:r w:rsidR="000E4421" w:rsidRPr="00AC39CB">
              <w:t>c</w:t>
            </w:r>
            <w:r w:rsidR="006560F1" w:rsidRPr="00AC39CB">
              <w:t>)</w:t>
            </w:r>
            <w:r w:rsidRPr="00AC39CB">
              <w:t xml:space="preserve"> of the provisional agenda</w:t>
            </w:r>
          </w:p>
          <w:p w14:paraId="1812C2D6" w14:textId="07026F64" w:rsidR="0099001C" w:rsidRPr="00D8184C" w:rsidRDefault="00D8184C" w:rsidP="001B06A5">
            <w:pPr>
              <w:spacing w:line="240" w:lineRule="exact"/>
              <w:rPr>
                <w:b/>
                <w:bCs/>
              </w:rPr>
            </w:pPr>
            <w:r w:rsidRPr="00D8184C">
              <w:rPr>
                <w:b/>
                <w:bCs/>
              </w:rPr>
              <w:t>Implementation of the GHS:</w:t>
            </w:r>
            <w:r w:rsidRPr="00D8184C">
              <w:rPr>
                <w:b/>
                <w:bCs/>
              </w:rPr>
              <w:br/>
              <w:t>Cooperation with other bodies or international organizations</w:t>
            </w:r>
          </w:p>
        </w:tc>
      </w:tr>
    </w:tbl>
    <w:p w14:paraId="2057255A" w14:textId="2C95977E" w:rsidR="00D8184C" w:rsidRDefault="00D8184C" w:rsidP="00D8184C">
      <w:pPr>
        <w:pStyle w:val="HChG"/>
      </w:pPr>
      <w:r>
        <w:tab/>
      </w:r>
      <w:r>
        <w:tab/>
      </w:r>
      <w:r w:rsidR="00EB2B47">
        <w:t>Update on the work of</w:t>
      </w:r>
      <w:r w:rsidRPr="00006118">
        <w:t xml:space="preserve"> Expert </w:t>
      </w:r>
      <w:r w:rsidR="00EB2B47">
        <w:t>W</w:t>
      </w:r>
      <w:r w:rsidRPr="00006118">
        <w:t xml:space="preserve">orking Group on the review of the Annexes I, III and IV and related aspects of Annex IX to the Basel Convention </w:t>
      </w:r>
      <w:bookmarkStart w:id="0" w:name="_GoBack"/>
      <w:bookmarkEnd w:id="0"/>
      <w:r w:rsidRPr="00006118">
        <w:t>on the Control of Transboundary Movements of</w:t>
      </w:r>
      <w:r>
        <w:t xml:space="preserve"> </w:t>
      </w:r>
      <w:r w:rsidRPr="00006118">
        <w:t>Hazardous Wastes and Their Disposal</w:t>
      </w:r>
    </w:p>
    <w:p w14:paraId="3508E017" w14:textId="0C5F9A7E" w:rsidR="00EB2B47" w:rsidRDefault="00D8184C" w:rsidP="00EB2B47">
      <w:pPr>
        <w:pStyle w:val="H1G"/>
      </w:pPr>
      <w:r>
        <w:tab/>
      </w:r>
      <w:r>
        <w:tab/>
      </w:r>
      <w:r w:rsidR="00EB2B47">
        <w:t xml:space="preserve">Transmitted by the </w:t>
      </w:r>
      <w:r w:rsidR="00EB2B47">
        <w:rPr>
          <w:lang w:val="en-US" w:eastAsia="fr-CH"/>
        </w:rPr>
        <w:t>Secretariat of the Basel, Rotterdam, and Stockholm Conventions</w:t>
      </w:r>
    </w:p>
    <w:p w14:paraId="62985421" w14:textId="2D342E50" w:rsidR="00D8184C" w:rsidRPr="000A5A2E" w:rsidRDefault="00D8184C" w:rsidP="00D8184C">
      <w:pPr>
        <w:pStyle w:val="SingleTxtG"/>
      </w:pPr>
      <w:r>
        <w:tab/>
        <w:t>1.</w:t>
      </w:r>
      <w:r>
        <w:tab/>
      </w:r>
      <w:r w:rsidRPr="000A5A2E">
        <w:t>By its decision BC-13/2, on the follow-up to the Indonesian-Swiss country</w:t>
      </w:r>
      <w:r w:rsidRPr="000A5A2E">
        <w:noBreakHyphen/>
        <w:t>led initiative to improve the effectiveness of the Basel Convention on the Control of Transboundary Movements of</w:t>
      </w:r>
      <w:r>
        <w:t xml:space="preserve"> </w:t>
      </w:r>
      <w:r w:rsidRPr="000A5A2E">
        <w:t xml:space="preserve">Hazardous Wastes and Their Disposal, the Conference of Parties, among other things, established an expert working group </w:t>
      </w:r>
      <w:r>
        <w:t xml:space="preserve">(EWG) </w:t>
      </w:r>
      <w:r w:rsidRPr="000A5A2E">
        <w:t>on the review of the Annexes with a mandate and terms of reference as set out in annex II to that decision</w:t>
      </w:r>
      <w:r>
        <w:rPr>
          <w:rStyle w:val="FootnoteReference"/>
        </w:rPr>
        <w:footnoteReference w:id="2"/>
      </w:r>
      <w:r w:rsidRPr="000A5A2E">
        <w:t>.</w:t>
      </w:r>
    </w:p>
    <w:p w14:paraId="08E073B9" w14:textId="020BD29E" w:rsidR="00D8184C" w:rsidRDefault="00D8184C" w:rsidP="00D8184C">
      <w:pPr>
        <w:pStyle w:val="SingleTxtG"/>
      </w:pPr>
      <w:r>
        <w:tab/>
        <w:t>2.</w:t>
      </w:r>
      <w:r>
        <w:tab/>
        <w:t xml:space="preserve">The mandate of the EWG was revised by decisions BC-14/13 and BC-14/16 adopted by the </w:t>
      </w:r>
      <w:r w:rsidRPr="00BE1A82">
        <w:rPr>
          <w:iCs/>
          <w:lang w:val="en-US"/>
        </w:rPr>
        <w:t xml:space="preserve">Conference of the Parties at its fourteenth meeting </w:t>
      </w:r>
      <w:r>
        <w:t>in May 2019. The EWG is to review:</w:t>
      </w:r>
    </w:p>
    <w:p w14:paraId="25C42BBE" w14:textId="36B10FA6" w:rsidR="00D8184C" w:rsidRDefault="00D8184C" w:rsidP="00D8184C">
      <w:pPr>
        <w:pStyle w:val="SingleTxtG"/>
        <w:ind w:left="1701"/>
      </w:pPr>
      <w:r>
        <w:tab/>
        <w:t>(a)</w:t>
      </w:r>
      <w:r>
        <w:tab/>
        <w:t xml:space="preserve">Annex I, which lists the lists the categories of wastes to be controlled under the Basel Convention, including both specific waste categories (Y1 to Y18) and wastes having specific constituents (Y19 to Y45); </w:t>
      </w:r>
    </w:p>
    <w:p w14:paraId="71CEDFF4" w14:textId="42AB7FB6" w:rsidR="00D8184C" w:rsidRPr="00A8351D" w:rsidRDefault="00D8184C" w:rsidP="00D8184C">
      <w:pPr>
        <w:pStyle w:val="SingleTxtG"/>
        <w:ind w:left="1701"/>
      </w:pPr>
      <w:r>
        <w:tab/>
        <w:t>(b)</w:t>
      </w:r>
      <w:r>
        <w:tab/>
        <w:t xml:space="preserve">Annex III, which lists the hazardous </w:t>
      </w:r>
      <w:r w:rsidRPr="00A8351D">
        <w:t>characteristics (H1 to H13);</w:t>
      </w:r>
    </w:p>
    <w:p w14:paraId="28727BDE" w14:textId="1F109334" w:rsidR="00D8184C" w:rsidRPr="00A8351D" w:rsidRDefault="00D8184C" w:rsidP="00D8184C">
      <w:pPr>
        <w:pStyle w:val="SingleTxtG"/>
        <w:ind w:left="1701"/>
      </w:pPr>
      <w:r>
        <w:tab/>
        <w:t>(c)</w:t>
      </w:r>
      <w:r>
        <w:tab/>
      </w:r>
      <w:r w:rsidRPr="00B942F7">
        <w:t xml:space="preserve">Annex IV, which list the disposal operations key to defining whether a substance or an object is a “waste”.  Annex IV includes two sections, namely section A entitled “Operations which do not lead to the possibility of resource recovery, recycling, reclamation, direct re-use or alternative uses”, and section B entitled “Operations which may lead to resource recovery, recycling, reclamation, direct re-use or alternative uses”. The mandate of the EWG also includes related aspects of Annexes VIII and IX, namely entries </w:t>
      </w:r>
      <w:r w:rsidRPr="00B942F7">
        <w:rPr>
          <w:rFonts w:asciiTheme="majorBidi" w:hAnsiTheme="majorBidi" w:cstheme="majorBidi"/>
        </w:rPr>
        <w:t>A1180</w:t>
      </w:r>
      <w:r w:rsidRPr="00B942F7">
        <w:t>and B1110 which pertain to electrical and electronic assemblies</w:t>
      </w:r>
      <w:r>
        <w:t xml:space="preserve"> and include references to disposal operations</w:t>
      </w:r>
      <w:r w:rsidRPr="00A8351D">
        <w:t xml:space="preserve">. </w:t>
      </w:r>
    </w:p>
    <w:p w14:paraId="4B06C099" w14:textId="5F8F7F1D" w:rsidR="00D8184C" w:rsidRPr="00B942F7" w:rsidRDefault="00D8184C" w:rsidP="00D8184C">
      <w:pPr>
        <w:pStyle w:val="SingleTxtG"/>
        <w:ind w:left="1701"/>
      </w:pPr>
      <w:r>
        <w:tab/>
        <w:t>(d)</w:t>
      </w:r>
      <w:r>
        <w:tab/>
      </w:r>
      <w:r w:rsidRPr="00B942F7">
        <w:t xml:space="preserve">The consequential implications of </w:t>
      </w:r>
      <w:r w:rsidRPr="00B942F7">
        <w:rPr>
          <w:rFonts w:asciiTheme="majorBidi" w:hAnsiTheme="majorBidi" w:cstheme="majorBidi"/>
        </w:rPr>
        <w:t>the review of Annexes I, III and IV for other annexes of the Convention and for relevant decisions of the Conference of the Parties, inter alia, for the notification and movement documents and the reporting format.</w:t>
      </w:r>
    </w:p>
    <w:p w14:paraId="5D179C53" w14:textId="2835E16B" w:rsidR="00D8184C" w:rsidRPr="00A8351D" w:rsidRDefault="00D8184C" w:rsidP="00D8184C">
      <w:pPr>
        <w:pStyle w:val="SingleTxtG"/>
        <w:ind w:left="1701"/>
      </w:pPr>
      <w:r>
        <w:rPr>
          <w:rFonts w:asciiTheme="majorBidi" w:hAnsiTheme="majorBidi" w:cstheme="majorBidi"/>
        </w:rPr>
        <w:lastRenderedPageBreak/>
        <w:tab/>
        <w:t>(e)</w:t>
      </w:r>
      <w:r>
        <w:rPr>
          <w:rFonts w:asciiTheme="majorBidi" w:hAnsiTheme="majorBidi" w:cstheme="majorBidi"/>
        </w:rPr>
        <w:tab/>
      </w:r>
      <w:r w:rsidRPr="00A8351D">
        <w:rPr>
          <w:rFonts w:asciiTheme="majorBidi" w:hAnsiTheme="majorBidi" w:cstheme="majorBidi"/>
        </w:rPr>
        <w:t>Whether</w:t>
      </w:r>
      <w:r w:rsidRPr="00A8351D">
        <w:rPr>
          <w:rFonts w:asciiTheme="majorBidi" w:hAnsiTheme="majorBidi" w:cstheme="majorBidi"/>
          <w:iCs/>
        </w:rPr>
        <w:t xml:space="preserve"> any additional constituents or characteristics in relation to plastic waste should be added to </w:t>
      </w:r>
      <w:r w:rsidRPr="00B942F7">
        <w:rPr>
          <w:rFonts w:asciiTheme="majorBidi" w:hAnsiTheme="majorBidi" w:cstheme="majorBidi"/>
          <w:iCs/>
        </w:rPr>
        <w:t>A</w:t>
      </w:r>
      <w:r w:rsidRPr="00A8351D">
        <w:rPr>
          <w:rFonts w:asciiTheme="majorBidi" w:hAnsiTheme="majorBidi" w:cstheme="majorBidi"/>
          <w:iCs/>
        </w:rPr>
        <w:t>nnex I or III, respectively, to the Convention.</w:t>
      </w:r>
    </w:p>
    <w:p w14:paraId="6DD507D2" w14:textId="73C15265" w:rsidR="00D8184C" w:rsidRDefault="00D8184C" w:rsidP="00D8184C">
      <w:pPr>
        <w:pStyle w:val="SingleTxtG"/>
      </w:pPr>
      <w:r>
        <w:tab/>
        <w:t>3.</w:t>
      </w:r>
      <w:r>
        <w:tab/>
        <w:t>The purpose of the review is as follows:</w:t>
      </w:r>
    </w:p>
    <w:p w14:paraId="209A042B" w14:textId="375608E4" w:rsidR="00D8184C" w:rsidRDefault="00D8184C" w:rsidP="00D8184C">
      <w:pPr>
        <w:pStyle w:val="SingleTxtG"/>
        <w:ind w:left="1701"/>
      </w:pPr>
      <w:r>
        <w:tab/>
        <w:t>(a)</w:t>
      </w:r>
      <w:r>
        <w:tab/>
        <w:t xml:space="preserve">For Annexes I and III: </w:t>
      </w:r>
      <w:r w:rsidRPr="00006118">
        <w:t>Review, with a view to: (</w:t>
      </w:r>
      <w:proofErr w:type="spellStart"/>
      <w:r w:rsidRPr="00006118">
        <w:t>i</w:t>
      </w:r>
      <w:proofErr w:type="spellEnd"/>
      <w:r w:rsidRPr="00006118">
        <w:t>) Improve/update the description of categories of wastes in Annex I and the list of hazardous characteristics in Annex III; (ii) Improve environmental controls by including any additional categories of wastes in Annex I and any additional hazardous characteristics in Annex III that occur in practice; and (iii) Clarify the descriptions in Annexes I and III to address conflicts or overlaps.</w:t>
      </w:r>
    </w:p>
    <w:p w14:paraId="4F9EA948" w14:textId="4AC3ABF2" w:rsidR="00D8184C" w:rsidRDefault="00D8184C" w:rsidP="00D8184C">
      <w:pPr>
        <w:pStyle w:val="SingleTxtG"/>
        <w:ind w:left="1701"/>
      </w:pPr>
      <w:r>
        <w:tab/>
        <w:t>(b)</w:t>
      </w:r>
      <w:r>
        <w:tab/>
        <w:t xml:space="preserve">For Annex IV: </w:t>
      </w:r>
      <w:r w:rsidRPr="00006118">
        <w:t>Review, with a view to: (</w:t>
      </w:r>
      <w:proofErr w:type="spellStart"/>
      <w:r w:rsidRPr="00006118">
        <w:t>i</w:t>
      </w:r>
      <w:proofErr w:type="spellEnd"/>
      <w:r w:rsidRPr="00006118">
        <w:t>) Improve/update the description of disposal operations in Annex IV; (ii) Improve environmental controls by including additional disposal operations that occur in practice or could occur in practice in Annex IV; and (iii) Clarify the descriptions in Annex IV and in Annex</w:t>
      </w:r>
      <w:r>
        <w:t xml:space="preserve">es VIII (A1180) and </w:t>
      </w:r>
      <w:r w:rsidRPr="00006118">
        <w:t>IX (B1110) to</w:t>
      </w:r>
      <w:r>
        <w:t xml:space="preserve"> address conflicts or overlaps.</w:t>
      </w:r>
    </w:p>
    <w:p w14:paraId="14D109D3" w14:textId="381E8813" w:rsidR="00D8184C" w:rsidRDefault="00D8184C" w:rsidP="00D8184C">
      <w:pPr>
        <w:pStyle w:val="SingleTxtG"/>
      </w:pPr>
      <w:r>
        <w:tab/>
        <w:t>4.</w:t>
      </w:r>
      <w:r>
        <w:tab/>
        <w:t xml:space="preserve">The EWG is to give priority to the review of Annex IV. It reports back to the Conference of the Parties, which meets every two years, </w:t>
      </w:r>
      <w:proofErr w:type="gramStart"/>
      <w:r>
        <w:t>and also</w:t>
      </w:r>
      <w:proofErr w:type="gramEnd"/>
      <w:r>
        <w:t xml:space="preserve"> operates under the guidance of the Open-ended Working Group which meets once in between of the meetings of the Conference of the Parties.</w:t>
      </w:r>
    </w:p>
    <w:p w14:paraId="32728EE3" w14:textId="583F2176" w:rsidR="00D8184C" w:rsidRDefault="00D8184C" w:rsidP="00D8184C">
      <w:pPr>
        <w:pStyle w:val="SingleTxtG"/>
      </w:pPr>
      <w:r>
        <w:tab/>
        <w:t>5.</w:t>
      </w:r>
      <w:r>
        <w:tab/>
      </w:r>
      <w:r w:rsidRPr="00006118">
        <w:t xml:space="preserve">The </w:t>
      </w:r>
      <w:r>
        <w:t xml:space="preserve">EWG </w:t>
      </w:r>
      <w:r w:rsidRPr="00006118">
        <w:t xml:space="preserve">is composed of experts nominated by Parties (up to 10 per United Nations region) and open to observers. As at </w:t>
      </w:r>
      <w:r>
        <w:t>27 June 2019</w:t>
      </w:r>
      <w:r w:rsidRPr="00006118">
        <w:t>, there are 3</w:t>
      </w:r>
      <w:r>
        <w:t>5</w:t>
      </w:r>
      <w:r w:rsidRPr="00006118">
        <w:t xml:space="preserve"> members and </w:t>
      </w:r>
      <w:r>
        <w:t>3</w:t>
      </w:r>
      <w:r w:rsidRPr="00006118">
        <w:t>6 observers participating in the group</w:t>
      </w:r>
      <w:r>
        <w:rPr>
          <w:rStyle w:val="FootnoteReference"/>
          <w:b/>
        </w:rPr>
        <w:footnoteReference w:id="3"/>
      </w:r>
      <w:r w:rsidRPr="00006118">
        <w:t>.</w:t>
      </w:r>
    </w:p>
    <w:p w14:paraId="6FE06CE2" w14:textId="04D85A57" w:rsidR="00D8184C" w:rsidRPr="009432AF" w:rsidRDefault="00D8184C" w:rsidP="00D8184C">
      <w:pPr>
        <w:pStyle w:val="SingleTxtG"/>
        <w:rPr>
          <w:rFonts w:asciiTheme="majorBidi" w:hAnsiTheme="majorBidi" w:cstheme="majorBidi"/>
        </w:rPr>
      </w:pPr>
      <w:r>
        <w:tab/>
        <w:t>6.</w:t>
      </w:r>
      <w:r>
        <w:tab/>
        <w:t>The EWG held its first meeting on 20-23 March 2018, at what time it focused on the review of Annex IV</w:t>
      </w:r>
      <w:r>
        <w:rPr>
          <w:rStyle w:val="FootnoteReference"/>
        </w:rPr>
        <w:footnoteReference w:id="4"/>
      </w:r>
      <w:r>
        <w:t>. It held its second meeting on 10-13 December 2018 at what time it continued its consideration of the review of Annex IV and initiated consideration o</w:t>
      </w:r>
      <w:r w:rsidRPr="009432AF">
        <w:rPr>
          <w:rFonts w:asciiTheme="majorBidi" w:hAnsiTheme="majorBidi" w:cstheme="majorBidi"/>
        </w:rPr>
        <w:t xml:space="preserve">f the review of Annexes I and III. </w:t>
      </w:r>
      <w:r>
        <w:rPr>
          <w:rFonts w:asciiTheme="majorBidi" w:hAnsiTheme="majorBidi" w:cstheme="majorBidi"/>
        </w:rPr>
        <w:t xml:space="preserve">Information about the meeting including all meeting documents is available at: </w:t>
      </w:r>
      <w:r w:rsidRPr="009432AF">
        <w:rPr>
          <w:rFonts w:asciiTheme="majorBidi" w:hAnsiTheme="majorBidi" w:cstheme="majorBidi"/>
        </w:rPr>
        <w:t>http://www.basel.int/Implementation/LegalMatters/LegalClarity/</w:t>
      </w:r>
      <w:r>
        <w:rPr>
          <w:rFonts w:asciiTheme="majorBidi" w:hAnsiTheme="majorBidi" w:cstheme="majorBidi"/>
        </w:rPr>
        <w:br/>
      </w:r>
      <w:r w:rsidRPr="009432AF">
        <w:rPr>
          <w:rFonts w:asciiTheme="majorBidi" w:hAnsiTheme="majorBidi" w:cstheme="majorBidi"/>
        </w:rPr>
        <w:t>Meetings/2ndRAEWGmtg/tabid/7690/Default.aspx</w:t>
      </w:r>
    </w:p>
    <w:p w14:paraId="0FBE12D0" w14:textId="71FC5EFD" w:rsidR="00D8184C" w:rsidRDefault="00D8184C" w:rsidP="00D8184C">
      <w:pPr>
        <w:pStyle w:val="SingleTxtG"/>
        <w:rPr>
          <w:rFonts w:asciiTheme="majorBidi" w:hAnsiTheme="majorBidi" w:cstheme="majorBidi"/>
        </w:rPr>
      </w:pPr>
      <w:r>
        <w:rPr>
          <w:rFonts w:asciiTheme="majorBidi" w:hAnsiTheme="majorBidi" w:cstheme="majorBidi"/>
        </w:rPr>
        <w:tab/>
        <w:t>7.</w:t>
      </w:r>
      <w:r>
        <w:rPr>
          <w:rFonts w:asciiTheme="majorBidi" w:hAnsiTheme="majorBidi" w:cstheme="majorBidi"/>
        </w:rPr>
        <w:tab/>
      </w:r>
      <w:r w:rsidRPr="009432AF">
        <w:rPr>
          <w:rFonts w:asciiTheme="majorBidi" w:hAnsiTheme="majorBidi" w:cstheme="majorBidi"/>
        </w:rPr>
        <w:t xml:space="preserve">The proposals put forward so far regarding the review of Annex III are set out in document UNEP/CHW/RA_EWG.2/INF/8 and compiled in a set of slides set out in document UNEP/CHW/RA_EWG.2/7. Several proposals call for aligning the Annex III with the GHS. </w:t>
      </w:r>
    </w:p>
    <w:p w14:paraId="09E48105" w14:textId="7EE06E61" w:rsidR="00D8184C" w:rsidRDefault="00D8184C" w:rsidP="00D8184C">
      <w:pPr>
        <w:pStyle w:val="SingleTxtG"/>
      </w:pPr>
      <w:r>
        <w:tab/>
        <w:t>8.</w:t>
      </w:r>
      <w:r>
        <w:tab/>
        <w:t>During its second meeting, the EWG focused its review of Annex III on exchanging information on the various proposals put forward and on four general issues listed in the first two slides of document</w:t>
      </w:r>
      <w:r>
        <w:rPr>
          <w:lang w:val="en-US"/>
        </w:rPr>
        <w:t xml:space="preserve"> UNEP/CHW/RA_EWG.2/7, namely, the reference to UN class, the alignment with GHS, the alignment with the </w:t>
      </w:r>
      <w:r>
        <w:rPr>
          <w:rFonts w:cstheme="majorBidi"/>
        </w:rPr>
        <w:t xml:space="preserve">European Agreement concerning the International Carriage of Dangerous Goods by Road (ADR), </w:t>
      </w:r>
      <w:r>
        <w:rPr>
          <w:lang w:val="en-US"/>
        </w:rPr>
        <w:t xml:space="preserve">and the level of specificity of H-characteristics, as well as on the </w:t>
      </w:r>
      <w:r>
        <w:rPr>
          <w:bCs/>
        </w:rPr>
        <w:t>testing methods and the structure of Annex III</w:t>
      </w:r>
      <w:r>
        <w:t xml:space="preserve"> (see paragraphs 67 to 73 of the meeting report). </w:t>
      </w:r>
    </w:p>
    <w:p w14:paraId="1E364CEC" w14:textId="6D8A50A8" w:rsidR="00D8184C" w:rsidRDefault="00D8184C" w:rsidP="00D8184C">
      <w:pPr>
        <w:pStyle w:val="SingleTxtG"/>
      </w:pPr>
      <w:r>
        <w:tab/>
        <w:t>9.</w:t>
      </w:r>
      <w:r>
        <w:tab/>
        <w:t xml:space="preserve">Regarding the way forward on the review of Annex III, the EWG agreed to invite members and observers to provide by 31 July 2019 views on the four above mentioned general issues. </w:t>
      </w:r>
    </w:p>
    <w:p w14:paraId="2431C4BD" w14:textId="3B07FC02" w:rsidR="00D8184C" w:rsidRPr="00B942F7" w:rsidRDefault="00D8184C" w:rsidP="00D8184C">
      <w:pPr>
        <w:pStyle w:val="SingleTxtG"/>
        <w:rPr>
          <w:rFonts w:asciiTheme="majorBidi" w:hAnsiTheme="majorBidi" w:cstheme="majorBidi"/>
        </w:rPr>
      </w:pPr>
      <w:r>
        <w:rPr>
          <w:iCs/>
          <w:lang w:val="en-US"/>
        </w:rPr>
        <w:tab/>
        <w:t>10.</w:t>
      </w:r>
      <w:r>
        <w:rPr>
          <w:iCs/>
          <w:lang w:val="en-US"/>
        </w:rPr>
        <w:tab/>
      </w:r>
      <w:r w:rsidRPr="00BE1A82">
        <w:rPr>
          <w:iCs/>
          <w:lang w:val="en-US"/>
        </w:rPr>
        <w:t>The Conference of the Parties at its fourteenth meeting consider</w:t>
      </w:r>
      <w:r>
        <w:rPr>
          <w:iCs/>
          <w:lang w:val="en-US"/>
        </w:rPr>
        <w:t>ed</w:t>
      </w:r>
      <w:r w:rsidRPr="00BE1A82">
        <w:rPr>
          <w:iCs/>
          <w:lang w:val="en-US"/>
        </w:rPr>
        <w:t xml:space="preserve"> the </w:t>
      </w:r>
      <w:r>
        <w:rPr>
          <w:iCs/>
          <w:lang w:val="en-US"/>
        </w:rPr>
        <w:t xml:space="preserve">recommendations by the EWG on the review of Annex IV. It also agreed on the </w:t>
      </w:r>
      <w:r w:rsidRPr="00BE1A82">
        <w:rPr>
          <w:iCs/>
          <w:lang w:val="en-US"/>
        </w:rPr>
        <w:t>way forward</w:t>
      </w:r>
      <w:r>
        <w:rPr>
          <w:iCs/>
          <w:lang w:val="en-US"/>
        </w:rPr>
        <w:t xml:space="preserve">, </w:t>
      </w:r>
      <w:r>
        <w:rPr>
          <w:iCs/>
          <w:lang w:val="en-US"/>
        </w:rPr>
        <w:lastRenderedPageBreak/>
        <w:t xml:space="preserve">including that </w:t>
      </w:r>
      <w:r w:rsidRPr="00BE1A82">
        <w:rPr>
          <w:iCs/>
          <w:lang w:val="en-US"/>
        </w:rPr>
        <w:t>proposal</w:t>
      </w:r>
      <w:r>
        <w:rPr>
          <w:iCs/>
          <w:lang w:val="en-US"/>
        </w:rPr>
        <w:t>s</w:t>
      </w:r>
      <w:r w:rsidRPr="00BE1A82">
        <w:rPr>
          <w:iCs/>
          <w:lang w:val="en-US"/>
        </w:rPr>
        <w:t xml:space="preserve"> on the review of Annex III w</w:t>
      </w:r>
      <w:r>
        <w:rPr>
          <w:iCs/>
          <w:lang w:val="en-US"/>
        </w:rPr>
        <w:t xml:space="preserve">ill </w:t>
      </w:r>
      <w:r w:rsidRPr="00BE1A82">
        <w:rPr>
          <w:iCs/>
          <w:lang w:val="en-US"/>
        </w:rPr>
        <w:t xml:space="preserve">be considered by the </w:t>
      </w:r>
      <w:r>
        <w:rPr>
          <w:iCs/>
          <w:lang w:val="en-US"/>
        </w:rPr>
        <w:t xml:space="preserve">thirteenth meeting of the </w:t>
      </w:r>
      <w:r w:rsidRPr="00BE1A82">
        <w:rPr>
          <w:iCs/>
          <w:lang w:val="en-US"/>
        </w:rPr>
        <w:t>Open-ended Work</w:t>
      </w:r>
      <w:r>
        <w:rPr>
          <w:iCs/>
          <w:lang w:val="en-US"/>
        </w:rPr>
        <w:t>ing G</w:t>
      </w:r>
      <w:r w:rsidRPr="00BE1A82">
        <w:rPr>
          <w:iCs/>
          <w:lang w:val="en-US"/>
        </w:rPr>
        <w:t xml:space="preserve">roup in 2022 and subsequently by the sixteenth meeting of the Conference of the Parties in 2023. </w:t>
      </w:r>
    </w:p>
    <w:p w14:paraId="245559AF" w14:textId="03AB0CDD" w:rsidR="00D8184C" w:rsidRPr="00BE1A82" w:rsidRDefault="00D8184C" w:rsidP="00D8184C">
      <w:pPr>
        <w:pStyle w:val="SingleTxtG"/>
        <w:rPr>
          <w:rFonts w:asciiTheme="majorBidi" w:hAnsiTheme="majorBidi" w:cstheme="majorBidi"/>
        </w:rPr>
      </w:pPr>
      <w:r>
        <w:rPr>
          <w:iCs/>
          <w:lang w:val="en-US"/>
        </w:rPr>
        <w:tab/>
        <w:t>11.</w:t>
      </w:r>
      <w:r>
        <w:rPr>
          <w:iCs/>
          <w:lang w:val="en-US"/>
        </w:rPr>
        <w:tab/>
        <w:t xml:space="preserve">The EWG is currently planning its third meeting which is tentatively scheduled to take place early November 2019. </w:t>
      </w:r>
    </w:p>
    <w:p w14:paraId="6F08D99C" w14:textId="541923F2" w:rsidR="00D8184C" w:rsidRPr="00D8184C" w:rsidRDefault="00D8184C" w:rsidP="00D8184C">
      <w:pPr>
        <w:spacing w:before="240"/>
        <w:jc w:val="center"/>
        <w:rPr>
          <w:u w:val="single"/>
          <w:lang w:val="en-US"/>
        </w:rPr>
      </w:pPr>
      <w:r>
        <w:rPr>
          <w:u w:val="single"/>
          <w:lang w:val="en-US"/>
        </w:rPr>
        <w:tab/>
      </w:r>
      <w:r>
        <w:rPr>
          <w:u w:val="single"/>
          <w:lang w:val="en-US"/>
        </w:rPr>
        <w:tab/>
      </w:r>
      <w:r>
        <w:rPr>
          <w:u w:val="single"/>
          <w:lang w:val="en-US"/>
        </w:rPr>
        <w:tab/>
      </w:r>
    </w:p>
    <w:sectPr w:rsidR="00D8184C" w:rsidRPr="00D8184C" w:rsidSect="0081259E">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49B" w14:textId="77777777" w:rsidR="003D64FD" w:rsidRDefault="003D64FD"/>
  </w:endnote>
  <w:endnote w:type="continuationSeparator" w:id="0">
    <w:p w14:paraId="6D99C9FF" w14:textId="77777777" w:rsidR="003D64FD" w:rsidRDefault="003D64FD"/>
  </w:endnote>
  <w:endnote w:type="continuationNotice" w:id="1">
    <w:p w14:paraId="2123E491" w14:textId="77777777" w:rsidR="003D64FD" w:rsidRDefault="003D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271F" w14:textId="042F9E5B" w:rsidR="003D64FD" w:rsidRPr="0099001C" w:rsidRDefault="003D64FD"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2</w:t>
    </w:r>
    <w:r w:rsidRPr="0099001C">
      <w:rPr>
        <w:b/>
        <w:sz w:val="18"/>
      </w:rPr>
      <w:fldChar w:fldCharType="end"/>
    </w:r>
    <w:r>
      <w:rPr>
        <w:sz w:val="18"/>
      </w:rPr>
      <w:tab/>
    </w:r>
  </w:p>
  <w:p w14:paraId="4ED68622" w14:textId="77777777" w:rsidR="003D64FD" w:rsidRDefault="003D64FD"/>
  <w:p w14:paraId="16E4B732" w14:textId="77777777" w:rsidR="003D64FD" w:rsidRDefault="003D6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CC8" w14:textId="7B8AE3E6" w:rsidR="003D64FD" w:rsidRPr="0099001C" w:rsidRDefault="003D64F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1</w:t>
    </w:r>
    <w:r w:rsidRPr="0099001C">
      <w:rPr>
        <w:b/>
        <w:sz w:val="18"/>
      </w:rPr>
      <w:fldChar w:fldCharType="end"/>
    </w:r>
  </w:p>
  <w:p w14:paraId="2EB1D2CF" w14:textId="77777777" w:rsidR="003D64FD" w:rsidRDefault="003D64FD"/>
  <w:p w14:paraId="76F113FB" w14:textId="77777777" w:rsidR="003D64FD" w:rsidRDefault="003D6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F8A4" w14:textId="77777777" w:rsidR="003D64FD" w:rsidRPr="000B175B" w:rsidRDefault="003D64FD" w:rsidP="000B175B">
      <w:pPr>
        <w:tabs>
          <w:tab w:val="right" w:pos="2155"/>
        </w:tabs>
        <w:spacing w:after="80"/>
        <w:ind w:left="680"/>
        <w:rPr>
          <w:u w:val="single"/>
        </w:rPr>
      </w:pPr>
      <w:r>
        <w:rPr>
          <w:u w:val="single"/>
        </w:rPr>
        <w:tab/>
      </w:r>
    </w:p>
  </w:footnote>
  <w:footnote w:type="continuationSeparator" w:id="0">
    <w:p w14:paraId="542FA4D1" w14:textId="77777777" w:rsidR="003D64FD" w:rsidRPr="00FC68B7" w:rsidRDefault="003D64FD" w:rsidP="00FC68B7">
      <w:pPr>
        <w:tabs>
          <w:tab w:val="left" w:pos="2155"/>
        </w:tabs>
        <w:spacing w:after="80"/>
        <w:ind w:left="680"/>
        <w:rPr>
          <w:u w:val="single"/>
        </w:rPr>
      </w:pPr>
      <w:r>
        <w:rPr>
          <w:u w:val="single"/>
        </w:rPr>
        <w:tab/>
      </w:r>
    </w:p>
  </w:footnote>
  <w:footnote w:type="continuationNotice" w:id="1">
    <w:p w14:paraId="2C6978FA" w14:textId="77777777" w:rsidR="003D64FD" w:rsidRDefault="003D64FD"/>
  </w:footnote>
  <w:footnote w:id="2">
    <w:p w14:paraId="6D9077F3" w14:textId="4F9B1320" w:rsidR="00D8184C" w:rsidRPr="00D8184C" w:rsidRDefault="00D8184C" w:rsidP="00D8184C">
      <w:pPr>
        <w:pStyle w:val="FootnoteText"/>
        <w:tabs>
          <w:tab w:val="left" w:pos="1418"/>
        </w:tabs>
        <w:ind w:firstLine="0"/>
        <w:rPr>
          <w:lang w:val="fr-CH"/>
        </w:rPr>
      </w:pPr>
      <w:r>
        <w:rPr>
          <w:rStyle w:val="FootnoteReference"/>
        </w:rPr>
        <w:footnoteRef/>
      </w:r>
      <w:r>
        <w:t xml:space="preserve"> </w:t>
      </w:r>
      <w:r>
        <w:tab/>
      </w:r>
      <w:r w:rsidRPr="00006118">
        <w:t>http://www.basel.int/Implementation/LegalMatters/LegalClarity/ReviewofAnnexes/</w:t>
      </w:r>
      <w:r>
        <w:br/>
      </w:r>
      <w:proofErr w:type="gramStart"/>
      <w:r w:rsidRPr="00006118">
        <w:t>AnnexesI,III</w:t>
      </w:r>
      <w:proofErr w:type="gramEnd"/>
      <w:r w:rsidRPr="00006118">
        <w:t>,IVandrelatedaspectsofAnnexIX/Activities20182019/tabid/6125/Default.aspx</w:t>
      </w:r>
    </w:p>
  </w:footnote>
  <w:footnote w:id="3">
    <w:p w14:paraId="31942D53" w14:textId="39755CB5" w:rsidR="00D8184C" w:rsidRPr="000A5A2E" w:rsidRDefault="00D8184C" w:rsidP="00D8184C">
      <w:pPr>
        <w:pStyle w:val="FootnoteText"/>
        <w:tabs>
          <w:tab w:val="left" w:pos="1418"/>
          <w:tab w:val="left" w:pos="2310"/>
        </w:tabs>
        <w:ind w:firstLine="0"/>
      </w:pPr>
      <w:r>
        <w:rPr>
          <w:rStyle w:val="FootnoteReference"/>
        </w:rPr>
        <w:footnoteRef/>
      </w:r>
      <w:r>
        <w:t xml:space="preserve"> </w:t>
      </w:r>
      <w:r>
        <w:tab/>
      </w:r>
      <w:hyperlink r:id="rId1" w:history="1">
        <w:r w:rsidRPr="00851359">
          <w:rPr>
            <w:rStyle w:val="Hyperlink"/>
          </w:rPr>
          <w:t>http://www.basel.int/Implementation/LegalMatters/LegalClarity/ReviewofAnnexes/AnnexesI,III</w:t>
        </w:r>
      </w:hyperlink>
      <w:r w:rsidRPr="000A5A2E">
        <w:t>,</w:t>
      </w:r>
      <w:r>
        <w:t xml:space="preserve"> </w:t>
      </w:r>
      <w:r w:rsidRPr="000A5A2E">
        <w:t>IVandrelatedaspectsofAnnexIX/ExpertWorkingGroup/tabid/6105/Default.aspx</w:t>
      </w:r>
    </w:p>
  </w:footnote>
  <w:footnote w:id="4">
    <w:p w14:paraId="599910D6" w14:textId="62A5E688" w:rsidR="00D8184C" w:rsidRDefault="00D8184C" w:rsidP="00D8184C">
      <w:pPr>
        <w:pStyle w:val="FootnoteText"/>
        <w:tabs>
          <w:tab w:val="left" w:pos="1418"/>
        </w:tabs>
        <w:ind w:firstLine="0"/>
      </w:pPr>
      <w:r>
        <w:rPr>
          <w:rStyle w:val="FootnoteReference"/>
        </w:rPr>
        <w:footnoteRef/>
      </w:r>
      <w:r>
        <w:t xml:space="preserve"> </w:t>
      </w:r>
      <w:r>
        <w:tab/>
      </w:r>
      <w:hyperlink r:id="rId2" w:history="1">
        <w:r w:rsidR="0034633E" w:rsidRPr="00851359">
          <w:rPr>
            <w:rStyle w:val="Hyperlink"/>
          </w:rPr>
          <w:t>http://www.basel.int/Implementation/LegalMatters/LegalClarity/Meetings/1stRAEWGmtg/tabid/</w:t>
        </w:r>
      </w:hyperlink>
    </w:p>
    <w:p w14:paraId="1C9B9BCD" w14:textId="34FFEFA3" w:rsidR="00D8184C" w:rsidRPr="009432AF" w:rsidRDefault="00D8184C" w:rsidP="00D8184C">
      <w:pPr>
        <w:pStyle w:val="FootnoteText"/>
        <w:ind w:firstLine="0"/>
      </w:pPr>
      <w:r w:rsidRPr="009432AF">
        <w:t>6237/Default.aspx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FEA" w14:textId="1A8A30F3" w:rsidR="003D64FD" w:rsidRPr="0081259E" w:rsidRDefault="0081259E" w:rsidP="0081259E">
    <w:pPr>
      <w:pBdr>
        <w:bottom w:val="single" w:sz="4" w:space="1" w:color="auto"/>
      </w:pBdr>
      <w:rPr>
        <w:b/>
        <w:bCs/>
      </w:rPr>
    </w:pPr>
    <w:r w:rsidRPr="0081259E">
      <w:rPr>
        <w:b/>
        <w:bCs/>
      </w:rPr>
      <w:t>UN/SCEGHS/37/INF.1</w:t>
    </w:r>
    <w:r w:rsidR="00D8184C">
      <w:rPr>
        <w:b/>
        <w:bCs/>
      </w:rPr>
      <w:t>9</w:t>
    </w:r>
  </w:p>
  <w:p w14:paraId="6A0088D4" w14:textId="77777777" w:rsidR="003D64FD" w:rsidRDefault="003D6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B44" w14:textId="255F5411" w:rsidR="003D64FD" w:rsidRDefault="0081259E" w:rsidP="0081259E">
    <w:pPr>
      <w:pBdr>
        <w:bottom w:val="single" w:sz="4" w:space="1" w:color="auto"/>
      </w:pBdr>
      <w:jc w:val="right"/>
    </w:pPr>
    <w:r w:rsidRPr="0081259E">
      <w:rPr>
        <w:b/>
        <w:bCs/>
      </w:rPr>
      <w:t>UN/SCEGHS/37/INF.1</w:t>
    </w:r>
    <w:r w:rsidR="00D8184C">
      <w:rPr>
        <w:b/>
        <w:bCs/>
      </w:rPr>
      <w:t>9</w:t>
    </w:r>
  </w:p>
  <w:p w14:paraId="089A64AD" w14:textId="77777777" w:rsidR="003D64FD" w:rsidRDefault="003D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12"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7"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3"/>
  </w:num>
  <w:num w:numId="3">
    <w:abstractNumId w:val="9"/>
  </w:num>
  <w:num w:numId="4">
    <w:abstractNumId w:val="3"/>
  </w:num>
  <w:num w:numId="5">
    <w:abstractNumId w:val="4"/>
  </w:num>
  <w:num w:numId="6">
    <w:abstractNumId w:val="6"/>
  </w:num>
  <w:num w:numId="7">
    <w:abstractNumId w:val="15"/>
  </w:num>
  <w:num w:numId="8">
    <w:abstractNumId w:val="0"/>
  </w:num>
  <w:num w:numId="9">
    <w:abstractNumId w:val="16"/>
  </w:num>
  <w:num w:numId="10">
    <w:abstractNumId w:val="17"/>
  </w:num>
  <w:num w:numId="11">
    <w:abstractNumId w:val="12"/>
  </w:num>
  <w:num w:numId="12">
    <w:abstractNumId w:val="1"/>
  </w:num>
  <w:num w:numId="13">
    <w:abstractNumId w:val="8"/>
  </w:num>
  <w:num w:numId="14">
    <w:abstractNumId w:val="7"/>
  </w:num>
  <w:num w:numId="15">
    <w:abstractNumId w:val="5"/>
  </w:num>
  <w:num w:numId="16">
    <w:abstractNumId w:val="10"/>
  </w:num>
  <w:num w:numId="17">
    <w:abstractNumId w:val="14"/>
  </w:num>
  <w:num w:numId="18">
    <w:abstractNumId w:val="2"/>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454B8"/>
    <w:rsid w:val="00050F6B"/>
    <w:rsid w:val="00072C8C"/>
    <w:rsid w:val="00081647"/>
    <w:rsid w:val="00090FEC"/>
    <w:rsid w:val="000931C0"/>
    <w:rsid w:val="00095E8A"/>
    <w:rsid w:val="000974EA"/>
    <w:rsid w:val="000B175B"/>
    <w:rsid w:val="000B3A0F"/>
    <w:rsid w:val="000C6544"/>
    <w:rsid w:val="000D10AA"/>
    <w:rsid w:val="000D6A73"/>
    <w:rsid w:val="000E0415"/>
    <w:rsid w:val="000E3373"/>
    <w:rsid w:val="000E4421"/>
    <w:rsid w:val="000E7E0A"/>
    <w:rsid w:val="0010697D"/>
    <w:rsid w:val="001220B8"/>
    <w:rsid w:val="00126310"/>
    <w:rsid w:val="00156F3C"/>
    <w:rsid w:val="00162BF7"/>
    <w:rsid w:val="0016341B"/>
    <w:rsid w:val="00183746"/>
    <w:rsid w:val="00190AEA"/>
    <w:rsid w:val="0019721D"/>
    <w:rsid w:val="001A5648"/>
    <w:rsid w:val="001B06A5"/>
    <w:rsid w:val="001B1835"/>
    <w:rsid w:val="001B4B04"/>
    <w:rsid w:val="001C6663"/>
    <w:rsid w:val="001C7895"/>
    <w:rsid w:val="001D26DF"/>
    <w:rsid w:val="001D6FCB"/>
    <w:rsid w:val="001E47FD"/>
    <w:rsid w:val="001F4F38"/>
    <w:rsid w:val="0021182B"/>
    <w:rsid w:val="00211E0B"/>
    <w:rsid w:val="002405A7"/>
    <w:rsid w:val="0025322D"/>
    <w:rsid w:val="00257E45"/>
    <w:rsid w:val="00262488"/>
    <w:rsid w:val="0029312E"/>
    <w:rsid w:val="00296FA6"/>
    <w:rsid w:val="002D59D3"/>
    <w:rsid w:val="002F54DA"/>
    <w:rsid w:val="002F55F0"/>
    <w:rsid w:val="003107FA"/>
    <w:rsid w:val="003127A2"/>
    <w:rsid w:val="003229D8"/>
    <w:rsid w:val="0032550E"/>
    <w:rsid w:val="00334F5C"/>
    <w:rsid w:val="0033745A"/>
    <w:rsid w:val="0034633E"/>
    <w:rsid w:val="003642AF"/>
    <w:rsid w:val="00366CA7"/>
    <w:rsid w:val="003767B1"/>
    <w:rsid w:val="0039277A"/>
    <w:rsid w:val="003957CE"/>
    <w:rsid w:val="003965B1"/>
    <w:rsid w:val="003972E0"/>
    <w:rsid w:val="003A2C23"/>
    <w:rsid w:val="003B3A99"/>
    <w:rsid w:val="003C2CC4"/>
    <w:rsid w:val="003C3936"/>
    <w:rsid w:val="003D4B23"/>
    <w:rsid w:val="003D64FD"/>
    <w:rsid w:val="003F1ED3"/>
    <w:rsid w:val="00401E33"/>
    <w:rsid w:val="0041449C"/>
    <w:rsid w:val="00421612"/>
    <w:rsid w:val="00426846"/>
    <w:rsid w:val="00430201"/>
    <w:rsid w:val="004325CB"/>
    <w:rsid w:val="00446DE4"/>
    <w:rsid w:val="00460076"/>
    <w:rsid w:val="00460DD9"/>
    <w:rsid w:val="00467F71"/>
    <w:rsid w:val="00470552"/>
    <w:rsid w:val="004A41CA"/>
    <w:rsid w:val="004A6A16"/>
    <w:rsid w:val="004E0088"/>
    <w:rsid w:val="004E65DA"/>
    <w:rsid w:val="004E7ED6"/>
    <w:rsid w:val="00503228"/>
    <w:rsid w:val="00505384"/>
    <w:rsid w:val="00532EF8"/>
    <w:rsid w:val="005420F2"/>
    <w:rsid w:val="0054718F"/>
    <w:rsid w:val="0057329D"/>
    <w:rsid w:val="005B2C89"/>
    <w:rsid w:val="005B3DB3"/>
    <w:rsid w:val="005E22FE"/>
    <w:rsid w:val="005E7A9D"/>
    <w:rsid w:val="00611FC4"/>
    <w:rsid w:val="006176FB"/>
    <w:rsid w:val="00627ED0"/>
    <w:rsid w:val="00634CEC"/>
    <w:rsid w:val="00640B26"/>
    <w:rsid w:val="006560F1"/>
    <w:rsid w:val="00665595"/>
    <w:rsid w:val="00691F20"/>
    <w:rsid w:val="00693543"/>
    <w:rsid w:val="006A7392"/>
    <w:rsid w:val="006A7757"/>
    <w:rsid w:val="006C34A9"/>
    <w:rsid w:val="006D2781"/>
    <w:rsid w:val="006E564B"/>
    <w:rsid w:val="006F63CD"/>
    <w:rsid w:val="006F74AF"/>
    <w:rsid w:val="00701303"/>
    <w:rsid w:val="007123F0"/>
    <w:rsid w:val="0071349F"/>
    <w:rsid w:val="00720DEB"/>
    <w:rsid w:val="00722217"/>
    <w:rsid w:val="0072632A"/>
    <w:rsid w:val="00733AAE"/>
    <w:rsid w:val="00746124"/>
    <w:rsid w:val="00760020"/>
    <w:rsid w:val="00771FD5"/>
    <w:rsid w:val="00781A60"/>
    <w:rsid w:val="007A0B22"/>
    <w:rsid w:val="007A4655"/>
    <w:rsid w:val="007A5CE5"/>
    <w:rsid w:val="007B6BA5"/>
    <w:rsid w:val="007C3390"/>
    <w:rsid w:val="007C4F4B"/>
    <w:rsid w:val="007E716C"/>
    <w:rsid w:val="007F0B83"/>
    <w:rsid w:val="007F48EF"/>
    <w:rsid w:val="007F4FCD"/>
    <w:rsid w:val="007F6611"/>
    <w:rsid w:val="0081259E"/>
    <w:rsid w:val="0081732C"/>
    <w:rsid w:val="008175E9"/>
    <w:rsid w:val="008242D7"/>
    <w:rsid w:val="00827E05"/>
    <w:rsid w:val="008311A3"/>
    <w:rsid w:val="00832698"/>
    <w:rsid w:val="00836AF7"/>
    <w:rsid w:val="00871FD5"/>
    <w:rsid w:val="00882A62"/>
    <w:rsid w:val="008979B1"/>
    <w:rsid w:val="008A3CC2"/>
    <w:rsid w:val="008A6B25"/>
    <w:rsid w:val="008A6C4F"/>
    <w:rsid w:val="008B6E26"/>
    <w:rsid w:val="008D2F0C"/>
    <w:rsid w:val="008E0E46"/>
    <w:rsid w:val="008E340A"/>
    <w:rsid w:val="008E4C4C"/>
    <w:rsid w:val="008F6F29"/>
    <w:rsid w:val="00907AD2"/>
    <w:rsid w:val="00911047"/>
    <w:rsid w:val="00912DAB"/>
    <w:rsid w:val="00916C17"/>
    <w:rsid w:val="00932FE6"/>
    <w:rsid w:val="00935562"/>
    <w:rsid w:val="00940883"/>
    <w:rsid w:val="00960BFE"/>
    <w:rsid w:val="00963CBA"/>
    <w:rsid w:val="009650E6"/>
    <w:rsid w:val="00965932"/>
    <w:rsid w:val="00974A8D"/>
    <w:rsid w:val="009751DE"/>
    <w:rsid w:val="0099001C"/>
    <w:rsid w:val="00991261"/>
    <w:rsid w:val="009A2668"/>
    <w:rsid w:val="009C1552"/>
    <w:rsid w:val="009C7690"/>
    <w:rsid w:val="009E40D6"/>
    <w:rsid w:val="009F3A17"/>
    <w:rsid w:val="009F3D53"/>
    <w:rsid w:val="00A071F3"/>
    <w:rsid w:val="00A1427D"/>
    <w:rsid w:val="00A426FB"/>
    <w:rsid w:val="00A53FBA"/>
    <w:rsid w:val="00A54ABA"/>
    <w:rsid w:val="00A55FB2"/>
    <w:rsid w:val="00A72F22"/>
    <w:rsid w:val="00A748A6"/>
    <w:rsid w:val="00A80459"/>
    <w:rsid w:val="00A805EB"/>
    <w:rsid w:val="00A8760B"/>
    <w:rsid w:val="00A879A4"/>
    <w:rsid w:val="00A87F4E"/>
    <w:rsid w:val="00A965E2"/>
    <w:rsid w:val="00AA496B"/>
    <w:rsid w:val="00AC39CB"/>
    <w:rsid w:val="00AD0C2D"/>
    <w:rsid w:val="00AD514D"/>
    <w:rsid w:val="00AE5C96"/>
    <w:rsid w:val="00AE71F3"/>
    <w:rsid w:val="00B00936"/>
    <w:rsid w:val="00B07933"/>
    <w:rsid w:val="00B30179"/>
    <w:rsid w:val="00B30E8F"/>
    <w:rsid w:val="00B33EC0"/>
    <w:rsid w:val="00B354F9"/>
    <w:rsid w:val="00B72E1B"/>
    <w:rsid w:val="00B81E12"/>
    <w:rsid w:val="00B93A39"/>
    <w:rsid w:val="00B94D68"/>
    <w:rsid w:val="00B97D28"/>
    <w:rsid w:val="00BC74E9"/>
    <w:rsid w:val="00BD130F"/>
    <w:rsid w:val="00BD2146"/>
    <w:rsid w:val="00BD595D"/>
    <w:rsid w:val="00BE0EC3"/>
    <w:rsid w:val="00BE4F74"/>
    <w:rsid w:val="00BE618E"/>
    <w:rsid w:val="00C11F08"/>
    <w:rsid w:val="00C17699"/>
    <w:rsid w:val="00C1778D"/>
    <w:rsid w:val="00C41A28"/>
    <w:rsid w:val="00C43AA9"/>
    <w:rsid w:val="00C463DD"/>
    <w:rsid w:val="00C6210B"/>
    <w:rsid w:val="00C745C3"/>
    <w:rsid w:val="00C834DB"/>
    <w:rsid w:val="00C945EB"/>
    <w:rsid w:val="00CC65B7"/>
    <w:rsid w:val="00CE4A8F"/>
    <w:rsid w:val="00CE6EC2"/>
    <w:rsid w:val="00CF7A90"/>
    <w:rsid w:val="00D055EB"/>
    <w:rsid w:val="00D1628D"/>
    <w:rsid w:val="00D2031B"/>
    <w:rsid w:val="00D214E9"/>
    <w:rsid w:val="00D25FE2"/>
    <w:rsid w:val="00D270D5"/>
    <w:rsid w:val="00D317BB"/>
    <w:rsid w:val="00D35D8F"/>
    <w:rsid w:val="00D43252"/>
    <w:rsid w:val="00D5400F"/>
    <w:rsid w:val="00D63881"/>
    <w:rsid w:val="00D63D79"/>
    <w:rsid w:val="00D7387D"/>
    <w:rsid w:val="00D8184C"/>
    <w:rsid w:val="00D86E4D"/>
    <w:rsid w:val="00D978C6"/>
    <w:rsid w:val="00DA67AD"/>
    <w:rsid w:val="00DB5D0F"/>
    <w:rsid w:val="00DB6E94"/>
    <w:rsid w:val="00DC3242"/>
    <w:rsid w:val="00DD0CE1"/>
    <w:rsid w:val="00DE7F20"/>
    <w:rsid w:val="00DF12F7"/>
    <w:rsid w:val="00DF2C64"/>
    <w:rsid w:val="00DF76F0"/>
    <w:rsid w:val="00E02C81"/>
    <w:rsid w:val="00E04A75"/>
    <w:rsid w:val="00E06EAB"/>
    <w:rsid w:val="00E119FB"/>
    <w:rsid w:val="00E12E5A"/>
    <w:rsid w:val="00E130AB"/>
    <w:rsid w:val="00E15151"/>
    <w:rsid w:val="00E15DEA"/>
    <w:rsid w:val="00E23E51"/>
    <w:rsid w:val="00E31C87"/>
    <w:rsid w:val="00E32536"/>
    <w:rsid w:val="00E677EC"/>
    <w:rsid w:val="00E70DF5"/>
    <w:rsid w:val="00E7260F"/>
    <w:rsid w:val="00E80F5F"/>
    <w:rsid w:val="00E87921"/>
    <w:rsid w:val="00E96630"/>
    <w:rsid w:val="00EA264E"/>
    <w:rsid w:val="00EA3A41"/>
    <w:rsid w:val="00EB2B47"/>
    <w:rsid w:val="00EC2939"/>
    <w:rsid w:val="00ED1541"/>
    <w:rsid w:val="00ED71D9"/>
    <w:rsid w:val="00ED7A2A"/>
    <w:rsid w:val="00EF1D7F"/>
    <w:rsid w:val="00EF358F"/>
    <w:rsid w:val="00F03A6B"/>
    <w:rsid w:val="00F124A0"/>
    <w:rsid w:val="00F26A7C"/>
    <w:rsid w:val="00F32379"/>
    <w:rsid w:val="00F53EDA"/>
    <w:rsid w:val="00F67D9B"/>
    <w:rsid w:val="00F73015"/>
    <w:rsid w:val="00F7753D"/>
    <w:rsid w:val="00F85F34"/>
    <w:rsid w:val="00FA06F7"/>
    <w:rsid w:val="00FB171A"/>
    <w:rsid w:val="00FC09B8"/>
    <w:rsid w:val="00FC26D7"/>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94203F"/>
  <w15:docId w15:val="{47C29AA8-291C-44A3-A5A1-FD9B710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 w:type="paragraph" w:customStyle="1" w:styleId="Normalnumber">
    <w:name w:val="Normal_number"/>
    <w:basedOn w:val="Normal"/>
    <w:link w:val="NormalnumberChar"/>
    <w:rsid w:val="00D8184C"/>
    <w:pPr>
      <w:numPr>
        <w:numId w:val="19"/>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D8184C"/>
    <w:rPr>
      <w:lang w:eastAsia="en-US"/>
    </w:rPr>
  </w:style>
  <w:style w:type="numbering" w:customStyle="1" w:styleId="Normallist">
    <w:name w:val="Normal_list"/>
    <w:basedOn w:val="NoList"/>
    <w:rsid w:val="00D8184C"/>
    <w:pPr>
      <w:numPr>
        <w:numId w:val="19"/>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D8184C"/>
    <w:pPr>
      <w:suppressAutoHyphens w:val="0"/>
      <w:spacing w:before="120" w:after="160" w:line="240" w:lineRule="exact"/>
    </w:pPr>
    <w:rPr>
      <w:sz w:val="18"/>
      <w:vertAlign w:val="superscript"/>
      <w:lang w:eastAsia="zh-CN"/>
    </w:rPr>
  </w:style>
  <w:style w:type="character" w:styleId="UnresolvedMention">
    <w:name w:val="Unresolved Mention"/>
    <w:basedOn w:val="DefaultParagraphFont"/>
    <w:uiPriority w:val="99"/>
    <w:semiHidden/>
    <w:unhideWhenUsed/>
    <w:rsid w:val="00D8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asel.int/Implementation/LegalMatters/LegalClarity/Meetings/1stRAEWGmtg/tabid/" TargetMode="External"/><Relationship Id="rId1" Type="http://schemas.openxmlformats.org/officeDocument/2006/relationships/hyperlink" Target="http://www.basel.int/Implementation/LegalMatters/LegalClarity/ReviewofAnnexes/AnnexesI,II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D184-286A-4DC3-975B-7EB0CC6F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2019-07-03T11:39:00Z</cp:lastPrinted>
  <dcterms:created xsi:type="dcterms:W3CDTF">2019-07-03T11:30:00Z</dcterms:created>
  <dcterms:modified xsi:type="dcterms:W3CDTF">2019-07-03T12:29:00Z</dcterms:modified>
</cp:coreProperties>
</file>