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20293" w14:paraId="4279BABF" w14:textId="77777777" w:rsidTr="00691F20">
        <w:trPr>
          <w:cantSplit/>
          <w:trHeight w:hRule="exact" w:val="851"/>
        </w:trPr>
        <w:tc>
          <w:tcPr>
            <w:tcW w:w="9639" w:type="dxa"/>
            <w:tcBorders>
              <w:bottom w:val="single" w:sz="4" w:space="0" w:color="auto"/>
            </w:tcBorders>
            <w:vAlign w:val="bottom"/>
          </w:tcPr>
          <w:p w14:paraId="64AC565B" w14:textId="31ABB1C4" w:rsidR="0099001C" w:rsidRPr="00520293" w:rsidRDefault="0099001C" w:rsidP="00230602">
            <w:pPr>
              <w:jc w:val="right"/>
              <w:rPr>
                <w:b/>
                <w:sz w:val="40"/>
                <w:szCs w:val="40"/>
              </w:rPr>
            </w:pPr>
            <w:r w:rsidRPr="00520293">
              <w:rPr>
                <w:b/>
                <w:sz w:val="40"/>
                <w:szCs w:val="40"/>
              </w:rPr>
              <w:t>UN/SCEGHS/</w:t>
            </w:r>
            <w:r w:rsidR="007D4EB2" w:rsidRPr="00520293">
              <w:rPr>
                <w:b/>
                <w:sz w:val="40"/>
                <w:szCs w:val="40"/>
              </w:rPr>
              <w:t>38</w:t>
            </w:r>
            <w:r w:rsidRPr="00520293">
              <w:rPr>
                <w:b/>
                <w:sz w:val="40"/>
                <w:szCs w:val="40"/>
              </w:rPr>
              <w:t>/INF.</w:t>
            </w:r>
            <w:r w:rsidR="00520293" w:rsidRPr="00520293">
              <w:rPr>
                <w:b/>
                <w:sz w:val="40"/>
                <w:szCs w:val="40"/>
              </w:rPr>
              <w:t>13</w:t>
            </w:r>
          </w:p>
        </w:tc>
      </w:tr>
      <w:tr w:rsidR="007D4EB2" w:rsidRPr="000A2877" w14:paraId="6DDC0E61" w14:textId="77777777" w:rsidTr="00330CA7">
        <w:trPr>
          <w:cantSplit/>
          <w:trHeight w:hRule="exact" w:val="3555"/>
        </w:trPr>
        <w:tc>
          <w:tcPr>
            <w:tcW w:w="9639" w:type="dxa"/>
            <w:tcBorders>
              <w:top w:val="single" w:sz="4" w:space="0" w:color="auto"/>
            </w:tcBorders>
          </w:tcPr>
          <w:p w14:paraId="5667F5D0" w14:textId="77777777" w:rsidR="007D4EB2" w:rsidRPr="004B0F52" w:rsidRDefault="007D4EB2" w:rsidP="007D4EB2">
            <w:pPr>
              <w:spacing w:before="120"/>
              <w:rPr>
                <w:rFonts w:asciiTheme="majorBidi" w:hAnsiTheme="majorBidi" w:cstheme="majorBidi"/>
                <w:b/>
                <w:sz w:val="24"/>
                <w:szCs w:val="24"/>
              </w:rPr>
            </w:pPr>
            <w:r w:rsidRPr="004B0F52">
              <w:rPr>
                <w:rFonts w:asciiTheme="majorBidi" w:hAnsiTheme="majorBidi" w:cstheme="majorBidi"/>
                <w:b/>
                <w:sz w:val="24"/>
                <w:szCs w:val="24"/>
              </w:rPr>
              <w:t>Committee of Experts on the Transport of Dangerous Goods</w:t>
            </w:r>
            <w:r w:rsidRPr="004B0F52">
              <w:rPr>
                <w:rFonts w:asciiTheme="majorBidi" w:hAnsiTheme="majorBidi" w:cstheme="majorBidi"/>
                <w:b/>
                <w:sz w:val="24"/>
                <w:szCs w:val="24"/>
              </w:rPr>
              <w:br/>
              <w:t>and on the Globally Harmonized System of Classification</w:t>
            </w:r>
            <w:r w:rsidRPr="004B0F52">
              <w:rPr>
                <w:rFonts w:asciiTheme="majorBidi" w:hAnsiTheme="majorBidi" w:cstheme="majorBidi"/>
                <w:b/>
                <w:sz w:val="24"/>
                <w:szCs w:val="24"/>
              </w:rPr>
              <w:br/>
              <w:t>and Labelling of Chemicals</w:t>
            </w:r>
          </w:p>
          <w:p w14:paraId="6D4E0281" w14:textId="1C108BD2" w:rsidR="007D4EB2" w:rsidRPr="004B0F52" w:rsidRDefault="007D4EB2" w:rsidP="007D4EB2">
            <w:pPr>
              <w:tabs>
                <w:tab w:val="left" w:pos="7230"/>
                <w:tab w:val="right" w:pos="9300"/>
              </w:tabs>
              <w:spacing w:before="120"/>
              <w:rPr>
                <w:rFonts w:asciiTheme="majorBidi" w:hAnsiTheme="majorBidi" w:cstheme="majorBidi"/>
                <w:b/>
                <w:color w:val="000000"/>
              </w:rPr>
            </w:pPr>
            <w:r w:rsidRPr="004B0F52">
              <w:rPr>
                <w:rFonts w:asciiTheme="majorBidi" w:hAnsiTheme="majorBidi" w:cstheme="majorBidi"/>
                <w:b/>
              </w:rPr>
              <w:t>Sub-Committee of Experts on the Globally Harmonized</w:t>
            </w:r>
            <w:r w:rsidRPr="004B0F52">
              <w:rPr>
                <w:rFonts w:asciiTheme="majorBidi" w:hAnsiTheme="majorBidi" w:cstheme="majorBidi"/>
                <w:b/>
              </w:rPr>
              <w:br/>
              <w:t>System of Classification and Labelling of Chemicals</w:t>
            </w:r>
            <w:r w:rsidRPr="004B0F52">
              <w:rPr>
                <w:rFonts w:asciiTheme="majorBidi" w:hAnsiTheme="majorBidi" w:cstheme="majorBidi"/>
                <w:b/>
              </w:rPr>
              <w:tab/>
            </w:r>
            <w:r w:rsidRPr="004B0F52">
              <w:rPr>
                <w:rFonts w:asciiTheme="majorBidi" w:hAnsiTheme="majorBidi" w:cstheme="majorBidi"/>
                <w:b/>
              </w:rPr>
              <w:tab/>
            </w:r>
            <w:r w:rsidR="00C74E4C" w:rsidRPr="00C74E4C">
              <w:rPr>
                <w:rFonts w:asciiTheme="majorBidi" w:hAnsiTheme="majorBidi" w:cstheme="majorBidi"/>
                <w:b/>
              </w:rPr>
              <w:t>22</w:t>
            </w:r>
            <w:r w:rsidRPr="00C74E4C">
              <w:rPr>
                <w:rFonts w:asciiTheme="majorBidi" w:hAnsiTheme="majorBidi" w:cstheme="majorBidi"/>
                <w:b/>
              </w:rPr>
              <w:t xml:space="preserve"> </w:t>
            </w:r>
            <w:r w:rsidR="00526634" w:rsidRPr="00C74E4C">
              <w:rPr>
                <w:rFonts w:asciiTheme="majorBidi" w:hAnsiTheme="majorBidi" w:cstheme="majorBidi"/>
                <w:b/>
              </w:rPr>
              <w:t xml:space="preserve">November </w:t>
            </w:r>
            <w:r w:rsidRPr="00C74E4C">
              <w:rPr>
                <w:rFonts w:asciiTheme="majorBidi" w:hAnsiTheme="majorBidi" w:cstheme="majorBidi"/>
                <w:b/>
              </w:rPr>
              <w:t>2019</w:t>
            </w:r>
          </w:p>
          <w:p w14:paraId="64C2F5D0" w14:textId="52FA5CF9" w:rsidR="007D4EB2" w:rsidRPr="004B0F52" w:rsidRDefault="007D4EB2" w:rsidP="007D4EB2">
            <w:pPr>
              <w:spacing w:before="120"/>
              <w:rPr>
                <w:rFonts w:asciiTheme="majorBidi" w:hAnsiTheme="majorBidi" w:cstheme="majorBidi"/>
                <w:b/>
              </w:rPr>
            </w:pPr>
            <w:r w:rsidRPr="004B0F52">
              <w:rPr>
                <w:rFonts w:asciiTheme="majorBidi" w:hAnsiTheme="majorBidi" w:cstheme="majorBidi"/>
                <w:b/>
                <w:bCs/>
              </w:rPr>
              <w:t>Thirty-eight</w:t>
            </w:r>
            <w:r w:rsidR="003E4E87">
              <w:rPr>
                <w:rFonts w:asciiTheme="majorBidi" w:hAnsiTheme="majorBidi" w:cstheme="majorBidi"/>
                <w:b/>
                <w:bCs/>
              </w:rPr>
              <w:t>h</w:t>
            </w:r>
            <w:r w:rsidRPr="004B0F52">
              <w:rPr>
                <w:rFonts w:asciiTheme="majorBidi" w:hAnsiTheme="majorBidi" w:cstheme="majorBidi"/>
                <w:b/>
                <w:bCs/>
              </w:rPr>
              <w:t xml:space="preserve"> session</w:t>
            </w:r>
          </w:p>
          <w:p w14:paraId="265D1C95" w14:textId="77777777" w:rsidR="007D4EB2" w:rsidRPr="004B0F52" w:rsidRDefault="007D4EB2" w:rsidP="007D4EB2">
            <w:pPr>
              <w:jc w:val="both"/>
              <w:rPr>
                <w:rFonts w:asciiTheme="majorBidi" w:hAnsiTheme="majorBidi" w:cstheme="majorBidi"/>
              </w:rPr>
            </w:pPr>
            <w:r w:rsidRPr="004B0F52">
              <w:rPr>
                <w:rFonts w:asciiTheme="majorBidi" w:hAnsiTheme="majorBidi" w:cstheme="majorBidi"/>
              </w:rPr>
              <w:t>Geneva, 11-13 December 2019</w:t>
            </w:r>
          </w:p>
          <w:p w14:paraId="6EB46F75" w14:textId="19D35500" w:rsidR="00774D00" w:rsidRPr="00914005" w:rsidRDefault="00774D00" w:rsidP="00774D00">
            <w:pPr>
              <w:jc w:val="both"/>
              <w:rPr>
                <w:lang w:val="en-US"/>
              </w:rPr>
            </w:pPr>
            <w:r w:rsidRPr="00914005">
              <w:rPr>
                <w:lang w:val="en-US"/>
              </w:rPr>
              <w:t xml:space="preserve">Item </w:t>
            </w:r>
            <w:r w:rsidR="00D00CAA">
              <w:rPr>
                <w:lang w:val="en-US"/>
              </w:rPr>
              <w:t>4 (b)</w:t>
            </w:r>
            <w:r w:rsidRPr="00914005">
              <w:rPr>
                <w:lang w:val="en-US"/>
              </w:rPr>
              <w:t xml:space="preserve"> of the provisional agenda</w:t>
            </w:r>
          </w:p>
          <w:p w14:paraId="5D1E48CF" w14:textId="1B9C0594" w:rsidR="007D4EB2" w:rsidRPr="000A2877" w:rsidRDefault="00D00CAA" w:rsidP="00774D00">
            <w:pPr>
              <w:spacing w:before="40"/>
              <w:rPr>
                <w:rFonts w:asciiTheme="majorBidi" w:hAnsiTheme="majorBidi" w:cstheme="majorBidi"/>
              </w:rPr>
            </w:pPr>
            <w:r>
              <w:rPr>
                <w:b/>
                <w:bCs/>
              </w:rPr>
              <w:t>Reports on the status of implementation</w:t>
            </w:r>
          </w:p>
        </w:tc>
      </w:tr>
    </w:tbl>
    <w:p w14:paraId="6BDFA0FB" w14:textId="1372447F" w:rsidR="00774D00" w:rsidRPr="00B11A28" w:rsidRDefault="007D4EB2" w:rsidP="00E87DD8">
      <w:pPr>
        <w:pStyle w:val="HChG"/>
      </w:pPr>
      <w:r w:rsidRPr="000A2877">
        <w:rPr>
          <w:rFonts w:eastAsia="MS Mincho"/>
        </w:rPr>
        <w:tab/>
      </w:r>
      <w:r w:rsidRPr="000A2877">
        <w:rPr>
          <w:rFonts w:eastAsia="MS Mincho"/>
        </w:rPr>
        <w:tab/>
      </w:r>
      <w:r w:rsidR="00FF410B">
        <w:rPr>
          <w:rFonts w:eastAsia="MS Mincho"/>
        </w:rPr>
        <w:t xml:space="preserve">GHS implementation status in </w:t>
      </w:r>
      <w:r w:rsidR="00A106A7">
        <w:rPr>
          <w:rFonts w:eastAsia="MS Mincho"/>
        </w:rPr>
        <w:t xml:space="preserve">New Zealand and </w:t>
      </w:r>
      <w:r w:rsidR="00BB1CC0">
        <w:rPr>
          <w:rFonts w:eastAsia="MS Mincho"/>
        </w:rPr>
        <w:t xml:space="preserve">in </w:t>
      </w:r>
      <w:bookmarkStart w:id="0" w:name="_GoBack"/>
      <w:bookmarkEnd w:id="0"/>
      <w:r w:rsidR="00E70403">
        <w:rPr>
          <w:rFonts w:eastAsia="MS Mincho"/>
        </w:rPr>
        <w:t>the ANDEAN community</w:t>
      </w:r>
    </w:p>
    <w:p w14:paraId="4CBAC714" w14:textId="06BC7448" w:rsidR="003F2DAA" w:rsidRDefault="003F2DAA" w:rsidP="00B11A28">
      <w:pPr>
        <w:pStyle w:val="H23G"/>
      </w:pPr>
      <w:r w:rsidRPr="00B11A28">
        <w:tab/>
      </w:r>
      <w:r w:rsidRPr="00B11A28">
        <w:tab/>
        <w:t>Note by the secretariat</w:t>
      </w:r>
    </w:p>
    <w:p w14:paraId="2EDB32E2" w14:textId="790719DE" w:rsidR="00675B87" w:rsidRPr="00E87DD8" w:rsidRDefault="00E87DD8" w:rsidP="00E87DD8">
      <w:pPr>
        <w:pStyle w:val="HChG"/>
      </w:pPr>
      <w:r>
        <w:tab/>
      </w:r>
      <w:r>
        <w:tab/>
      </w:r>
      <w:r w:rsidR="00B3734A" w:rsidRPr="00E87DD8">
        <w:t>ANDEAN Community</w:t>
      </w:r>
    </w:p>
    <w:p w14:paraId="27EEBE1F" w14:textId="5AEBB14C" w:rsidR="002C4F1C" w:rsidRDefault="00A106A7" w:rsidP="002C4F1C">
      <w:pPr>
        <w:pStyle w:val="SingleTxtG"/>
      </w:pPr>
      <w:r>
        <w:t>1.</w:t>
      </w:r>
      <w:r>
        <w:tab/>
      </w:r>
      <w:r w:rsidR="00B3734A" w:rsidRPr="00C342DA">
        <w:t>The Secretariat of the ANDEAN Community issued a press release to announce the publication</w:t>
      </w:r>
      <w:r w:rsidR="002C4F1C">
        <w:t xml:space="preserve"> </w:t>
      </w:r>
      <w:r w:rsidR="002C4F1C" w:rsidRPr="00C342DA">
        <w:t>of Resolution 2075</w:t>
      </w:r>
      <w:r w:rsidR="002C4F1C">
        <w:t xml:space="preserve"> </w:t>
      </w:r>
      <w:r w:rsidR="00B3734A" w:rsidRPr="00C342DA">
        <w:t xml:space="preserve">adopting the </w:t>
      </w:r>
      <w:r w:rsidR="006A7524" w:rsidRPr="00C342DA">
        <w:t xml:space="preserve">updated </w:t>
      </w:r>
      <w:r w:rsidR="00B3734A" w:rsidRPr="00C342DA">
        <w:t xml:space="preserve">“Technical Manual for the Registration and Control of </w:t>
      </w:r>
      <w:r w:rsidR="006A7524" w:rsidRPr="00C342DA">
        <w:t xml:space="preserve">Chemical </w:t>
      </w:r>
      <w:r w:rsidR="00B3734A" w:rsidRPr="00C342DA">
        <w:t xml:space="preserve">Pesticides for Agricultural Use” </w:t>
      </w:r>
      <w:r w:rsidR="00C342DA">
        <w:t xml:space="preserve">(hereafter referred to as the “Manual”) </w:t>
      </w:r>
      <w:r w:rsidR="00B3734A" w:rsidRPr="00C342DA">
        <w:t xml:space="preserve">for implementation in </w:t>
      </w:r>
      <w:r w:rsidR="006A7524" w:rsidRPr="00C342DA">
        <w:t>the ANDEAN member countries (</w:t>
      </w:r>
      <w:r w:rsidR="00B3734A" w:rsidRPr="00C342DA">
        <w:t>Bolivia, Colombia, Ecuador and Peru</w:t>
      </w:r>
      <w:r w:rsidR="006A7524" w:rsidRPr="00C342DA">
        <w:t>)</w:t>
      </w:r>
      <w:r w:rsidR="00B3734A" w:rsidRPr="00C342DA">
        <w:t>.</w:t>
      </w:r>
      <w:r w:rsidR="002C4F1C" w:rsidRPr="002C4F1C">
        <w:t xml:space="preserve"> </w:t>
      </w:r>
    </w:p>
    <w:p w14:paraId="3A151315" w14:textId="2DD681C7" w:rsidR="002C4F1C" w:rsidRPr="00C342DA" w:rsidRDefault="00A106A7" w:rsidP="00B46F91">
      <w:pPr>
        <w:pStyle w:val="SingleTxtG"/>
      </w:pPr>
      <w:r>
        <w:t>2.</w:t>
      </w:r>
      <w:r>
        <w:tab/>
      </w:r>
      <w:r w:rsidR="002C4F1C">
        <w:t xml:space="preserve">The Resolution was published in </w:t>
      </w:r>
      <w:r w:rsidR="00B46F91">
        <w:t>No.3709 of t</w:t>
      </w:r>
      <w:r w:rsidR="002C4F1C">
        <w:t xml:space="preserve">he Official Gazette of the Cartagena Agreement on 2 August 2019 and will enter </w:t>
      </w:r>
      <w:r w:rsidR="00C342DA">
        <w:t xml:space="preserve">into force 6 months after </w:t>
      </w:r>
      <w:r w:rsidR="002C4F1C">
        <w:t>that date</w:t>
      </w:r>
      <w:r w:rsidR="00C342DA">
        <w:t xml:space="preserve">. </w:t>
      </w:r>
      <w:r w:rsidR="002C4F1C">
        <w:t xml:space="preserve">The full text of the Resolution (Spanish only) is available at: </w:t>
      </w:r>
      <w:hyperlink r:id="rId8" w:history="1">
        <w:r w:rsidR="002C4F1C" w:rsidRPr="008923CB">
          <w:rPr>
            <w:rStyle w:val="Hyperlink"/>
          </w:rPr>
          <w:t>http://www.comunidadandina.org/Normativa.aspx</w:t>
        </w:r>
      </w:hyperlink>
      <w:r w:rsidR="002C4F1C">
        <w:t>.</w:t>
      </w:r>
    </w:p>
    <w:p w14:paraId="5A4B0B0A" w14:textId="37BCF58F" w:rsidR="00B3734A" w:rsidRPr="00C342DA" w:rsidRDefault="00A106A7" w:rsidP="00B3734A">
      <w:pPr>
        <w:pStyle w:val="SingleTxtG"/>
      </w:pPr>
      <w:r>
        <w:t>3.</w:t>
      </w:r>
      <w:r>
        <w:tab/>
      </w:r>
      <w:r w:rsidR="00B3734A" w:rsidRPr="00C342DA">
        <w:t>Resolution 2075</w:t>
      </w:r>
      <w:r w:rsidR="006A7524" w:rsidRPr="00C342DA">
        <w:t xml:space="preserve"> </w:t>
      </w:r>
      <w:r w:rsidR="00B3734A" w:rsidRPr="00C342DA">
        <w:t xml:space="preserve">establishes the requirements and conditions for the registration of Chemical Pesticides for Agricultural Use (PQUA), in the four countries of the Andean Community and addresses the agronomic aspects of health and environment </w:t>
      </w:r>
      <w:r w:rsidR="006A7524" w:rsidRPr="00C342DA">
        <w:t xml:space="preserve">to be complied with by </w:t>
      </w:r>
      <w:r w:rsidR="00B3734A" w:rsidRPr="00C342DA">
        <w:t xml:space="preserve">applicants to obtain such registration, </w:t>
      </w:r>
      <w:r w:rsidR="00C342DA">
        <w:t xml:space="preserve">to be </w:t>
      </w:r>
      <w:r w:rsidR="00B3734A" w:rsidRPr="00C342DA">
        <w:t xml:space="preserve">granted by the </w:t>
      </w:r>
      <w:r w:rsidR="006A7524" w:rsidRPr="00C342DA">
        <w:t>national c</w:t>
      </w:r>
      <w:r w:rsidR="00B3734A" w:rsidRPr="00C342DA">
        <w:t xml:space="preserve">ompetent </w:t>
      </w:r>
      <w:r w:rsidR="006A7524" w:rsidRPr="00C342DA">
        <w:t>a</w:t>
      </w:r>
      <w:r w:rsidR="00B3734A" w:rsidRPr="00C342DA">
        <w:t>uthorities</w:t>
      </w:r>
      <w:r w:rsidR="006A7524" w:rsidRPr="00C342DA">
        <w:t xml:space="preserve">. </w:t>
      </w:r>
      <w:r w:rsidR="00C342DA" w:rsidRPr="00C342DA">
        <w:t>R</w:t>
      </w:r>
      <w:r w:rsidR="006A7524" w:rsidRPr="00C342DA">
        <w:t xml:space="preserve">egistration is </w:t>
      </w:r>
      <w:r w:rsidR="00C342DA">
        <w:t>mandatory</w:t>
      </w:r>
      <w:r w:rsidR="00C342DA" w:rsidRPr="00C342DA">
        <w:t xml:space="preserve"> to </w:t>
      </w:r>
      <w:r w:rsidR="00B3734A" w:rsidRPr="00C342DA">
        <w:t>manufactur</w:t>
      </w:r>
      <w:r w:rsidR="00C342DA" w:rsidRPr="00C342DA">
        <w:t>e</w:t>
      </w:r>
      <w:r w:rsidR="00B3734A" w:rsidRPr="00C342DA">
        <w:t>, formulat</w:t>
      </w:r>
      <w:r w:rsidR="00C342DA" w:rsidRPr="00C342DA">
        <w:t>e</w:t>
      </w:r>
      <w:r w:rsidR="00B3734A" w:rsidRPr="00C342DA">
        <w:t xml:space="preserve">, import, export, package, </w:t>
      </w:r>
      <w:r w:rsidR="006A7524" w:rsidRPr="00C342DA">
        <w:t>commercialise</w:t>
      </w:r>
      <w:r w:rsidR="00B3734A" w:rsidRPr="00C342DA">
        <w:t xml:space="preserve"> and distribute these products </w:t>
      </w:r>
      <w:r w:rsidR="006A7524" w:rsidRPr="00C342DA">
        <w:t>in ANDEAN member countries</w:t>
      </w:r>
      <w:r w:rsidR="00B3734A" w:rsidRPr="00C342DA">
        <w:t>.</w:t>
      </w:r>
    </w:p>
    <w:p w14:paraId="11CC892D" w14:textId="43513F6C" w:rsidR="00B3734A" w:rsidRPr="004E7DCC" w:rsidRDefault="00A106A7" w:rsidP="001E262A">
      <w:pPr>
        <w:pStyle w:val="SingleTxtG"/>
      </w:pPr>
      <w:r>
        <w:t>4.</w:t>
      </w:r>
      <w:r>
        <w:tab/>
      </w:r>
      <w:r w:rsidR="00B3734A" w:rsidRPr="004E7DCC">
        <w:t>The Manual</w:t>
      </w:r>
      <w:r w:rsidR="00C342DA" w:rsidRPr="004E7DCC">
        <w:t>, which is annexed to Resolution 2075,</w:t>
      </w:r>
      <w:r w:rsidR="00B3734A" w:rsidRPr="004E7DCC">
        <w:t xml:space="preserve"> requires registrants to provide information on physical</w:t>
      </w:r>
      <w:r w:rsidR="001E262A" w:rsidRPr="004E7DCC">
        <w:t xml:space="preserve"> and</w:t>
      </w:r>
      <w:r w:rsidR="00B3734A" w:rsidRPr="004E7DCC">
        <w:t xml:space="preserve"> chemical properties</w:t>
      </w:r>
      <w:r w:rsidR="001E262A" w:rsidRPr="004E7DCC">
        <w:t xml:space="preserve"> (including toxicological and ecotoxicological effects, among others), with classification for </w:t>
      </w:r>
      <w:r w:rsidR="00112E7D" w:rsidRPr="004E7DCC">
        <w:t xml:space="preserve">the following </w:t>
      </w:r>
      <w:r w:rsidR="001E262A" w:rsidRPr="004E7DCC">
        <w:t>physical, health and environmental hazards in accordance with the GHS:</w:t>
      </w:r>
    </w:p>
    <w:p w14:paraId="512FBE8F" w14:textId="7339E7C1" w:rsidR="001E262A" w:rsidRPr="004E7DCC" w:rsidRDefault="00513F0E" w:rsidP="001E262A">
      <w:pPr>
        <w:pStyle w:val="SingleTxtG"/>
      </w:pPr>
      <w:r w:rsidRPr="004E7DCC">
        <w:t xml:space="preserve">(a) </w:t>
      </w:r>
      <w:r w:rsidRPr="004E7DCC">
        <w:tab/>
      </w:r>
      <w:r w:rsidR="001E262A" w:rsidRPr="004E7DCC">
        <w:t xml:space="preserve">Physical hazards: </w:t>
      </w:r>
    </w:p>
    <w:p w14:paraId="4E695EDB" w14:textId="32C49CD5" w:rsidR="001E262A" w:rsidRPr="004E7DCC" w:rsidRDefault="001E262A" w:rsidP="00513F0E">
      <w:pPr>
        <w:pStyle w:val="Bullet1G"/>
      </w:pPr>
      <w:r w:rsidRPr="004E7DCC">
        <w:t xml:space="preserve">explosives (divisions 1.1 to 1.4) </w:t>
      </w:r>
    </w:p>
    <w:p w14:paraId="3D7E3B84" w14:textId="3BC175F0" w:rsidR="001E262A" w:rsidRPr="004E7DCC" w:rsidRDefault="001E262A" w:rsidP="00513F0E">
      <w:pPr>
        <w:pStyle w:val="Bullet1G"/>
      </w:pPr>
      <w:r w:rsidRPr="004E7DCC">
        <w:t xml:space="preserve">flammable liquids (categories 1 to 4) </w:t>
      </w:r>
    </w:p>
    <w:p w14:paraId="49471392" w14:textId="77777777" w:rsidR="001E262A" w:rsidRPr="004E7DCC" w:rsidRDefault="001E262A" w:rsidP="00513F0E">
      <w:pPr>
        <w:pStyle w:val="Bullet1G"/>
      </w:pPr>
      <w:r w:rsidRPr="004E7DCC">
        <w:t>flammable solids (categories 1 and 2)</w:t>
      </w:r>
    </w:p>
    <w:p w14:paraId="70CF9CA8" w14:textId="77777777" w:rsidR="001E262A" w:rsidRPr="004E7DCC" w:rsidRDefault="001E262A" w:rsidP="00513F0E">
      <w:pPr>
        <w:pStyle w:val="Bullet1G"/>
      </w:pPr>
      <w:r w:rsidRPr="004E7DCC">
        <w:t>flammable aerosols (category 1)</w:t>
      </w:r>
    </w:p>
    <w:p w14:paraId="61B77372" w14:textId="77777777" w:rsidR="00513F0E" w:rsidRPr="004E7DCC" w:rsidRDefault="009F01A1" w:rsidP="00513F0E">
      <w:pPr>
        <w:pStyle w:val="Bullet1G"/>
      </w:pPr>
      <w:r w:rsidRPr="004E7DCC">
        <w:t>Substances and mixtures corrosive to metals</w:t>
      </w:r>
    </w:p>
    <w:p w14:paraId="1DC24776" w14:textId="77777777" w:rsidR="00513F0E" w:rsidRPr="004E7DCC" w:rsidRDefault="00513F0E" w:rsidP="00513F0E">
      <w:pPr>
        <w:pStyle w:val="Bullet1G"/>
      </w:pPr>
      <w:r w:rsidRPr="004E7DCC">
        <w:lastRenderedPageBreak/>
        <w:t>Oxidizing solids (categories 1 to 3)</w:t>
      </w:r>
    </w:p>
    <w:p w14:paraId="41B4655D" w14:textId="7C18C986" w:rsidR="001E262A" w:rsidRPr="004E7DCC" w:rsidRDefault="00513F0E" w:rsidP="00513F0E">
      <w:pPr>
        <w:pStyle w:val="Bullet1G"/>
      </w:pPr>
      <w:r w:rsidRPr="004E7DCC">
        <w:t>Oxidizing liquids (categories 1 to 3)</w:t>
      </w:r>
      <w:r w:rsidR="009F01A1" w:rsidRPr="004E7DCC">
        <w:t xml:space="preserve"> </w:t>
      </w:r>
    </w:p>
    <w:p w14:paraId="7B07CC12" w14:textId="77076EFD" w:rsidR="00513F0E" w:rsidRPr="004E7DCC" w:rsidRDefault="00513F0E" w:rsidP="001E262A">
      <w:pPr>
        <w:pStyle w:val="SingleTxtG"/>
      </w:pPr>
      <w:r w:rsidRPr="004E7DCC">
        <w:t>(b)</w:t>
      </w:r>
      <w:r w:rsidRPr="004E7DCC">
        <w:tab/>
        <w:t>Health hazards</w:t>
      </w:r>
    </w:p>
    <w:p w14:paraId="511E56B3" w14:textId="650F6888" w:rsidR="00513F0E" w:rsidRPr="004E7DCC" w:rsidRDefault="00513F0E" w:rsidP="00513F0E">
      <w:pPr>
        <w:pStyle w:val="Bullet1G"/>
      </w:pPr>
      <w:r w:rsidRPr="004E7DCC">
        <w:t>Acute toxicity (categories 1 to 4)</w:t>
      </w:r>
    </w:p>
    <w:p w14:paraId="1B2A09B1" w14:textId="475C4A7B" w:rsidR="00513F0E" w:rsidRPr="004E7DCC" w:rsidRDefault="00513F0E" w:rsidP="001E262A">
      <w:pPr>
        <w:pStyle w:val="SingleTxtG"/>
      </w:pPr>
      <w:r w:rsidRPr="004E7DCC">
        <w:t>(c)</w:t>
      </w:r>
      <w:r w:rsidRPr="004E7DCC">
        <w:tab/>
        <w:t>Environmental hazards</w:t>
      </w:r>
    </w:p>
    <w:p w14:paraId="40F53472" w14:textId="0719184C" w:rsidR="00513F0E" w:rsidRPr="004E7DCC" w:rsidRDefault="00513F0E" w:rsidP="00513F0E">
      <w:pPr>
        <w:pStyle w:val="Bullet1G"/>
      </w:pPr>
      <w:r w:rsidRPr="004E7DCC">
        <w:t>Hazardous to the aquatic environment (categories 1 to 3)</w:t>
      </w:r>
    </w:p>
    <w:p w14:paraId="6FEABD03" w14:textId="10257381" w:rsidR="00C80909" w:rsidRPr="004E7DCC" w:rsidRDefault="00A106A7" w:rsidP="00C80909">
      <w:pPr>
        <w:pStyle w:val="SingleTxtG"/>
      </w:pPr>
      <w:r>
        <w:t>5.</w:t>
      </w:r>
      <w:r>
        <w:tab/>
      </w:r>
      <w:r w:rsidR="00C80909" w:rsidRPr="004E7DCC">
        <w:t xml:space="preserve">The Manual also requires evaluation of environmental risk, addressing toxicity for species such as birds, </w:t>
      </w:r>
      <w:r w:rsidR="004E7DCC" w:rsidRPr="004E7DCC">
        <w:t xml:space="preserve">bees, </w:t>
      </w:r>
      <w:r w:rsidR="00C80909" w:rsidRPr="004E7DCC">
        <w:t>mammals, fish, earthworms, etc. based on criteria from FAO, the United States Environmental Protection Agency (EPA) and the European Union.</w:t>
      </w:r>
    </w:p>
    <w:p w14:paraId="4C1B2503" w14:textId="7EA16610" w:rsidR="0002655E" w:rsidRPr="004E7DCC" w:rsidRDefault="00A106A7" w:rsidP="00C80909">
      <w:pPr>
        <w:pStyle w:val="SingleTxtG"/>
      </w:pPr>
      <w:r>
        <w:t>6.</w:t>
      </w:r>
      <w:r>
        <w:tab/>
      </w:r>
      <w:r w:rsidR="0002655E" w:rsidRPr="004E7DCC">
        <w:t>For other health hazard classes such as skin and eye irritation, carcinogenicity, mutagenicity, respiratory and skin sensibilisation the Manual refers to classification criteria from US</w:t>
      </w:r>
      <w:r>
        <w:t>A-</w:t>
      </w:r>
      <w:r w:rsidR="0002655E" w:rsidRPr="004E7DCC">
        <w:t>EPA, IARC or the European Union (as applicable).</w:t>
      </w:r>
    </w:p>
    <w:p w14:paraId="74FED4FF" w14:textId="261EE165" w:rsidR="0002655E" w:rsidRDefault="00A106A7" w:rsidP="00C80909">
      <w:pPr>
        <w:pStyle w:val="SingleTxtG"/>
      </w:pPr>
      <w:r>
        <w:t>7.</w:t>
      </w:r>
      <w:r>
        <w:tab/>
      </w:r>
      <w:r w:rsidR="004E7DCC" w:rsidRPr="004E7DCC">
        <w:t>Safety Data Sheets in accordance with the GHS are required, as indicated in Annex 5 to the Manual.</w:t>
      </w:r>
    </w:p>
    <w:p w14:paraId="07E95C48" w14:textId="41CE8C87" w:rsidR="00576263" w:rsidRPr="00E87DD8" w:rsidRDefault="00E87DD8" w:rsidP="00E87DD8">
      <w:pPr>
        <w:pStyle w:val="HChG"/>
      </w:pPr>
      <w:bookmarkStart w:id="1" w:name="_Hlk24116664"/>
      <w:r>
        <w:tab/>
      </w:r>
      <w:r>
        <w:tab/>
      </w:r>
      <w:r w:rsidR="00576263" w:rsidRPr="00E87DD8">
        <w:t>New Zealand</w:t>
      </w:r>
    </w:p>
    <w:p w14:paraId="4371DA7D" w14:textId="34742F10" w:rsidR="00A106A7" w:rsidRDefault="00A106A7" w:rsidP="00A106A7">
      <w:pPr>
        <w:pStyle w:val="SingleTxtG"/>
      </w:pPr>
      <w:r>
        <w:t>8.</w:t>
      </w:r>
      <w:r>
        <w:tab/>
        <w:t xml:space="preserve">The Environmental Protection </w:t>
      </w:r>
      <w:r w:rsidRPr="00565DF2">
        <w:t xml:space="preserve">Authority </w:t>
      </w:r>
      <w:r>
        <w:t>(EPA) launched</w:t>
      </w:r>
      <w:r w:rsidRPr="00565DF2">
        <w:t xml:space="preserve"> </w:t>
      </w:r>
      <w:r>
        <w:t xml:space="preserve">in October 2019 a public </w:t>
      </w:r>
      <w:r w:rsidRPr="00565DF2">
        <w:t xml:space="preserve">consultation </w:t>
      </w:r>
      <w:r>
        <w:t xml:space="preserve">on a proposal </w:t>
      </w:r>
      <w:r w:rsidRPr="00565DF2">
        <w:t xml:space="preserve">to update </w:t>
      </w:r>
      <w:r>
        <w:t xml:space="preserve">New Zealand’s </w:t>
      </w:r>
      <w:r w:rsidRPr="00565DF2">
        <w:t xml:space="preserve">current </w:t>
      </w:r>
      <w:r>
        <w:t xml:space="preserve">hazardous substance classification </w:t>
      </w:r>
      <w:r w:rsidRPr="00565DF2">
        <w:t xml:space="preserve">framework </w:t>
      </w:r>
      <w:r>
        <w:t>(implemented in 2001 and based on a previous version of the GHS but unchanged since then) to the 7</w:t>
      </w:r>
      <w:r w:rsidRPr="00565DF2">
        <w:rPr>
          <w:vertAlign w:val="superscript"/>
        </w:rPr>
        <w:t>th</w:t>
      </w:r>
      <w:r>
        <w:t xml:space="preserve"> revised edition of the GHS</w:t>
      </w:r>
      <w:r w:rsidRPr="00565DF2">
        <w:t>.</w:t>
      </w:r>
      <w:r>
        <w:t xml:space="preserve"> The consultation is open until 9 January 2020.</w:t>
      </w:r>
    </w:p>
    <w:p w14:paraId="01D7B618" w14:textId="38BF304F" w:rsidR="00A106A7" w:rsidRDefault="00A106A7" w:rsidP="00A106A7">
      <w:pPr>
        <w:pStyle w:val="SingleTxtG"/>
      </w:pPr>
      <w:r>
        <w:t>9.</w:t>
      </w:r>
      <w:r>
        <w:tab/>
        <w:t xml:space="preserve">The change in the current classification system will be achieved with the issuance of a new EPA Classification Notice, that would implement the provisions of GHS Rev.7 by reference. </w:t>
      </w:r>
    </w:p>
    <w:p w14:paraId="4B717189" w14:textId="52FC1E2F" w:rsidR="00A106A7" w:rsidRDefault="00A106A7" w:rsidP="00A106A7">
      <w:pPr>
        <w:pStyle w:val="SingleTxtG"/>
      </w:pPr>
      <w:r>
        <w:t>10.</w:t>
      </w:r>
      <w:r>
        <w:tab/>
        <w:t>The new Classification Notice will also allow alignment with the EPA Labelling and Safety Data Sheet Notices (currently based on the 5</w:t>
      </w:r>
      <w:r w:rsidRPr="00E56E51">
        <w:rPr>
          <w:vertAlign w:val="superscript"/>
        </w:rPr>
        <w:t>th</w:t>
      </w:r>
      <w:r>
        <w:t xml:space="preserve"> revised edition of the GHS). Both the Labelling and Safety Data Sheet Notices include provisions to allow compliance with other versions of the GHS as adopted by the European Union, Australia, Canada or the United States of America.</w:t>
      </w:r>
    </w:p>
    <w:p w14:paraId="5A1D852A" w14:textId="0A718A6A" w:rsidR="00A106A7" w:rsidRDefault="00A106A7" w:rsidP="00A106A7">
      <w:pPr>
        <w:pStyle w:val="SingleTxtG"/>
      </w:pPr>
      <w:r>
        <w:t>11.</w:t>
      </w:r>
      <w:r>
        <w:tab/>
        <w:t xml:space="preserve">EPA is consulting on the following five specific proposals: </w:t>
      </w:r>
    </w:p>
    <w:p w14:paraId="398A786C" w14:textId="77777777" w:rsidR="00A106A7" w:rsidRDefault="00A106A7" w:rsidP="00A106A7">
      <w:pPr>
        <w:pStyle w:val="SingleTxtG"/>
        <w:ind w:left="2268" w:hanging="567"/>
      </w:pPr>
      <w:r>
        <w:t>(a)</w:t>
      </w:r>
      <w:r>
        <w:tab/>
        <w:t>To update the current HSNO classification system by issuing a new EPA Classification Notice that will incorporate the provisions of the 7</w:t>
      </w:r>
      <w:r w:rsidRPr="00CE0EC0">
        <w:rPr>
          <w:vertAlign w:val="superscript"/>
        </w:rPr>
        <w:t>th</w:t>
      </w:r>
      <w:r>
        <w:t xml:space="preserve"> revised edition of the GHS by reference;</w:t>
      </w:r>
    </w:p>
    <w:p w14:paraId="103A8ABF" w14:textId="77777777" w:rsidR="00A106A7" w:rsidRDefault="00A106A7" w:rsidP="00A106A7">
      <w:pPr>
        <w:pStyle w:val="SingleTxtG"/>
        <w:ind w:left="2268" w:hanging="567"/>
      </w:pPr>
      <w:r>
        <w:t xml:space="preserve">(b) </w:t>
      </w:r>
      <w:r>
        <w:tab/>
        <w:t>To adopt all categories for aquatic toxicity (acute 1 to 3 and chronic 1 to 4), and to exclude acute toxicity category 5, skin irritation category 3 and aspiration hazard category 2.</w:t>
      </w:r>
    </w:p>
    <w:p w14:paraId="30E98E1D" w14:textId="77777777" w:rsidR="00A106A7" w:rsidRDefault="00A106A7" w:rsidP="00A106A7">
      <w:pPr>
        <w:pStyle w:val="SingleTxtG"/>
        <w:ind w:left="2268" w:hanging="567"/>
      </w:pPr>
      <w:r>
        <w:t>(c)</w:t>
      </w:r>
      <w:r>
        <w:tab/>
        <w:t>To implement the lower concentration cut-off values for classification of mixtures in cases where the GHS leaves the choice between the options proposed to the discretion of the competent authority.</w:t>
      </w:r>
    </w:p>
    <w:p w14:paraId="0AFDC861" w14:textId="77777777" w:rsidR="00A106A7" w:rsidRDefault="00A106A7" w:rsidP="00A106A7">
      <w:pPr>
        <w:pStyle w:val="SingleTxtG"/>
        <w:ind w:left="2268" w:hanging="567"/>
      </w:pPr>
      <w:r>
        <w:t>(d)</w:t>
      </w:r>
      <w:r>
        <w:tab/>
        <w:t>To replace the current HSNO classification subclasses and categories for terrestrial ecotoxicity (to soil organisms, terrestrial vertebrates, and terrestrial invertebrates) with a single classification category “substances that are ecotoxic in the terrestrial environment”, to be applied only to agrichemicals or related substances; and</w:t>
      </w:r>
    </w:p>
    <w:p w14:paraId="44FCDC8C" w14:textId="77777777" w:rsidR="00A106A7" w:rsidRDefault="00A106A7" w:rsidP="00A106A7">
      <w:pPr>
        <w:pStyle w:val="SingleTxtG"/>
        <w:ind w:left="2268" w:hanging="567"/>
      </w:pPr>
      <w:r>
        <w:lastRenderedPageBreak/>
        <w:t xml:space="preserve">(e) </w:t>
      </w:r>
      <w:r>
        <w:tab/>
        <w:t>To allow for a 2-year transitional period on top of the current one expiring in December 2021, for implementation of the updated Labelling, Safety Data Sheet and Packaging Notices, to allow stakeholders to make the necessary changes resulting from the re-issuing of approvals and updating to the provisions of GHS Rev.7.</w:t>
      </w:r>
    </w:p>
    <w:p w14:paraId="33A5C040" w14:textId="312629AC" w:rsidR="00A106A7" w:rsidRDefault="00A106A7" w:rsidP="00A106A7">
      <w:pPr>
        <w:pStyle w:val="SingleTxtG"/>
      </w:pPr>
      <w:r>
        <w:t>12.</w:t>
      </w:r>
      <w:r>
        <w:tab/>
      </w:r>
      <w:r w:rsidRPr="00155C61">
        <w:t xml:space="preserve">Should the proposal to update the current HSNO </w:t>
      </w:r>
      <w:r>
        <w:t xml:space="preserve">classification framework </w:t>
      </w:r>
      <w:r w:rsidRPr="00155C61">
        <w:t xml:space="preserve">to the provisions of GHS Rev.7 be adopted, all existing HSNO approvals will require updating to convert the current HSNO classifications to the GHS. A consultation to this end is expected to be conducted in </w:t>
      </w:r>
      <w:r>
        <w:t>mid-</w:t>
      </w:r>
      <w:r w:rsidRPr="00155C61">
        <w:t>2020.</w:t>
      </w:r>
      <w:r>
        <w:t xml:space="preserve"> Consequential amendments to other EPA Notices and legislation referring to hazardous substances are expected. </w:t>
      </w:r>
    </w:p>
    <w:p w14:paraId="78CD2579" w14:textId="2B14F0AC" w:rsidR="00A106A7" w:rsidRDefault="00A106A7" w:rsidP="00A106A7">
      <w:pPr>
        <w:pStyle w:val="SingleTxtG"/>
      </w:pPr>
      <w:r>
        <w:t>13.</w:t>
      </w:r>
      <w:r>
        <w:tab/>
        <w:t xml:space="preserve">The intended implementation date for the new Classification Notice and the relevant amended EPA notices is mid-April 2021. </w:t>
      </w:r>
    </w:p>
    <w:p w14:paraId="700837C9" w14:textId="467DC930" w:rsidR="00A106A7" w:rsidRDefault="00A106A7" w:rsidP="00A106A7">
      <w:pPr>
        <w:pStyle w:val="SingleTxtG"/>
      </w:pPr>
      <w:r>
        <w:t>14.</w:t>
      </w:r>
      <w:r>
        <w:tab/>
        <w:t xml:space="preserve">The consultation document as well as additional information on the proposal is available at: </w:t>
      </w:r>
      <w:hyperlink r:id="rId9" w:history="1">
        <w:r w:rsidRPr="00E60C44">
          <w:rPr>
            <w:rStyle w:val="Hyperlink"/>
          </w:rPr>
          <w:t>https://www.epa.govt.nz/public-consultations/open-consultations/proposal-to-change-the-classification-system-for-hazardous-substances-in-new-zealand/</w:t>
        </w:r>
      </w:hyperlink>
    </w:p>
    <w:bookmarkEnd w:id="1"/>
    <w:p w14:paraId="06DBA991" w14:textId="106D6A2E" w:rsidR="00171AC6" w:rsidRPr="00171AC6" w:rsidRDefault="00171AC6" w:rsidP="00171AC6">
      <w:pPr>
        <w:spacing w:before="240"/>
        <w:jc w:val="center"/>
        <w:rPr>
          <w:u w:val="single"/>
        </w:rPr>
      </w:pPr>
      <w:r>
        <w:rPr>
          <w:u w:val="single"/>
        </w:rPr>
        <w:tab/>
      </w:r>
      <w:r>
        <w:rPr>
          <w:u w:val="single"/>
        </w:rPr>
        <w:tab/>
      </w:r>
      <w:r>
        <w:rPr>
          <w:u w:val="single"/>
        </w:rPr>
        <w:tab/>
      </w:r>
    </w:p>
    <w:sectPr w:rsidR="00171AC6" w:rsidRPr="00171AC6" w:rsidSect="0081259E">
      <w:headerReference w:type="even" r:id="rId10"/>
      <w:headerReference w:type="default" r:id="rId11"/>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49B" w14:textId="77777777" w:rsidR="003D64FD" w:rsidRDefault="003D64FD"/>
  </w:endnote>
  <w:endnote w:type="continuationSeparator" w:id="0">
    <w:p w14:paraId="6D99C9FF" w14:textId="77777777" w:rsidR="003D64FD" w:rsidRDefault="003D64FD"/>
  </w:endnote>
  <w:endnote w:type="continuationNotice" w:id="1">
    <w:p w14:paraId="2123E491" w14:textId="77777777" w:rsidR="003D64FD" w:rsidRDefault="003D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B732" w14:textId="35BA1C9E" w:rsidR="003D64FD" w:rsidRDefault="003D64FD" w:rsidP="00171AC6">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7CC8" w14:textId="7B8AE3E6" w:rsidR="003D64FD" w:rsidRPr="0099001C" w:rsidRDefault="003D64FD"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1</w:t>
    </w:r>
    <w:r w:rsidRPr="0099001C">
      <w:rPr>
        <w:b/>
        <w:sz w:val="18"/>
      </w:rPr>
      <w:fldChar w:fldCharType="end"/>
    </w:r>
  </w:p>
  <w:p w14:paraId="2EB1D2CF" w14:textId="77777777" w:rsidR="003D64FD" w:rsidRDefault="003D64FD"/>
  <w:p w14:paraId="76F113FB" w14:textId="77777777" w:rsidR="003D64FD" w:rsidRDefault="003D6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F8A4" w14:textId="77777777" w:rsidR="003D64FD" w:rsidRPr="000B175B" w:rsidRDefault="003D64FD" w:rsidP="000B175B">
      <w:pPr>
        <w:tabs>
          <w:tab w:val="right" w:pos="2155"/>
        </w:tabs>
        <w:spacing w:after="80"/>
        <w:ind w:left="680"/>
        <w:rPr>
          <w:u w:val="single"/>
        </w:rPr>
      </w:pPr>
      <w:r>
        <w:rPr>
          <w:u w:val="single"/>
        </w:rPr>
        <w:tab/>
      </w:r>
    </w:p>
  </w:footnote>
  <w:footnote w:type="continuationSeparator" w:id="0">
    <w:p w14:paraId="542FA4D1" w14:textId="77777777" w:rsidR="003D64FD" w:rsidRPr="00FC68B7" w:rsidRDefault="003D64FD" w:rsidP="00FC68B7">
      <w:pPr>
        <w:tabs>
          <w:tab w:val="left" w:pos="2155"/>
        </w:tabs>
        <w:spacing w:after="80"/>
        <w:ind w:left="680"/>
        <w:rPr>
          <w:u w:val="single"/>
        </w:rPr>
      </w:pPr>
      <w:r>
        <w:rPr>
          <w:u w:val="single"/>
        </w:rPr>
        <w:tab/>
      </w:r>
    </w:p>
  </w:footnote>
  <w:footnote w:type="continuationNotice" w:id="1">
    <w:p w14:paraId="2C6978FA" w14:textId="77777777" w:rsidR="003D64FD" w:rsidRDefault="003D6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9FEA" w14:textId="7D953C02" w:rsidR="003D64FD" w:rsidRPr="0081259E" w:rsidRDefault="0081259E" w:rsidP="0081259E">
    <w:pPr>
      <w:pBdr>
        <w:bottom w:val="single" w:sz="4" w:space="1" w:color="auto"/>
      </w:pBdr>
      <w:rPr>
        <w:b/>
        <w:bCs/>
      </w:rPr>
    </w:pPr>
    <w:r w:rsidRPr="001277D9">
      <w:rPr>
        <w:b/>
        <w:bCs/>
      </w:rPr>
      <w:t>UN/SCEGHS/</w:t>
    </w:r>
    <w:r w:rsidR="00A109FD" w:rsidRPr="001277D9">
      <w:rPr>
        <w:b/>
        <w:bCs/>
      </w:rPr>
      <w:t>38</w:t>
    </w:r>
    <w:r w:rsidRPr="001277D9">
      <w:rPr>
        <w:b/>
        <w:bCs/>
      </w:rPr>
      <w:t>/INF.</w:t>
    </w:r>
    <w:r w:rsidR="00520293">
      <w:rPr>
        <w:b/>
        <w:bCs/>
      </w:rPr>
      <w:t>13</w:t>
    </w:r>
  </w:p>
  <w:p w14:paraId="6A0088D4" w14:textId="77777777" w:rsidR="003D64FD" w:rsidRDefault="003D6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EB44" w14:textId="2072587E" w:rsidR="003D64FD" w:rsidRDefault="0081259E" w:rsidP="0081259E">
    <w:pPr>
      <w:pBdr>
        <w:bottom w:val="single" w:sz="4" w:space="1" w:color="auto"/>
      </w:pBdr>
      <w:jc w:val="right"/>
    </w:pPr>
    <w:r w:rsidRPr="001D17A3">
      <w:rPr>
        <w:b/>
        <w:bCs/>
      </w:rPr>
      <w:t>UN/SCEGHS/</w:t>
    </w:r>
    <w:r w:rsidR="00A109FD" w:rsidRPr="001D17A3">
      <w:rPr>
        <w:b/>
        <w:bCs/>
      </w:rPr>
      <w:t>38</w:t>
    </w:r>
    <w:r w:rsidRPr="001D17A3">
      <w:rPr>
        <w:b/>
        <w:bCs/>
      </w:rPr>
      <w:t>/INF.</w:t>
    </w:r>
    <w:r w:rsidR="00520293">
      <w:rPr>
        <w:b/>
        <w:bCs/>
      </w:rPr>
      <w:t>13</w:t>
    </w:r>
  </w:p>
  <w:p w14:paraId="089A64AD" w14:textId="77777777" w:rsidR="003D64FD" w:rsidRDefault="003D6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4B20"/>
    <w:multiLevelType w:val="hybridMultilevel"/>
    <w:tmpl w:val="7C8ED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1A37C2F"/>
    <w:multiLevelType w:val="hybridMultilevel"/>
    <w:tmpl w:val="BA04A2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6C139F9"/>
    <w:multiLevelType w:val="hybridMultilevel"/>
    <w:tmpl w:val="AC36FF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81E1131"/>
    <w:multiLevelType w:val="hybridMultilevel"/>
    <w:tmpl w:val="78E0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975A24"/>
    <w:multiLevelType w:val="hybridMultilevel"/>
    <w:tmpl w:val="B54A87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B2477EE"/>
    <w:multiLevelType w:val="hybridMultilevel"/>
    <w:tmpl w:val="7F9CE5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4D364BFC"/>
    <w:multiLevelType w:val="hybridMultilevel"/>
    <w:tmpl w:val="84F05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320768"/>
    <w:multiLevelType w:val="hybridMultilevel"/>
    <w:tmpl w:val="02F6DCF8"/>
    <w:lvl w:ilvl="0" w:tplc="08090001">
      <w:start w:val="1"/>
      <w:numFmt w:val="bullet"/>
      <w:lvlText w:val=""/>
      <w:lvlJc w:val="left"/>
      <w:pPr>
        <w:ind w:left="1854" w:hanging="360"/>
      </w:pPr>
      <w:rPr>
        <w:rFonts w:ascii="Symbol" w:hAnsi="Symbol" w:hint="default"/>
      </w:rPr>
    </w:lvl>
    <w:lvl w:ilvl="1" w:tplc="AABECFF4">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736BA"/>
    <w:multiLevelType w:val="hybridMultilevel"/>
    <w:tmpl w:val="B868F65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20"/>
  </w:num>
  <w:num w:numId="3">
    <w:abstractNumId w:val="16"/>
  </w:num>
  <w:num w:numId="4">
    <w:abstractNumId w:val="4"/>
  </w:num>
  <w:num w:numId="5">
    <w:abstractNumId w:val="5"/>
  </w:num>
  <w:num w:numId="6">
    <w:abstractNumId w:val="7"/>
  </w:num>
  <w:num w:numId="7">
    <w:abstractNumId w:val="23"/>
  </w:num>
  <w:num w:numId="8">
    <w:abstractNumId w:val="0"/>
  </w:num>
  <w:num w:numId="9">
    <w:abstractNumId w:val="24"/>
  </w:num>
  <w:num w:numId="10">
    <w:abstractNumId w:val="25"/>
  </w:num>
  <w:num w:numId="11">
    <w:abstractNumId w:val="19"/>
  </w:num>
  <w:num w:numId="12">
    <w:abstractNumId w:val="1"/>
  </w:num>
  <w:num w:numId="13">
    <w:abstractNumId w:val="15"/>
  </w:num>
  <w:num w:numId="14">
    <w:abstractNumId w:val="11"/>
  </w:num>
  <w:num w:numId="15">
    <w:abstractNumId w:val="6"/>
  </w:num>
  <w:num w:numId="16">
    <w:abstractNumId w:val="17"/>
  </w:num>
  <w:num w:numId="17">
    <w:abstractNumId w:val="22"/>
  </w:num>
  <w:num w:numId="18">
    <w:abstractNumId w:val="3"/>
  </w:num>
  <w:num w:numId="19">
    <w:abstractNumId w:val="2"/>
  </w:num>
  <w:num w:numId="20">
    <w:abstractNumId w:val="18"/>
  </w:num>
  <w:num w:numId="21">
    <w:abstractNumId w:val="14"/>
  </w:num>
  <w:num w:numId="22">
    <w:abstractNumId w:val="10"/>
  </w:num>
  <w:num w:numId="23">
    <w:abstractNumId w:val="21"/>
  </w:num>
  <w:num w:numId="24">
    <w:abstractNumId w:val="13"/>
  </w:num>
  <w:num w:numId="25">
    <w:abstractNumId w:val="8"/>
  </w:num>
  <w:num w:numId="26">
    <w:abstractNumId w:val="12"/>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20C5D"/>
    <w:rsid w:val="0002655E"/>
    <w:rsid w:val="00030139"/>
    <w:rsid w:val="00033B3D"/>
    <w:rsid w:val="000454B8"/>
    <w:rsid w:val="00050F6B"/>
    <w:rsid w:val="00063613"/>
    <w:rsid w:val="00072C8C"/>
    <w:rsid w:val="00081647"/>
    <w:rsid w:val="00090FEC"/>
    <w:rsid w:val="000931C0"/>
    <w:rsid w:val="00095E8A"/>
    <w:rsid w:val="000974EA"/>
    <w:rsid w:val="000A505D"/>
    <w:rsid w:val="000B175B"/>
    <w:rsid w:val="000B3A0F"/>
    <w:rsid w:val="000C6544"/>
    <w:rsid w:val="000D10AA"/>
    <w:rsid w:val="000D2E23"/>
    <w:rsid w:val="000D6A73"/>
    <w:rsid w:val="000E0415"/>
    <w:rsid w:val="000E3373"/>
    <w:rsid w:val="000E4421"/>
    <w:rsid w:val="000E6FFC"/>
    <w:rsid w:val="000E7E0A"/>
    <w:rsid w:val="0010697D"/>
    <w:rsid w:val="00112E7D"/>
    <w:rsid w:val="001220B8"/>
    <w:rsid w:val="00126310"/>
    <w:rsid w:val="001277D9"/>
    <w:rsid w:val="00147045"/>
    <w:rsid w:val="00155C61"/>
    <w:rsid w:val="00156F3C"/>
    <w:rsid w:val="00162BF7"/>
    <w:rsid w:val="0016341B"/>
    <w:rsid w:val="00171AC6"/>
    <w:rsid w:val="00183746"/>
    <w:rsid w:val="0018398C"/>
    <w:rsid w:val="00190AEA"/>
    <w:rsid w:val="0019721D"/>
    <w:rsid w:val="001A5648"/>
    <w:rsid w:val="001B06A5"/>
    <w:rsid w:val="001B1835"/>
    <w:rsid w:val="001B4B04"/>
    <w:rsid w:val="001C6663"/>
    <w:rsid w:val="001C7895"/>
    <w:rsid w:val="001D17A3"/>
    <w:rsid w:val="001D26DF"/>
    <w:rsid w:val="001D6FCB"/>
    <w:rsid w:val="001E262A"/>
    <w:rsid w:val="001E47FD"/>
    <w:rsid w:val="001F4F38"/>
    <w:rsid w:val="001F55C0"/>
    <w:rsid w:val="001F6704"/>
    <w:rsid w:val="00206717"/>
    <w:rsid w:val="0021182B"/>
    <w:rsid w:val="00211E0B"/>
    <w:rsid w:val="00215C77"/>
    <w:rsid w:val="00227AE2"/>
    <w:rsid w:val="00230602"/>
    <w:rsid w:val="002405A7"/>
    <w:rsid w:val="00247176"/>
    <w:rsid w:val="0025322D"/>
    <w:rsid w:val="00257E45"/>
    <w:rsid w:val="00262488"/>
    <w:rsid w:val="0029312E"/>
    <w:rsid w:val="00296FA6"/>
    <w:rsid w:val="002A5212"/>
    <w:rsid w:val="002A7ABC"/>
    <w:rsid w:val="002C4F1C"/>
    <w:rsid w:val="002D30C1"/>
    <w:rsid w:val="002D59D3"/>
    <w:rsid w:val="002F2605"/>
    <w:rsid w:val="002F54DA"/>
    <w:rsid w:val="002F55F0"/>
    <w:rsid w:val="002F7EF7"/>
    <w:rsid w:val="003107FA"/>
    <w:rsid w:val="003127A2"/>
    <w:rsid w:val="003229D8"/>
    <w:rsid w:val="0032550E"/>
    <w:rsid w:val="00334F5C"/>
    <w:rsid w:val="0033745A"/>
    <w:rsid w:val="00356668"/>
    <w:rsid w:val="003642AF"/>
    <w:rsid w:val="00366CA7"/>
    <w:rsid w:val="003767B1"/>
    <w:rsid w:val="0039277A"/>
    <w:rsid w:val="003957CE"/>
    <w:rsid w:val="003972E0"/>
    <w:rsid w:val="003A2C23"/>
    <w:rsid w:val="003B3A99"/>
    <w:rsid w:val="003B4263"/>
    <w:rsid w:val="003C2CC4"/>
    <w:rsid w:val="003C3936"/>
    <w:rsid w:val="003D187A"/>
    <w:rsid w:val="003D4B23"/>
    <w:rsid w:val="003D64FD"/>
    <w:rsid w:val="003E4E87"/>
    <w:rsid w:val="003F1ED3"/>
    <w:rsid w:val="003F2DAA"/>
    <w:rsid w:val="00401E33"/>
    <w:rsid w:val="0041449C"/>
    <w:rsid w:val="00417D77"/>
    <w:rsid w:val="00420F0B"/>
    <w:rsid w:val="00421612"/>
    <w:rsid w:val="00426846"/>
    <w:rsid w:val="00430201"/>
    <w:rsid w:val="004320EF"/>
    <w:rsid w:val="004325CB"/>
    <w:rsid w:val="00446DE4"/>
    <w:rsid w:val="00460076"/>
    <w:rsid w:val="00460DD9"/>
    <w:rsid w:val="00467F71"/>
    <w:rsid w:val="00470552"/>
    <w:rsid w:val="00473236"/>
    <w:rsid w:val="004A41CA"/>
    <w:rsid w:val="004A6A16"/>
    <w:rsid w:val="004E0088"/>
    <w:rsid w:val="004E65DA"/>
    <w:rsid w:val="004E7DCC"/>
    <w:rsid w:val="004E7ED6"/>
    <w:rsid w:val="00503228"/>
    <w:rsid w:val="00505384"/>
    <w:rsid w:val="00513F0E"/>
    <w:rsid w:val="00520293"/>
    <w:rsid w:val="00526634"/>
    <w:rsid w:val="00532EF8"/>
    <w:rsid w:val="005420F2"/>
    <w:rsid w:val="0054718F"/>
    <w:rsid w:val="00565DF2"/>
    <w:rsid w:val="00570E41"/>
    <w:rsid w:val="0057329D"/>
    <w:rsid w:val="00576263"/>
    <w:rsid w:val="005B2C89"/>
    <w:rsid w:val="005B3DB3"/>
    <w:rsid w:val="005C0422"/>
    <w:rsid w:val="005C4181"/>
    <w:rsid w:val="005D5925"/>
    <w:rsid w:val="005E22FE"/>
    <w:rsid w:val="005E7A9D"/>
    <w:rsid w:val="00611FC4"/>
    <w:rsid w:val="006176FB"/>
    <w:rsid w:val="00627ED0"/>
    <w:rsid w:val="00634CEC"/>
    <w:rsid w:val="00640B26"/>
    <w:rsid w:val="006560F1"/>
    <w:rsid w:val="00665595"/>
    <w:rsid w:val="00673E16"/>
    <w:rsid w:val="00675B87"/>
    <w:rsid w:val="00691F20"/>
    <w:rsid w:val="00693543"/>
    <w:rsid w:val="00697C9D"/>
    <w:rsid w:val="006A7392"/>
    <w:rsid w:val="006A7524"/>
    <w:rsid w:val="006A7757"/>
    <w:rsid w:val="006C34A9"/>
    <w:rsid w:val="006C570C"/>
    <w:rsid w:val="006D2E02"/>
    <w:rsid w:val="006E4E33"/>
    <w:rsid w:val="006E564B"/>
    <w:rsid w:val="006F63CD"/>
    <w:rsid w:val="006F74AF"/>
    <w:rsid w:val="00701303"/>
    <w:rsid w:val="007123F0"/>
    <w:rsid w:val="0071349F"/>
    <w:rsid w:val="00720DEB"/>
    <w:rsid w:val="00722217"/>
    <w:rsid w:val="0072632A"/>
    <w:rsid w:val="00733AAE"/>
    <w:rsid w:val="007356B2"/>
    <w:rsid w:val="00737E40"/>
    <w:rsid w:val="00746124"/>
    <w:rsid w:val="00760020"/>
    <w:rsid w:val="00771FD5"/>
    <w:rsid w:val="00774D00"/>
    <w:rsid w:val="00775FC7"/>
    <w:rsid w:val="00781A60"/>
    <w:rsid w:val="007A0B22"/>
    <w:rsid w:val="007A4655"/>
    <w:rsid w:val="007A5CE5"/>
    <w:rsid w:val="007B6BA5"/>
    <w:rsid w:val="007C0437"/>
    <w:rsid w:val="007C3390"/>
    <w:rsid w:val="007C4F4B"/>
    <w:rsid w:val="007D4EB2"/>
    <w:rsid w:val="007D7BCA"/>
    <w:rsid w:val="007E716C"/>
    <w:rsid w:val="007E7E7E"/>
    <w:rsid w:val="007F0B83"/>
    <w:rsid w:val="007F1B67"/>
    <w:rsid w:val="007F48EF"/>
    <w:rsid w:val="007F4FCD"/>
    <w:rsid w:val="007F6611"/>
    <w:rsid w:val="0081259E"/>
    <w:rsid w:val="0081732C"/>
    <w:rsid w:val="008175E9"/>
    <w:rsid w:val="008242D7"/>
    <w:rsid w:val="00827E05"/>
    <w:rsid w:val="008311A3"/>
    <w:rsid w:val="00832698"/>
    <w:rsid w:val="00832D40"/>
    <w:rsid w:val="00836AF7"/>
    <w:rsid w:val="00871FD5"/>
    <w:rsid w:val="00882430"/>
    <w:rsid w:val="00882A62"/>
    <w:rsid w:val="008979B1"/>
    <w:rsid w:val="008A3CC2"/>
    <w:rsid w:val="008A6B25"/>
    <w:rsid w:val="008A6C4F"/>
    <w:rsid w:val="008B6E26"/>
    <w:rsid w:val="008D2F0C"/>
    <w:rsid w:val="008E0E46"/>
    <w:rsid w:val="008E340A"/>
    <w:rsid w:val="008E4C4C"/>
    <w:rsid w:val="008F6F29"/>
    <w:rsid w:val="0090329B"/>
    <w:rsid w:val="00907AD2"/>
    <w:rsid w:val="00911047"/>
    <w:rsid w:val="00911890"/>
    <w:rsid w:val="00912DAB"/>
    <w:rsid w:val="00913E5C"/>
    <w:rsid w:val="00916C17"/>
    <w:rsid w:val="00932FE6"/>
    <w:rsid w:val="00935562"/>
    <w:rsid w:val="00940883"/>
    <w:rsid w:val="00960BFE"/>
    <w:rsid w:val="00963CBA"/>
    <w:rsid w:val="009650E6"/>
    <w:rsid w:val="00965932"/>
    <w:rsid w:val="00974A8D"/>
    <w:rsid w:val="009751DE"/>
    <w:rsid w:val="0098613A"/>
    <w:rsid w:val="0099001C"/>
    <w:rsid w:val="00990399"/>
    <w:rsid w:val="00991261"/>
    <w:rsid w:val="00993612"/>
    <w:rsid w:val="009A2668"/>
    <w:rsid w:val="009C1552"/>
    <w:rsid w:val="009C7690"/>
    <w:rsid w:val="009D7E1D"/>
    <w:rsid w:val="009E40D6"/>
    <w:rsid w:val="009F01A1"/>
    <w:rsid w:val="009F3A17"/>
    <w:rsid w:val="009F3D53"/>
    <w:rsid w:val="00A071F3"/>
    <w:rsid w:val="00A106A7"/>
    <w:rsid w:val="00A109FD"/>
    <w:rsid w:val="00A1427D"/>
    <w:rsid w:val="00A426FB"/>
    <w:rsid w:val="00A53FBA"/>
    <w:rsid w:val="00A54ABA"/>
    <w:rsid w:val="00A55FB2"/>
    <w:rsid w:val="00A72F22"/>
    <w:rsid w:val="00A748A6"/>
    <w:rsid w:val="00A80459"/>
    <w:rsid w:val="00A805EB"/>
    <w:rsid w:val="00A8760B"/>
    <w:rsid w:val="00A879A4"/>
    <w:rsid w:val="00A87F4E"/>
    <w:rsid w:val="00A918BF"/>
    <w:rsid w:val="00A965E2"/>
    <w:rsid w:val="00AA496B"/>
    <w:rsid w:val="00AC39CB"/>
    <w:rsid w:val="00AD0C2D"/>
    <w:rsid w:val="00AD514D"/>
    <w:rsid w:val="00AE26D0"/>
    <w:rsid w:val="00AE5C96"/>
    <w:rsid w:val="00AE71F3"/>
    <w:rsid w:val="00AF56D2"/>
    <w:rsid w:val="00B00936"/>
    <w:rsid w:val="00B03E01"/>
    <w:rsid w:val="00B07933"/>
    <w:rsid w:val="00B11A28"/>
    <w:rsid w:val="00B130A3"/>
    <w:rsid w:val="00B30179"/>
    <w:rsid w:val="00B30E8F"/>
    <w:rsid w:val="00B33EC0"/>
    <w:rsid w:val="00B354F9"/>
    <w:rsid w:val="00B3734A"/>
    <w:rsid w:val="00B46F91"/>
    <w:rsid w:val="00B72E1B"/>
    <w:rsid w:val="00B75EEF"/>
    <w:rsid w:val="00B81E12"/>
    <w:rsid w:val="00B93A39"/>
    <w:rsid w:val="00B94D68"/>
    <w:rsid w:val="00B97D28"/>
    <w:rsid w:val="00BA52C8"/>
    <w:rsid w:val="00BB1CC0"/>
    <w:rsid w:val="00BB3509"/>
    <w:rsid w:val="00BC74E9"/>
    <w:rsid w:val="00BD130F"/>
    <w:rsid w:val="00BD2146"/>
    <w:rsid w:val="00BD595D"/>
    <w:rsid w:val="00BE0EC3"/>
    <w:rsid w:val="00BE4F74"/>
    <w:rsid w:val="00BE618E"/>
    <w:rsid w:val="00C11F08"/>
    <w:rsid w:val="00C17699"/>
    <w:rsid w:val="00C1778D"/>
    <w:rsid w:val="00C23264"/>
    <w:rsid w:val="00C26ED4"/>
    <w:rsid w:val="00C342DA"/>
    <w:rsid w:val="00C41A28"/>
    <w:rsid w:val="00C43AA9"/>
    <w:rsid w:val="00C463DD"/>
    <w:rsid w:val="00C57032"/>
    <w:rsid w:val="00C6210B"/>
    <w:rsid w:val="00C70A09"/>
    <w:rsid w:val="00C745C3"/>
    <w:rsid w:val="00C74E4C"/>
    <w:rsid w:val="00C80909"/>
    <w:rsid w:val="00C834DB"/>
    <w:rsid w:val="00C945EB"/>
    <w:rsid w:val="00CA7560"/>
    <w:rsid w:val="00CC65B7"/>
    <w:rsid w:val="00CE018F"/>
    <w:rsid w:val="00CE0EC0"/>
    <w:rsid w:val="00CE4A8F"/>
    <w:rsid w:val="00CE661B"/>
    <w:rsid w:val="00CE6EC2"/>
    <w:rsid w:val="00CF7A90"/>
    <w:rsid w:val="00D00CAA"/>
    <w:rsid w:val="00D055EB"/>
    <w:rsid w:val="00D1628D"/>
    <w:rsid w:val="00D2031B"/>
    <w:rsid w:val="00D214E9"/>
    <w:rsid w:val="00D25FE2"/>
    <w:rsid w:val="00D270D5"/>
    <w:rsid w:val="00D317BB"/>
    <w:rsid w:val="00D328F8"/>
    <w:rsid w:val="00D35D8F"/>
    <w:rsid w:val="00D43252"/>
    <w:rsid w:val="00D5400F"/>
    <w:rsid w:val="00D63881"/>
    <w:rsid w:val="00D63D79"/>
    <w:rsid w:val="00D7387D"/>
    <w:rsid w:val="00D82468"/>
    <w:rsid w:val="00D86E4D"/>
    <w:rsid w:val="00D96B26"/>
    <w:rsid w:val="00D978C6"/>
    <w:rsid w:val="00DA67AD"/>
    <w:rsid w:val="00DB5D0F"/>
    <w:rsid w:val="00DB6E94"/>
    <w:rsid w:val="00DC3242"/>
    <w:rsid w:val="00DD0CE1"/>
    <w:rsid w:val="00DE7F20"/>
    <w:rsid w:val="00DF12F7"/>
    <w:rsid w:val="00DF2C64"/>
    <w:rsid w:val="00DF5D71"/>
    <w:rsid w:val="00DF76F0"/>
    <w:rsid w:val="00E02C81"/>
    <w:rsid w:val="00E04A75"/>
    <w:rsid w:val="00E06EAB"/>
    <w:rsid w:val="00E119FB"/>
    <w:rsid w:val="00E12E5A"/>
    <w:rsid w:val="00E130AB"/>
    <w:rsid w:val="00E15151"/>
    <w:rsid w:val="00E15DEA"/>
    <w:rsid w:val="00E23E51"/>
    <w:rsid w:val="00E2613F"/>
    <w:rsid w:val="00E31C87"/>
    <w:rsid w:val="00E32536"/>
    <w:rsid w:val="00E43DC2"/>
    <w:rsid w:val="00E56E51"/>
    <w:rsid w:val="00E677EC"/>
    <w:rsid w:val="00E70403"/>
    <w:rsid w:val="00E70DF5"/>
    <w:rsid w:val="00E7260F"/>
    <w:rsid w:val="00E80F5F"/>
    <w:rsid w:val="00E854B0"/>
    <w:rsid w:val="00E87921"/>
    <w:rsid w:val="00E87DD8"/>
    <w:rsid w:val="00E96625"/>
    <w:rsid w:val="00E96630"/>
    <w:rsid w:val="00EA264E"/>
    <w:rsid w:val="00EA3A41"/>
    <w:rsid w:val="00EC2939"/>
    <w:rsid w:val="00ED1541"/>
    <w:rsid w:val="00ED71D9"/>
    <w:rsid w:val="00ED743E"/>
    <w:rsid w:val="00ED7A2A"/>
    <w:rsid w:val="00EF1D7F"/>
    <w:rsid w:val="00EF358F"/>
    <w:rsid w:val="00F03A6B"/>
    <w:rsid w:val="00F07795"/>
    <w:rsid w:val="00F124A0"/>
    <w:rsid w:val="00F26A7C"/>
    <w:rsid w:val="00F32379"/>
    <w:rsid w:val="00F53EDA"/>
    <w:rsid w:val="00F630A3"/>
    <w:rsid w:val="00F67D9B"/>
    <w:rsid w:val="00F73015"/>
    <w:rsid w:val="00F7753D"/>
    <w:rsid w:val="00F85F34"/>
    <w:rsid w:val="00FA06F7"/>
    <w:rsid w:val="00FB171A"/>
    <w:rsid w:val="00FC09B8"/>
    <w:rsid w:val="00FC26D7"/>
    <w:rsid w:val="00FC68B7"/>
    <w:rsid w:val="00FD0357"/>
    <w:rsid w:val="00FD33D3"/>
    <w:rsid w:val="00FD4F7E"/>
    <w:rsid w:val="00FD7BF6"/>
    <w:rsid w:val="00FF410B"/>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A94203F"/>
  <w15:docId w15:val="{47C29AA8-291C-44A3-A5A1-FD9B710E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character" w:customStyle="1" w:styleId="HeaderChar">
    <w:name w:val="Header Char"/>
    <w:aliases w:val="6_G Char"/>
    <w:link w:val="Header"/>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 w:type="character" w:customStyle="1" w:styleId="hvr">
    <w:name w:val="hvr"/>
    <w:basedOn w:val="DefaultParagraphFont"/>
    <w:rsid w:val="00206717"/>
  </w:style>
  <w:style w:type="character" w:styleId="UnresolvedMention">
    <w:name w:val="Unresolved Mention"/>
    <w:basedOn w:val="DefaultParagraphFont"/>
    <w:uiPriority w:val="99"/>
    <w:semiHidden/>
    <w:unhideWhenUsed/>
    <w:rsid w:val="0067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7385">
      <w:bodyDiv w:val="1"/>
      <w:marLeft w:val="0"/>
      <w:marRight w:val="0"/>
      <w:marTop w:val="0"/>
      <w:marBottom w:val="0"/>
      <w:divBdr>
        <w:top w:val="none" w:sz="0" w:space="0" w:color="auto"/>
        <w:left w:val="none" w:sz="0" w:space="0" w:color="auto"/>
        <w:bottom w:val="none" w:sz="0" w:space="0" w:color="auto"/>
        <w:right w:val="none" w:sz="0" w:space="0" w:color="auto"/>
      </w:divBdr>
    </w:div>
    <w:div w:id="896553552">
      <w:bodyDiv w:val="1"/>
      <w:marLeft w:val="0"/>
      <w:marRight w:val="0"/>
      <w:marTop w:val="0"/>
      <w:marBottom w:val="0"/>
      <w:divBdr>
        <w:top w:val="none" w:sz="0" w:space="0" w:color="auto"/>
        <w:left w:val="none" w:sz="0" w:space="0" w:color="auto"/>
        <w:bottom w:val="none" w:sz="0" w:space="0" w:color="auto"/>
        <w:right w:val="none" w:sz="0" w:space="0" w:color="auto"/>
      </w:divBdr>
    </w:div>
    <w:div w:id="1149131313">
      <w:bodyDiv w:val="1"/>
      <w:marLeft w:val="0"/>
      <w:marRight w:val="0"/>
      <w:marTop w:val="0"/>
      <w:marBottom w:val="0"/>
      <w:divBdr>
        <w:top w:val="none" w:sz="0" w:space="0" w:color="auto"/>
        <w:left w:val="none" w:sz="0" w:space="0" w:color="auto"/>
        <w:bottom w:val="none" w:sz="0" w:space="0" w:color="auto"/>
        <w:right w:val="none" w:sz="0" w:space="0" w:color="auto"/>
      </w:divBdr>
    </w:div>
    <w:div w:id="1432821651">
      <w:bodyDiv w:val="1"/>
      <w:marLeft w:val="0"/>
      <w:marRight w:val="0"/>
      <w:marTop w:val="0"/>
      <w:marBottom w:val="0"/>
      <w:divBdr>
        <w:top w:val="none" w:sz="0" w:space="0" w:color="auto"/>
        <w:left w:val="none" w:sz="0" w:space="0" w:color="auto"/>
        <w:bottom w:val="none" w:sz="0" w:space="0" w:color="auto"/>
        <w:right w:val="none" w:sz="0" w:space="0" w:color="auto"/>
      </w:divBdr>
    </w:div>
    <w:div w:id="2095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idadandina.org/Normativ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t.nz/public-consultations/open-consultations/proposal-to-change-the-classification-system-for-hazardous-substances-in-new-zealan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96F3-53F3-460B-95AD-FA56B555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1452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ST/SG/AC.10/46/Add.2</cp:lastModifiedBy>
  <cp:revision>48</cp:revision>
  <cp:lastPrinted>2019-07-02T08:59:00Z</cp:lastPrinted>
  <dcterms:created xsi:type="dcterms:W3CDTF">2019-07-02T07:55:00Z</dcterms:created>
  <dcterms:modified xsi:type="dcterms:W3CDTF">2019-11-22T10:43:00Z</dcterms:modified>
</cp:coreProperties>
</file>