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AA7DBF" w14:paraId="15953A25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825A1" w14:textId="77777777" w:rsidR="003003A7" w:rsidRPr="000B4919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8353B" w14:textId="77777777" w:rsidR="003003A7" w:rsidRPr="000B4919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5EE491" w14:textId="77777777" w:rsidR="003003A7" w:rsidRPr="00302A3D" w:rsidRDefault="003003A7" w:rsidP="003003A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302A3D">
              <w:rPr>
                <w:b/>
                <w:sz w:val="40"/>
                <w:szCs w:val="40"/>
                <w:lang w:val="fr-FR"/>
              </w:rPr>
              <w:t>UN/SCEGHS/</w:t>
            </w:r>
            <w:r w:rsidR="00FD5246">
              <w:rPr>
                <w:b/>
                <w:sz w:val="40"/>
                <w:szCs w:val="40"/>
                <w:lang w:val="fr-FR"/>
              </w:rPr>
              <w:t>38</w:t>
            </w:r>
            <w:r w:rsidRPr="00302A3D">
              <w:rPr>
                <w:b/>
                <w:sz w:val="40"/>
                <w:szCs w:val="40"/>
                <w:lang w:val="fr-FR"/>
              </w:rPr>
              <w:t>/INF.</w:t>
            </w:r>
            <w:r w:rsidR="005023AF">
              <w:rPr>
                <w:b/>
                <w:sz w:val="40"/>
                <w:szCs w:val="40"/>
                <w:lang w:val="fr-FR"/>
              </w:rPr>
              <w:t>26</w:t>
            </w:r>
          </w:p>
          <w:p w14:paraId="447347C5" w14:textId="77777777" w:rsidR="003003A7" w:rsidRPr="00302A3D" w:rsidRDefault="003003A7" w:rsidP="003003A7">
            <w:pPr>
              <w:jc w:val="right"/>
              <w:rPr>
                <w:lang w:val="fr-FR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366"/>
      </w:tblGrid>
      <w:tr w:rsidR="00645A0B" w:rsidRPr="00302A3D" w14:paraId="099C7D93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8E44E4C" w14:textId="77777777" w:rsidR="00645A0B" w:rsidRPr="00302A3D" w:rsidRDefault="00645A0B" w:rsidP="00F94792">
            <w:pPr>
              <w:tabs>
                <w:tab w:val="right" w:pos="9214"/>
              </w:tabs>
            </w:pPr>
            <w:r w:rsidRPr="00302A3D">
              <w:rPr>
                <w:b/>
                <w:sz w:val="24"/>
                <w:szCs w:val="24"/>
              </w:rPr>
              <w:t>Committee of Experts on the Transport of Dangerous Goods</w:t>
            </w:r>
            <w:r w:rsidRPr="00302A3D">
              <w:rPr>
                <w:b/>
                <w:sz w:val="24"/>
                <w:szCs w:val="24"/>
              </w:rPr>
              <w:tab/>
            </w:r>
            <w:r w:rsidRPr="00302A3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302A3D">
              <w:rPr>
                <w:b/>
                <w:sz w:val="24"/>
                <w:szCs w:val="24"/>
              </w:rPr>
              <w:br/>
              <w:t>and Labelling of Chemicals</w:t>
            </w:r>
            <w:r w:rsidRPr="00302A3D">
              <w:rPr>
                <w:b/>
              </w:rPr>
              <w:tab/>
            </w:r>
            <w:r w:rsidR="005023AF">
              <w:rPr>
                <w:b/>
              </w:rPr>
              <w:t>5</w:t>
            </w:r>
            <w:r w:rsidR="00F07619">
              <w:rPr>
                <w:b/>
              </w:rPr>
              <w:t xml:space="preserve"> </w:t>
            </w:r>
            <w:r w:rsidR="00F94792">
              <w:rPr>
                <w:b/>
              </w:rPr>
              <w:t>Dec</w:t>
            </w:r>
            <w:r w:rsidR="00E0695F">
              <w:rPr>
                <w:b/>
              </w:rPr>
              <w:t>ember</w:t>
            </w:r>
            <w:r w:rsidR="007932E3" w:rsidRPr="00302A3D">
              <w:rPr>
                <w:b/>
              </w:rPr>
              <w:t xml:space="preserve"> </w:t>
            </w:r>
            <w:r w:rsidR="00D42C29" w:rsidRPr="00302A3D">
              <w:rPr>
                <w:b/>
                <w:sz w:val="18"/>
                <w:szCs w:val="24"/>
              </w:rPr>
              <w:t>2019</w:t>
            </w:r>
          </w:p>
        </w:tc>
      </w:tr>
      <w:tr w:rsidR="00AA7DBF" w:rsidRPr="00302A3D" w14:paraId="022B79A4" w14:textId="77777777" w:rsidTr="00A93985">
        <w:tc>
          <w:tcPr>
            <w:tcW w:w="5279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8A1A36" w14:textId="77777777" w:rsidR="00AA7DBF" w:rsidRPr="00302A3D" w:rsidRDefault="00AA7DBF" w:rsidP="00AA7DBF">
            <w:pPr>
              <w:spacing w:before="120"/>
              <w:rPr>
                <w:b/>
              </w:rPr>
            </w:pPr>
            <w:r w:rsidRPr="00302A3D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36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41C7117" w14:textId="77777777" w:rsidR="00AA7DBF" w:rsidRPr="00302A3D" w:rsidRDefault="00AA7DBF" w:rsidP="00AA7DBF">
            <w:pPr>
              <w:spacing w:before="120"/>
              <w:rPr>
                <w:b/>
              </w:rPr>
            </w:pPr>
          </w:p>
        </w:tc>
      </w:tr>
      <w:tr w:rsidR="00AA7DBF" w:rsidRPr="00302A3D" w14:paraId="2EFEC861" w14:textId="77777777" w:rsidTr="00A93985">
        <w:tc>
          <w:tcPr>
            <w:tcW w:w="527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8E64CD6" w14:textId="77777777" w:rsidR="00AA7DBF" w:rsidRPr="00302A3D" w:rsidRDefault="00AA7DBF" w:rsidP="00AA7DBF">
            <w:pPr>
              <w:spacing w:before="120"/>
              <w:ind w:left="34" w:hanging="34"/>
              <w:rPr>
                <w:b/>
              </w:rPr>
            </w:pPr>
            <w:r w:rsidRPr="00302A3D">
              <w:rPr>
                <w:b/>
              </w:rPr>
              <w:t>Thirty-</w:t>
            </w:r>
            <w:r>
              <w:rPr>
                <w:b/>
              </w:rPr>
              <w:t>eight</w:t>
            </w:r>
            <w:r w:rsidRPr="00302A3D">
              <w:rPr>
                <w:b/>
              </w:rPr>
              <w:t xml:space="preserve"> session </w:t>
            </w:r>
          </w:p>
        </w:tc>
        <w:tc>
          <w:tcPr>
            <w:tcW w:w="436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61E99CB" w14:textId="77777777" w:rsidR="00AA7DBF" w:rsidRPr="00302A3D" w:rsidRDefault="00AA7DBF" w:rsidP="00AA7DBF">
            <w:pPr>
              <w:spacing w:before="120"/>
              <w:ind w:left="34" w:hanging="34"/>
              <w:rPr>
                <w:b/>
              </w:rPr>
            </w:pPr>
          </w:p>
        </w:tc>
      </w:tr>
      <w:tr w:rsidR="00AA7DBF" w:rsidRPr="000B4919" w14:paraId="5341CB89" w14:textId="77777777" w:rsidTr="00A93985">
        <w:tc>
          <w:tcPr>
            <w:tcW w:w="5279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F59FD96" w14:textId="77777777" w:rsidR="00AA7DBF" w:rsidRPr="00302A3D" w:rsidRDefault="00AA7DBF" w:rsidP="00AA7DBF">
            <w:pPr>
              <w:spacing w:before="40"/>
            </w:pPr>
            <w:r w:rsidRPr="00302A3D">
              <w:t xml:space="preserve">Geneva, </w:t>
            </w:r>
            <w:r>
              <w:t>11</w:t>
            </w:r>
            <w:r w:rsidRPr="00302A3D">
              <w:t>-1</w:t>
            </w:r>
            <w:r>
              <w:t>3</w:t>
            </w:r>
            <w:r w:rsidRPr="00302A3D">
              <w:t xml:space="preserve"> </w:t>
            </w:r>
            <w:r>
              <w:t>December</w:t>
            </w:r>
            <w:r w:rsidRPr="00302A3D">
              <w:t xml:space="preserve"> 2019</w:t>
            </w:r>
          </w:p>
          <w:p w14:paraId="3A626738" w14:textId="77777777" w:rsidR="00AA7DBF" w:rsidRPr="00302A3D" w:rsidRDefault="00AA7DBF" w:rsidP="00AA7DBF">
            <w:pPr>
              <w:spacing w:before="40"/>
            </w:pPr>
            <w:r w:rsidRPr="00302A3D">
              <w:t>Item 2 (b) of the provisional agenda</w:t>
            </w:r>
          </w:p>
          <w:p w14:paraId="6C1E8F68" w14:textId="77777777" w:rsidR="00AA7DBF" w:rsidRPr="006B4518" w:rsidRDefault="00AA7DBF" w:rsidP="00AA7DBF">
            <w:pPr>
              <w:spacing w:before="40"/>
              <w:rPr>
                <w:b/>
              </w:rPr>
            </w:pPr>
            <w:r w:rsidRPr="00302A3D">
              <w:rPr>
                <w:b/>
              </w:rPr>
              <w:t>Classification criteria and related hazard communication: review of Chapter 2.1</w:t>
            </w:r>
          </w:p>
        </w:tc>
        <w:tc>
          <w:tcPr>
            <w:tcW w:w="4366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B706E3B" w14:textId="77777777" w:rsidR="00AA7DBF" w:rsidRPr="006B4518" w:rsidRDefault="00AA7DBF" w:rsidP="00AA7DBF">
            <w:pPr>
              <w:spacing w:before="40"/>
              <w:rPr>
                <w:b/>
              </w:rPr>
            </w:pPr>
          </w:p>
        </w:tc>
      </w:tr>
    </w:tbl>
    <w:p w14:paraId="1E2A3B96" w14:textId="77777777" w:rsidR="0086013A" w:rsidRPr="00E4220C" w:rsidRDefault="0086013A" w:rsidP="00CF6D3F">
      <w:pPr>
        <w:pStyle w:val="HChG"/>
        <w:rPr>
          <w:rFonts w:eastAsia="MS Mincho"/>
          <w:sz w:val="24"/>
          <w:lang w:val="en-GB" w:eastAsia="ja-JP"/>
        </w:rPr>
      </w:pPr>
      <w:r>
        <w:rPr>
          <w:rFonts w:eastAsia="MS Mincho"/>
          <w:sz w:val="24"/>
          <w:lang w:val="en-GB" w:eastAsia="ja-JP"/>
        </w:rPr>
        <w:tab/>
      </w:r>
      <w:r>
        <w:rPr>
          <w:rFonts w:eastAsia="MS Mincho"/>
          <w:sz w:val="24"/>
          <w:lang w:val="en-GB" w:eastAsia="ja-JP"/>
        </w:rPr>
        <w:tab/>
      </w:r>
      <w:r w:rsidR="00A93985">
        <w:rPr>
          <w:rFonts w:eastAsia="MS Mincho"/>
          <w:sz w:val="24"/>
          <w:lang w:val="en-GB" w:eastAsia="ja-JP"/>
        </w:rPr>
        <w:t xml:space="preserve">Provisional </w:t>
      </w:r>
      <w:r w:rsidR="00A93985">
        <w:rPr>
          <w:rFonts w:eastAsia="MS Mincho"/>
          <w:lang w:val="en-GB" w:eastAsia="ja-JP"/>
        </w:rPr>
        <w:t>a</w:t>
      </w:r>
      <w:r w:rsidR="00AA7DBF">
        <w:rPr>
          <w:rFonts w:eastAsia="MS Mincho"/>
          <w:lang w:val="en-GB" w:eastAsia="ja-JP"/>
        </w:rPr>
        <w:t>genda for the meeting</w:t>
      </w:r>
      <w:r w:rsidR="00A93985">
        <w:rPr>
          <w:rFonts w:eastAsia="MS Mincho"/>
          <w:lang w:val="en-GB" w:eastAsia="ja-JP"/>
        </w:rPr>
        <w:t xml:space="preserve"> of the</w:t>
      </w:r>
      <w:r w:rsidR="00AA7DBF">
        <w:rPr>
          <w:rFonts w:eastAsia="MS Mincho"/>
          <w:lang w:val="en-GB" w:eastAsia="ja-JP"/>
        </w:rPr>
        <w:t xml:space="preserve"> </w:t>
      </w:r>
      <w:r w:rsidR="00A93985">
        <w:rPr>
          <w:rFonts w:eastAsia="MS Mincho"/>
          <w:lang w:val="en-GB" w:eastAsia="ja-JP"/>
        </w:rPr>
        <w:t>i</w:t>
      </w:r>
      <w:r w:rsidR="00AA7DBF" w:rsidRPr="00AA7DBF">
        <w:rPr>
          <w:rFonts w:eastAsia="MS Mincho"/>
          <w:lang w:val="en-GB" w:eastAsia="ja-JP"/>
        </w:rPr>
        <w:t>nform</w:t>
      </w:r>
      <w:r w:rsidR="00A93985">
        <w:rPr>
          <w:rFonts w:eastAsia="MS Mincho"/>
          <w:lang w:val="en-GB" w:eastAsia="ja-JP"/>
        </w:rPr>
        <w:t>al correspondence group on the r</w:t>
      </w:r>
      <w:r w:rsidR="00AA7DBF" w:rsidRPr="00AA7DBF">
        <w:rPr>
          <w:rFonts w:eastAsia="MS Mincho"/>
          <w:lang w:val="en-GB" w:eastAsia="ja-JP"/>
        </w:rPr>
        <w:t>eview of GHS Chapter 2.1</w:t>
      </w:r>
    </w:p>
    <w:p w14:paraId="553CA3C9" w14:textId="77777777" w:rsidR="00FD5246" w:rsidRPr="008678DA" w:rsidRDefault="0086013A" w:rsidP="008678DA">
      <w:pPr>
        <w:pStyle w:val="H1G"/>
        <w:rPr>
          <w:rFonts w:eastAsia="MS Mincho"/>
          <w:sz w:val="20"/>
        </w:rPr>
      </w:pPr>
      <w:r w:rsidRPr="00DA3263">
        <w:rPr>
          <w:rFonts w:eastAsia="MS Mincho"/>
          <w:sz w:val="20"/>
        </w:rPr>
        <w:tab/>
      </w:r>
      <w:r w:rsidRPr="00DA3263">
        <w:rPr>
          <w:rFonts w:eastAsia="MS Mincho"/>
          <w:sz w:val="20"/>
        </w:rPr>
        <w:tab/>
      </w:r>
      <w:r w:rsidRPr="009152C9">
        <w:rPr>
          <w:rFonts w:eastAsia="MS Mincho"/>
        </w:rPr>
        <w:t xml:space="preserve">Transmitted by the </w:t>
      </w:r>
      <w:r>
        <w:t>expert from Sweden</w:t>
      </w:r>
    </w:p>
    <w:p w14:paraId="12643C00" w14:textId="77777777" w:rsidR="00FD5246" w:rsidRPr="00FD5246" w:rsidRDefault="00A779F3" w:rsidP="00FD5246">
      <w:pPr>
        <w:pStyle w:val="SingleTxtG"/>
        <w:tabs>
          <w:tab w:val="right" w:pos="1710"/>
        </w:tabs>
        <w:ind w:left="1170"/>
        <w:rPr>
          <w:b/>
        </w:rPr>
      </w:pPr>
      <w:r>
        <w:rPr>
          <w:b/>
          <w:sz w:val="24"/>
          <w:lang w:val="en-GB"/>
        </w:rPr>
        <w:t>Introduction</w:t>
      </w:r>
    </w:p>
    <w:p w14:paraId="2A5E87A5" w14:textId="77777777" w:rsidR="00F94792" w:rsidRDefault="00EC77BF" w:rsidP="00A93985">
      <w:pPr>
        <w:pStyle w:val="SingleTxtG"/>
        <w:numPr>
          <w:ilvl w:val="0"/>
          <w:numId w:val="28"/>
        </w:numPr>
        <w:tabs>
          <w:tab w:val="right" w:pos="1710"/>
        </w:tabs>
      </w:pPr>
      <w:r>
        <w:rPr>
          <w:lang w:val="en-GB"/>
        </w:rPr>
        <w:t xml:space="preserve">According to the </w:t>
      </w:r>
      <w:r w:rsidR="002E60D6">
        <w:rPr>
          <w:lang w:val="en-GB"/>
        </w:rPr>
        <w:t>provisional timetable</w:t>
      </w:r>
      <w:r>
        <w:rPr>
          <w:lang w:val="en-GB"/>
        </w:rPr>
        <w:t xml:space="preserve"> </w:t>
      </w:r>
      <w:r w:rsidR="002E60D6">
        <w:rPr>
          <w:lang w:val="en-GB"/>
        </w:rPr>
        <w:t>for</w:t>
      </w:r>
      <w:r>
        <w:rPr>
          <w:lang w:val="en-GB"/>
        </w:rPr>
        <w:t xml:space="preserve"> the 38th </w:t>
      </w:r>
      <w:r w:rsidR="002E60D6">
        <w:rPr>
          <w:lang w:val="en-GB"/>
        </w:rPr>
        <w:t>session of the SCEGHS (</w:t>
      </w:r>
      <w:r w:rsidR="00F94792">
        <w:rPr>
          <w:lang w:val="en-GB"/>
        </w:rPr>
        <w:t>UN/SCEGHS/38/</w:t>
      </w:r>
      <w:r w:rsidR="002E60D6">
        <w:rPr>
          <w:lang w:val="en-GB"/>
        </w:rPr>
        <w:t>INF.10),</w:t>
      </w:r>
      <w:r w:rsidR="00A93985">
        <w:rPr>
          <w:lang w:val="en-GB"/>
        </w:rPr>
        <w:t xml:space="preserve"> the informal correspondence g</w:t>
      </w:r>
      <w:r>
        <w:rPr>
          <w:lang w:val="en-GB"/>
        </w:rPr>
        <w:t xml:space="preserve">roup on the review of </w:t>
      </w:r>
      <w:r w:rsidR="00981938">
        <w:rPr>
          <w:lang w:val="en-GB"/>
        </w:rPr>
        <w:t xml:space="preserve">GHS </w:t>
      </w:r>
      <w:r>
        <w:rPr>
          <w:lang w:val="en-GB"/>
        </w:rPr>
        <w:t>Chapter 2.1</w:t>
      </w:r>
      <w:r w:rsidR="00F94792">
        <w:rPr>
          <w:lang w:val="en-GB"/>
        </w:rPr>
        <w:t xml:space="preserve"> </w:t>
      </w:r>
      <w:r w:rsidR="00D21A45">
        <w:rPr>
          <w:lang w:val="en-GB"/>
        </w:rPr>
        <w:t>will convene</w:t>
      </w:r>
      <w:r w:rsidR="002E60D6">
        <w:rPr>
          <w:lang w:val="en-GB"/>
        </w:rPr>
        <w:t xml:space="preserve"> in the afternoon of</w:t>
      </w:r>
      <w:r>
        <w:rPr>
          <w:lang w:val="en-GB"/>
        </w:rPr>
        <w:t xml:space="preserve"> Wednesday 11 December</w:t>
      </w:r>
      <w:r w:rsidR="00A53992">
        <w:rPr>
          <w:lang w:val="en-GB"/>
        </w:rPr>
        <w:t xml:space="preserve"> 2019</w:t>
      </w:r>
      <w:r w:rsidR="002E60D6">
        <w:rPr>
          <w:lang w:val="en-GB"/>
        </w:rPr>
        <w:t xml:space="preserve">. </w:t>
      </w:r>
      <w:r w:rsidR="00981938">
        <w:rPr>
          <w:lang w:val="en-GB"/>
        </w:rPr>
        <w:t xml:space="preserve">Annex I to </w:t>
      </w:r>
      <w:r w:rsidR="00A93985" w:rsidRPr="00A93985">
        <w:rPr>
          <w:lang w:val="en-GB"/>
        </w:rPr>
        <w:t>UN/SCEGHS/38/INF.6-UN/SCETDG/56/INF.8</w:t>
      </w:r>
      <w:r w:rsidR="002E60D6" w:rsidRPr="002E60D6">
        <w:rPr>
          <w:lang w:val="en-GB"/>
        </w:rPr>
        <w:t xml:space="preserve"> </w:t>
      </w:r>
      <w:r w:rsidRPr="002E60D6">
        <w:rPr>
          <w:lang w:val="en-GB"/>
        </w:rPr>
        <w:t>contains an advanced draft of a new Chapter 2.1 for the GHS, w</w:t>
      </w:r>
      <w:r w:rsidR="002E60D6" w:rsidRPr="002E60D6">
        <w:rPr>
          <w:lang w:val="en-GB"/>
        </w:rPr>
        <w:t>hich will form the basis for this</w:t>
      </w:r>
      <w:r w:rsidRPr="002E60D6">
        <w:rPr>
          <w:lang w:val="en-GB"/>
        </w:rPr>
        <w:t xml:space="preserve"> meeting. </w:t>
      </w:r>
      <w:r w:rsidR="00981938">
        <w:rPr>
          <w:lang w:val="en-GB"/>
        </w:rPr>
        <w:t>That</w:t>
      </w:r>
      <w:r w:rsidRPr="002E60D6">
        <w:rPr>
          <w:lang w:val="en-GB"/>
        </w:rPr>
        <w:t xml:space="preserve"> document</w:t>
      </w:r>
      <w:r w:rsidR="00981938">
        <w:rPr>
          <w:lang w:val="en-GB"/>
        </w:rPr>
        <w:t xml:space="preserve"> also highlights and de</w:t>
      </w:r>
      <w:r w:rsidR="00D21A45">
        <w:rPr>
          <w:lang w:val="en-GB"/>
        </w:rPr>
        <w:t>scribes</w:t>
      </w:r>
      <w:r w:rsidRPr="002E60D6">
        <w:rPr>
          <w:lang w:val="en-GB"/>
        </w:rPr>
        <w:t xml:space="preserve"> three main open issue</w:t>
      </w:r>
      <w:r w:rsidR="00F94792">
        <w:rPr>
          <w:lang w:val="en-GB"/>
        </w:rPr>
        <w:t>s</w:t>
      </w:r>
      <w:r w:rsidR="00D21A45">
        <w:rPr>
          <w:lang w:val="en-GB"/>
        </w:rPr>
        <w:t xml:space="preserve"> regarding hazard communication, which will </w:t>
      </w:r>
      <w:r w:rsidR="002E60D6">
        <w:rPr>
          <w:lang w:val="en-GB"/>
        </w:rPr>
        <w:t>be brought up at the meeting</w:t>
      </w:r>
      <w:r w:rsidR="00D21A45">
        <w:rPr>
          <w:lang w:val="en-GB"/>
        </w:rPr>
        <w:t xml:space="preserve">. Agreement on these issues is a prerequisite for the preparation of </w:t>
      </w:r>
      <w:r w:rsidR="002E60D6">
        <w:rPr>
          <w:lang w:val="en-GB"/>
        </w:rPr>
        <w:t xml:space="preserve">a working document with a new Chapter 2.1 </w:t>
      </w:r>
      <w:r w:rsidR="00D21A45">
        <w:rPr>
          <w:lang w:val="en-GB"/>
        </w:rPr>
        <w:t>to</w:t>
      </w:r>
      <w:r w:rsidR="002E60D6">
        <w:rPr>
          <w:lang w:val="en-GB"/>
        </w:rPr>
        <w:t xml:space="preserve"> the 39:th session of the SCEGHS, in accordance with the programme of work (</w:t>
      </w:r>
      <w:r w:rsidR="00F94792" w:rsidRPr="00F94792">
        <w:rPr>
          <w:lang w:val="en-GB"/>
        </w:rPr>
        <w:t>UN/SCEGHS/36/INF.43/Rev.1</w:t>
      </w:r>
      <w:r w:rsidR="002E60D6">
        <w:rPr>
          <w:lang w:val="en-GB"/>
        </w:rPr>
        <w:t>)</w:t>
      </w:r>
      <w:r w:rsidR="00F94792">
        <w:rPr>
          <w:lang w:val="en-GB"/>
        </w:rPr>
        <w:t>.</w:t>
      </w:r>
    </w:p>
    <w:p w14:paraId="07868EE6" w14:textId="77777777" w:rsidR="00A64734" w:rsidRPr="00EC77BF" w:rsidRDefault="00A64734" w:rsidP="00F94792">
      <w:pPr>
        <w:pStyle w:val="SingleTxtG"/>
        <w:numPr>
          <w:ilvl w:val="0"/>
          <w:numId w:val="28"/>
        </w:numPr>
        <w:tabs>
          <w:tab w:val="right" w:pos="1710"/>
        </w:tabs>
      </w:pPr>
      <w:r w:rsidRPr="00F94792">
        <w:rPr>
          <w:lang w:val="en-GB"/>
        </w:rPr>
        <w:t>The annex to this document contains a</w:t>
      </w:r>
      <w:r w:rsidR="00F94792" w:rsidRPr="00F94792">
        <w:rPr>
          <w:lang w:val="en-GB"/>
        </w:rPr>
        <w:t xml:space="preserve"> provisional</w:t>
      </w:r>
      <w:r w:rsidRPr="00F94792">
        <w:rPr>
          <w:lang w:val="en-GB"/>
        </w:rPr>
        <w:t xml:space="preserve"> agenda for the mee</w:t>
      </w:r>
      <w:r w:rsidR="00F94792" w:rsidRPr="00F94792">
        <w:rPr>
          <w:lang w:val="en-GB"/>
        </w:rPr>
        <w:t>ting.</w:t>
      </w:r>
    </w:p>
    <w:p w14:paraId="5024CBBF" w14:textId="77777777" w:rsidR="00353524" w:rsidRPr="009549D5" w:rsidRDefault="00353524" w:rsidP="00AD47BD">
      <w:pPr>
        <w:pStyle w:val="SingleTxtG"/>
        <w:tabs>
          <w:tab w:val="right" w:pos="1710"/>
        </w:tabs>
        <w:ind w:left="1170"/>
      </w:pPr>
    </w:p>
    <w:p w14:paraId="2EA92F16" w14:textId="77777777" w:rsidR="008B7E35" w:rsidRDefault="008B7E35" w:rsidP="008B7E35">
      <w:pPr>
        <w:spacing w:before="240"/>
        <w:jc w:val="center"/>
        <w:rPr>
          <w:rFonts w:eastAsia="Garamond"/>
          <w:u w:val="single"/>
        </w:rPr>
      </w:pPr>
      <w:bookmarkStart w:id="0" w:name="_GoBack"/>
      <w:bookmarkEnd w:id="0"/>
    </w:p>
    <w:p w14:paraId="2B802A85" w14:textId="77777777" w:rsidR="00551DC2" w:rsidRDefault="00551DC2" w:rsidP="007D31CC">
      <w:pPr>
        <w:suppressAutoHyphens w:val="0"/>
        <w:spacing w:line="240" w:lineRule="auto"/>
        <w:rPr>
          <w:rFonts w:eastAsia="Garamond"/>
          <w:u w:val="single"/>
        </w:rPr>
      </w:pPr>
    </w:p>
    <w:p w14:paraId="6EEC0DC0" w14:textId="77777777" w:rsidR="007D31CC" w:rsidRDefault="007D31CC">
      <w:pPr>
        <w:suppressAutoHyphens w:val="0"/>
        <w:spacing w:line="240" w:lineRule="auto"/>
        <w:rPr>
          <w:rFonts w:eastAsia="Garamond"/>
          <w:u w:val="single"/>
        </w:rPr>
      </w:pPr>
      <w:r>
        <w:rPr>
          <w:rFonts w:eastAsia="Garamond"/>
          <w:u w:val="single"/>
        </w:rPr>
        <w:br w:type="page"/>
      </w:r>
    </w:p>
    <w:p w14:paraId="70D86BFE" w14:textId="77777777" w:rsidR="00A93985" w:rsidRPr="00E76972" w:rsidRDefault="007D31CC" w:rsidP="00E76972">
      <w:pPr>
        <w:suppressAutoHyphens w:val="0"/>
        <w:spacing w:line="240" w:lineRule="auto"/>
        <w:rPr>
          <w:rFonts w:eastAsia="Garamond"/>
          <w:b/>
          <w:sz w:val="24"/>
        </w:rPr>
      </w:pPr>
      <w:r w:rsidRPr="00A93985">
        <w:rPr>
          <w:rFonts w:eastAsia="Garamond"/>
          <w:b/>
          <w:sz w:val="24"/>
        </w:rPr>
        <w:lastRenderedPageBreak/>
        <w:t>Annex</w:t>
      </w:r>
      <w:r w:rsidR="00E8712C">
        <w:rPr>
          <w:rFonts w:eastAsia="Garamond"/>
          <w:b/>
          <w:sz w:val="24"/>
        </w:rPr>
        <w:br/>
      </w:r>
      <w:r w:rsidR="00F94792" w:rsidRPr="00A93985">
        <w:rPr>
          <w:b/>
          <w:sz w:val="24"/>
        </w:rPr>
        <w:t>Provisional a</w:t>
      </w:r>
      <w:r w:rsidRPr="00A93985">
        <w:rPr>
          <w:b/>
          <w:sz w:val="24"/>
        </w:rPr>
        <w:t xml:space="preserve">genda for the meeting of the Informal Correspondence Group </w:t>
      </w:r>
      <w:r w:rsidR="00A93985" w:rsidRPr="00A93985">
        <w:rPr>
          <w:b/>
          <w:sz w:val="24"/>
        </w:rPr>
        <w:t xml:space="preserve">(ICG) </w:t>
      </w:r>
      <w:r w:rsidR="00A93985">
        <w:rPr>
          <w:b/>
          <w:sz w:val="24"/>
        </w:rPr>
        <w:t>on the r</w:t>
      </w:r>
      <w:r w:rsidRPr="00A93985">
        <w:rPr>
          <w:b/>
          <w:sz w:val="24"/>
        </w:rPr>
        <w:t>eview of GHS Chapter 2.1</w:t>
      </w:r>
      <w:r w:rsidR="00D21A45">
        <w:rPr>
          <w:b/>
          <w:sz w:val="24"/>
        </w:rPr>
        <w:t xml:space="preserve"> on 11 December 2019</w:t>
      </w:r>
    </w:p>
    <w:p w14:paraId="39B3E92F" w14:textId="77777777" w:rsidR="00A93985" w:rsidRDefault="00A93985" w:rsidP="007D31CC">
      <w:pPr>
        <w:rPr>
          <w:b/>
          <w:sz w:val="24"/>
        </w:rPr>
      </w:pPr>
    </w:p>
    <w:p w14:paraId="460577EE" w14:textId="77777777" w:rsidR="007D31CC" w:rsidRPr="00F606B4" w:rsidRDefault="00A93985" w:rsidP="007D31CC">
      <w:pPr>
        <w:rPr>
          <w:b/>
          <w:sz w:val="16"/>
        </w:rPr>
      </w:pPr>
      <w:r w:rsidRPr="00F606B4">
        <w:rPr>
          <w:b/>
        </w:rPr>
        <w:t>The basis document is UN/SCEGHS/38/INF.6-UN/SCETDG/56/INF.8, henceforth termed INF.6.</w:t>
      </w:r>
      <w:r w:rsidR="0034314F" w:rsidRPr="00F606B4">
        <w:rPr>
          <w:b/>
          <w:sz w:val="16"/>
        </w:rPr>
        <w:br/>
      </w:r>
    </w:p>
    <w:p w14:paraId="5AD6C6B7" w14:textId="77777777" w:rsidR="007D31CC" w:rsidRPr="00C74B70" w:rsidRDefault="007D31CC" w:rsidP="007D31CC">
      <w:r w:rsidRPr="00F606B4">
        <w:rPr>
          <w:b/>
        </w:rPr>
        <w:t xml:space="preserve">1. </w:t>
      </w:r>
      <w:r w:rsidRPr="00C74B70">
        <w:t xml:space="preserve">Brief introduction to the </w:t>
      </w:r>
      <w:r w:rsidR="00F94792">
        <w:t>advanced draft of Chapter 2.1 (</w:t>
      </w:r>
      <w:r w:rsidR="00A93985">
        <w:t xml:space="preserve">see annex I to </w:t>
      </w:r>
      <w:r w:rsidR="00F94792">
        <w:t>INF.6)</w:t>
      </w:r>
    </w:p>
    <w:p w14:paraId="7C9251D6" w14:textId="77777777" w:rsidR="0034314F" w:rsidRDefault="0034314F" w:rsidP="007D31CC"/>
    <w:p w14:paraId="145A8C82" w14:textId="77777777" w:rsidR="007D31CC" w:rsidRPr="00C74B70" w:rsidRDefault="007D31CC" w:rsidP="002E60D6">
      <w:r w:rsidRPr="00F606B4">
        <w:rPr>
          <w:b/>
        </w:rPr>
        <w:t>2.</w:t>
      </w:r>
      <w:r w:rsidRPr="00C74B70">
        <w:t xml:space="preserve"> </w:t>
      </w:r>
      <w:r w:rsidR="002E60D6">
        <w:t>Summary of</w:t>
      </w:r>
      <w:r w:rsidRPr="00C74B70">
        <w:t xml:space="preserve"> comments received in the ICG</w:t>
      </w:r>
    </w:p>
    <w:p w14:paraId="70CD242D" w14:textId="77777777" w:rsidR="0034314F" w:rsidRDefault="0034314F" w:rsidP="007D31CC"/>
    <w:p w14:paraId="08F1C118" w14:textId="77777777" w:rsidR="007D31CC" w:rsidRPr="00C74B70" w:rsidRDefault="007D31CC" w:rsidP="007D31CC">
      <w:r w:rsidRPr="00F606B4">
        <w:rPr>
          <w:b/>
        </w:rPr>
        <w:t>3.</w:t>
      </w:r>
      <w:r w:rsidRPr="00C74B70">
        <w:t xml:space="preserve"> </w:t>
      </w:r>
      <w:r>
        <w:t>Main o</w:t>
      </w:r>
      <w:r w:rsidRPr="00C74B70">
        <w:t>pen issues</w:t>
      </w:r>
      <w:r w:rsidR="006C28C0">
        <w:t xml:space="preserve"> – hazard communication</w:t>
      </w:r>
      <w:r w:rsidR="002E60D6">
        <w:br/>
      </w:r>
    </w:p>
    <w:p w14:paraId="3D897B2E" w14:textId="77777777" w:rsidR="007D31CC" w:rsidRDefault="007D31CC" w:rsidP="00E76972">
      <w:pPr>
        <w:ind w:firstLine="567"/>
      </w:pPr>
      <w:r w:rsidRPr="00F606B4">
        <w:rPr>
          <w:b/>
        </w:rPr>
        <w:t>a)</w:t>
      </w:r>
      <w:r w:rsidRPr="00C74B70">
        <w:t xml:space="preserve"> The symbol, or no symbol, for Sub-category 2C</w:t>
      </w:r>
      <w:r w:rsidR="00F94792">
        <w:t xml:space="preserve"> (see paragraph 9 of </w:t>
      </w:r>
      <w:r w:rsidR="00A93985">
        <w:t>INF.6</w:t>
      </w:r>
      <w:r w:rsidR="00F94792">
        <w:t>)</w:t>
      </w:r>
    </w:p>
    <w:p w14:paraId="5E4755CC" w14:textId="77777777" w:rsidR="007D31CC" w:rsidRPr="00C74B70" w:rsidRDefault="007D31CC" w:rsidP="00E76972">
      <w:pPr>
        <w:ind w:firstLine="567"/>
      </w:pPr>
      <w:r>
        <w:t>Possible options</w:t>
      </w:r>
      <w:r w:rsidR="00E44629">
        <w:t xml:space="preserve"> from the ICG</w:t>
      </w:r>
      <w:r>
        <w:t>:</w:t>
      </w:r>
      <w:r w:rsidR="00E44629">
        <w:br/>
      </w:r>
    </w:p>
    <w:tbl>
      <w:tblPr>
        <w:tblStyle w:val="TableGrid"/>
        <w:tblW w:w="0" w:type="auto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276"/>
      </w:tblGrid>
      <w:tr w:rsidR="007D31CC" w:rsidRPr="00C74B70" w14:paraId="09B18C5A" w14:textId="77777777" w:rsidTr="00933C13">
        <w:tc>
          <w:tcPr>
            <w:tcW w:w="1418" w:type="dxa"/>
            <w:vAlign w:val="center"/>
          </w:tcPr>
          <w:p w14:paraId="71B354E3" w14:textId="77777777" w:rsidR="007D31CC" w:rsidRPr="00C74B70" w:rsidRDefault="007D31CC" w:rsidP="00E76972">
            <w:pPr>
              <w:jc w:val="center"/>
            </w:pPr>
            <w:r w:rsidRPr="00C74B70">
              <w:rPr>
                <w:noProof/>
                <w:lang w:val="sv-SE" w:eastAsia="sv-SE"/>
              </w:rPr>
              <w:drawing>
                <wp:inline distT="0" distB="0" distL="0" distR="0" wp14:anchorId="72EFC6B0" wp14:editId="73A6436C">
                  <wp:extent cx="576000" cy="5760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plo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3C13">
              <w:t>GHS01</w:t>
            </w:r>
          </w:p>
        </w:tc>
        <w:tc>
          <w:tcPr>
            <w:tcW w:w="1417" w:type="dxa"/>
            <w:vAlign w:val="center"/>
          </w:tcPr>
          <w:p w14:paraId="07CC8A3F" w14:textId="77777777" w:rsidR="007D31CC" w:rsidRDefault="007D31CC" w:rsidP="00E76972">
            <w:pPr>
              <w:jc w:val="center"/>
            </w:pPr>
            <w:r w:rsidRPr="00C74B70">
              <w:rPr>
                <w:noProof/>
                <w:lang w:val="sv-SE" w:eastAsia="sv-SE"/>
              </w:rPr>
              <w:drawing>
                <wp:inline distT="0" distB="0" distL="0" distR="0" wp14:anchorId="4C757F3E" wp14:editId="529F54D9">
                  <wp:extent cx="576000" cy="5760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mm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03714" w14:textId="77777777" w:rsidR="00933C13" w:rsidRPr="00C74B70" w:rsidRDefault="00933C13" w:rsidP="00E76972">
            <w:pPr>
              <w:jc w:val="center"/>
            </w:pPr>
            <w:r>
              <w:t>GHS02</w:t>
            </w:r>
          </w:p>
        </w:tc>
        <w:tc>
          <w:tcPr>
            <w:tcW w:w="1276" w:type="dxa"/>
            <w:vAlign w:val="center"/>
          </w:tcPr>
          <w:p w14:paraId="50ADC9D7" w14:textId="77777777" w:rsidR="007D31CC" w:rsidRDefault="007D31CC" w:rsidP="00E76972">
            <w:pPr>
              <w:jc w:val="center"/>
            </w:pPr>
            <w:r w:rsidRPr="00C74B70">
              <w:rPr>
                <w:noProof/>
                <w:lang w:val="sv-SE" w:eastAsia="sv-SE"/>
              </w:rPr>
              <w:drawing>
                <wp:inline distT="0" distB="0" distL="0" distR="0" wp14:anchorId="4586F52E" wp14:editId="6578B236">
                  <wp:extent cx="576000" cy="5760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cla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51333" w14:textId="77777777" w:rsidR="00933C13" w:rsidRPr="00C74B70" w:rsidRDefault="00933C13" w:rsidP="00E76972">
            <w:pPr>
              <w:jc w:val="center"/>
            </w:pPr>
            <w:r>
              <w:t>GHS07</w:t>
            </w:r>
          </w:p>
        </w:tc>
        <w:tc>
          <w:tcPr>
            <w:tcW w:w="1276" w:type="dxa"/>
            <w:vAlign w:val="center"/>
          </w:tcPr>
          <w:p w14:paraId="475E5A0D" w14:textId="77777777" w:rsidR="007D31CC" w:rsidRPr="00C74B70" w:rsidRDefault="007D31CC" w:rsidP="00E76972">
            <w:pPr>
              <w:jc w:val="center"/>
            </w:pPr>
            <w:r w:rsidRPr="00C74B70">
              <w:rPr>
                <w:i/>
              </w:rPr>
              <w:t>No symbol</w:t>
            </w:r>
          </w:p>
        </w:tc>
      </w:tr>
    </w:tbl>
    <w:p w14:paraId="7B62142F" w14:textId="77777777" w:rsidR="007D31CC" w:rsidRPr="00C74B70" w:rsidRDefault="007D31CC" w:rsidP="00E76972">
      <w:pPr>
        <w:ind w:firstLine="567"/>
      </w:pPr>
    </w:p>
    <w:p w14:paraId="7CAD57D1" w14:textId="77777777" w:rsidR="00E8712C" w:rsidRDefault="007D31CC" w:rsidP="00E76972">
      <w:pPr>
        <w:ind w:firstLine="567"/>
      </w:pPr>
      <w:r w:rsidRPr="00F606B4">
        <w:rPr>
          <w:b/>
        </w:rPr>
        <w:t>b)</w:t>
      </w:r>
      <w:r w:rsidRPr="00C74B70">
        <w:t xml:space="preserve"> The hazard statements for Subcategory 2B and 2C</w:t>
      </w:r>
      <w:r w:rsidR="00F94792">
        <w:t xml:space="preserve"> (see p</w:t>
      </w:r>
      <w:r w:rsidR="00A93985">
        <w:t xml:space="preserve">aragraphs 10-11 of </w:t>
      </w:r>
      <w:r w:rsidR="00F94792">
        <w:t>INF.6)</w:t>
      </w:r>
    </w:p>
    <w:p w14:paraId="210ED9CC" w14:textId="77777777" w:rsidR="007D31CC" w:rsidRPr="00C74B70" w:rsidRDefault="00E44629" w:rsidP="00E76972">
      <w:pPr>
        <w:ind w:firstLine="567"/>
      </w:pPr>
      <w:r>
        <w:t>Possible options from the ICG</w:t>
      </w:r>
      <w:r w:rsidR="00F8096F">
        <w:t xml:space="preserve"> (based on current hazard statement H204</w:t>
      </w:r>
      <w:r w:rsidR="00C423CD">
        <w:t xml:space="preserve"> for Division 1.4</w:t>
      </w:r>
      <w:r w:rsidR="00F8096F">
        <w:t>):</w:t>
      </w:r>
      <w:r>
        <w:br/>
      </w:r>
    </w:p>
    <w:tbl>
      <w:tblPr>
        <w:tblStyle w:val="TableGrid"/>
        <w:tblW w:w="0" w:type="auto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3402"/>
      </w:tblGrid>
      <w:tr w:rsidR="007D31CC" w14:paraId="40BF70A4" w14:textId="77777777" w:rsidTr="00F8096F">
        <w:tc>
          <w:tcPr>
            <w:tcW w:w="1701" w:type="dxa"/>
          </w:tcPr>
          <w:p w14:paraId="51C63E1A" w14:textId="77777777" w:rsidR="007D31CC" w:rsidRPr="0015743E" w:rsidRDefault="007D31CC" w:rsidP="00E76972">
            <w:pPr>
              <w:ind w:firstLine="111"/>
              <w:rPr>
                <w:b/>
              </w:rPr>
            </w:pPr>
            <w:r w:rsidRPr="0015743E">
              <w:rPr>
                <w:b/>
              </w:rPr>
              <w:t>Category</w:t>
            </w:r>
          </w:p>
        </w:tc>
        <w:tc>
          <w:tcPr>
            <w:tcW w:w="2835" w:type="dxa"/>
          </w:tcPr>
          <w:p w14:paraId="3D4940DD" w14:textId="77777777" w:rsidR="007D31CC" w:rsidRPr="0015743E" w:rsidRDefault="007D31CC" w:rsidP="00E76972">
            <w:pPr>
              <w:ind w:firstLine="111"/>
              <w:rPr>
                <w:b/>
              </w:rPr>
            </w:pPr>
            <w:r w:rsidRPr="0015743E">
              <w:rPr>
                <w:b/>
              </w:rPr>
              <w:t>2B</w:t>
            </w:r>
          </w:p>
        </w:tc>
        <w:tc>
          <w:tcPr>
            <w:tcW w:w="3402" w:type="dxa"/>
          </w:tcPr>
          <w:p w14:paraId="3E4A3AD2" w14:textId="77777777" w:rsidR="007D31CC" w:rsidRPr="0015743E" w:rsidRDefault="007D31CC" w:rsidP="00E76972">
            <w:pPr>
              <w:ind w:firstLine="111"/>
              <w:rPr>
                <w:b/>
              </w:rPr>
            </w:pPr>
            <w:r w:rsidRPr="0015743E">
              <w:rPr>
                <w:b/>
              </w:rPr>
              <w:t>2C</w:t>
            </w:r>
          </w:p>
        </w:tc>
      </w:tr>
      <w:tr w:rsidR="007D31CC" w14:paraId="7D6AD342" w14:textId="77777777" w:rsidTr="00F8096F">
        <w:tc>
          <w:tcPr>
            <w:tcW w:w="1701" w:type="dxa"/>
          </w:tcPr>
          <w:p w14:paraId="0B512211" w14:textId="77777777" w:rsidR="007D31CC" w:rsidRDefault="00F8096F" w:rsidP="00E76972">
            <w:pPr>
              <w:ind w:firstLine="111"/>
            </w:pPr>
            <w:r>
              <w:t>Hazard statement</w:t>
            </w:r>
          </w:p>
        </w:tc>
        <w:tc>
          <w:tcPr>
            <w:tcW w:w="2835" w:type="dxa"/>
          </w:tcPr>
          <w:p w14:paraId="42949B86" w14:textId="77777777" w:rsidR="007D31CC" w:rsidRDefault="007D31CC" w:rsidP="00E76972">
            <w:pPr>
              <w:ind w:firstLine="111"/>
            </w:pPr>
            <w:r>
              <w:t>Fire or projection hazard</w:t>
            </w:r>
          </w:p>
        </w:tc>
        <w:tc>
          <w:tcPr>
            <w:tcW w:w="3402" w:type="dxa"/>
          </w:tcPr>
          <w:p w14:paraId="5A1F4A1B" w14:textId="77777777" w:rsidR="007D31CC" w:rsidRDefault="007D31CC" w:rsidP="00E76972">
            <w:pPr>
              <w:ind w:firstLine="111"/>
            </w:pPr>
            <w:r>
              <w:t>Minor fire or projection hazard</w:t>
            </w:r>
          </w:p>
        </w:tc>
      </w:tr>
      <w:tr w:rsidR="007D31CC" w14:paraId="443DE74E" w14:textId="77777777" w:rsidTr="00F8096F">
        <w:tc>
          <w:tcPr>
            <w:tcW w:w="1701" w:type="dxa"/>
          </w:tcPr>
          <w:p w14:paraId="063788EF" w14:textId="77777777" w:rsidR="007D31CC" w:rsidRDefault="00F8096F" w:rsidP="00E76972">
            <w:pPr>
              <w:ind w:firstLine="111"/>
            </w:pPr>
            <w:r>
              <w:t>Hazard statement</w:t>
            </w:r>
          </w:p>
        </w:tc>
        <w:tc>
          <w:tcPr>
            <w:tcW w:w="2835" w:type="dxa"/>
          </w:tcPr>
          <w:p w14:paraId="1B8CF957" w14:textId="77777777" w:rsidR="007D31CC" w:rsidRDefault="007D31CC" w:rsidP="00E76972">
            <w:pPr>
              <w:ind w:firstLine="111"/>
            </w:pPr>
            <w:r>
              <w:t>Fire or projection hazard</w:t>
            </w:r>
          </w:p>
        </w:tc>
        <w:tc>
          <w:tcPr>
            <w:tcW w:w="3402" w:type="dxa"/>
          </w:tcPr>
          <w:p w14:paraId="0A464125" w14:textId="77777777" w:rsidR="007D31CC" w:rsidRDefault="007D31CC" w:rsidP="00E76972">
            <w:pPr>
              <w:ind w:firstLine="111"/>
            </w:pPr>
            <w:r>
              <w:t>May cause a fire or projection hazard</w:t>
            </w:r>
          </w:p>
        </w:tc>
      </w:tr>
      <w:tr w:rsidR="00E8712C" w14:paraId="24B046A5" w14:textId="77777777" w:rsidTr="00F8096F">
        <w:tc>
          <w:tcPr>
            <w:tcW w:w="1701" w:type="dxa"/>
          </w:tcPr>
          <w:p w14:paraId="15DF8463" w14:textId="77777777" w:rsidR="00E8712C" w:rsidRDefault="00F8096F" w:rsidP="00E76972">
            <w:pPr>
              <w:ind w:firstLine="111"/>
            </w:pPr>
            <w:r>
              <w:t>Hazard statement</w:t>
            </w:r>
          </w:p>
        </w:tc>
        <w:tc>
          <w:tcPr>
            <w:tcW w:w="2835" w:type="dxa"/>
          </w:tcPr>
          <w:p w14:paraId="3AE696C4" w14:textId="77777777" w:rsidR="00E8712C" w:rsidRDefault="00E8712C" w:rsidP="00E76972">
            <w:pPr>
              <w:ind w:firstLine="111"/>
            </w:pPr>
            <w:r>
              <w:t>Fire or projection hazard</w:t>
            </w:r>
          </w:p>
        </w:tc>
        <w:tc>
          <w:tcPr>
            <w:tcW w:w="3402" w:type="dxa"/>
          </w:tcPr>
          <w:p w14:paraId="3B32BE03" w14:textId="77777777" w:rsidR="00E8712C" w:rsidRDefault="00E8712C" w:rsidP="00E76972">
            <w:pPr>
              <w:ind w:firstLine="111"/>
            </w:pPr>
            <w:r>
              <w:t>Fire hazard or minor projection hazard</w:t>
            </w:r>
          </w:p>
        </w:tc>
      </w:tr>
      <w:tr w:rsidR="007D31CC" w14:paraId="6B5BCC7C" w14:textId="77777777" w:rsidTr="00F8096F">
        <w:tc>
          <w:tcPr>
            <w:tcW w:w="1701" w:type="dxa"/>
          </w:tcPr>
          <w:p w14:paraId="1992DB58" w14:textId="77777777" w:rsidR="007D31CC" w:rsidRDefault="00F8096F" w:rsidP="00E76972">
            <w:pPr>
              <w:ind w:firstLine="111"/>
            </w:pPr>
            <w:r>
              <w:t>Hazard statement</w:t>
            </w:r>
          </w:p>
        </w:tc>
        <w:tc>
          <w:tcPr>
            <w:tcW w:w="2835" w:type="dxa"/>
          </w:tcPr>
          <w:p w14:paraId="31F589AC" w14:textId="77777777" w:rsidR="007D31CC" w:rsidRDefault="007D31CC" w:rsidP="00E76972">
            <w:pPr>
              <w:ind w:firstLine="111"/>
            </w:pPr>
            <w:r>
              <w:t>Severe fire or projection hazard</w:t>
            </w:r>
          </w:p>
        </w:tc>
        <w:tc>
          <w:tcPr>
            <w:tcW w:w="3402" w:type="dxa"/>
          </w:tcPr>
          <w:p w14:paraId="33AF68FF" w14:textId="77777777" w:rsidR="007D31CC" w:rsidRDefault="007D31CC" w:rsidP="00E76972">
            <w:pPr>
              <w:ind w:firstLine="111"/>
            </w:pPr>
            <w:r>
              <w:t>Fire or projection hazard</w:t>
            </w:r>
          </w:p>
        </w:tc>
      </w:tr>
    </w:tbl>
    <w:p w14:paraId="3BC0A6AF" w14:textId="77777777" w:rsidR="007D31CC" w:rsidRPr="00C74B70" w:rsidRDefault="007D31CC" w:rsidP="00E76972">
      <w:pPr>
        <w:ind w:firstLine="567"/>
      </w:pPr>
    </w:p>
    <w:p w14:paraId="68C7684E" w14:textId="77777777" w:rsidR="00E76972" w:rsidRDefault="007D31CC" w:rsidP="00E76972">
      <w:pPr>
        <w:ind w:firstLine="567"/>
      </w:pPr>
      <w:r w:rsidRPr="00F606B4">
        <w:rPr>
          <w:b/>
        </w:rPr>
        <w:t>c)</w:t>
      </w:r>
      <w:r w:rsidRPr="00C74B70">
        <w:t xml:space="preserve"> Informing o</w:t>
      </w:r>
      <w:r w:rsidR="002E60D6">
        <w:t>n</w:t>
      </w:r>
      <w:r w:rsidRPr="00C74B70">
        <w:t xml:space="preserve"> the Division on the GHS label</w:t>
      </w:r>
      <w:r w:rsidR="00F94792">
        <w:t xml:space="preserve"> (see paragraphs 12-</w:t>
      </w:r>
      <w:r w:rsidR="00A93985">
        <w:t xml:space="preserve">15 of </w:t>
      </w:r>
      <w:r w:rsidR="00F94792">
        <w:t>INF.6)</w:t>
      </w:r>
    </w:p>
    <w:p w14:paraId="44F96548" w14:textId="77777777" w:rsidR="007D31CC" w:rsidRPr="00C74B70" w:rsidRDefault="007D31CC" w:rsidP="00E76972">
      <w:pPr>
        <w:ind w:firstLine="567"/>
      </w:pPr>
      <w:r>
        <w:t>Possible options</w:t>
      </w:r>
      <w:r w:rsidR="002E60D6">
        <w:t xml:space="preserve"> fro</w:t>
      </w:r>
      <w:r w:rsidR="00E44629">
        <w:t>m the ICG</w:t>
      </w:r>
      <w:r>
        <w:t>:</w:t>
      </w:r>
      <w:r w:rsidR="00E44629">
        <w:br/>
      </w:r>
    </w:p>
    <w:tbl>
      <w:tblPr>
        <w:tblStyle w:val="TableGrid"/>
        <w:tblW w:w="9072" w:type="dxa"/>
        <w:tblInd w:w="56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811"/>
      </w:tblGrid>
      <w:tr w:rsidR="007D31CC" w:rsidRPr="00C74B70" w14:paraId="6E470787" w14:textId="77777777" w:rsidTr="00F8096F">
        <w:tc>
          <w:tcPr>
            <w:tcW w:w="851" w:type="dxa"/>
          </w:tcPr>
          <w:p w14:paraId="2EAF590B" w14:textId="77777777" w:rsidR="007D31CC" w:rsidRPr="0015743E" w:rsidRDefault="007D31CC" w:rsidP="00E76972">
            <w:pPr>
              <w:ind w:firstLine="111"/>
              <w:rPr>
                <w:b/>
              </w:rPr>
            </w:pPr>
            <w:r w:rsidRPr="0015743E">
              <w:rPr>
                <w:b/>
              </w:rPr>
              <w:t>Code</w:t>
            </w:r>
          </w:p>
        </w:tc>
        <w:tc>
          <w:tcPr>
            <w:tcW w:w="2410" w:type="dxa"/>
          </w:tcPr>
          <w:p w14:paraId="17F7C554" w14:textId="77777777" w:rsidR="007D31CC" w:rsidRPr="0015743E" w:rsidRDefault="007D31CC" w:rsidP="00E76972">
            <w:pPr>
              <w:ind w:firstLine="111"/>
              <w:rPr>
                <w:b/>
              </w:rPr>
            </w:pPr>
            <w:r w:rsidRPr="0015743E">
              <w:rPr>
                <w:b/>
              </w:rPr>
              <w:t>Precautionary statement</w:t>
            </w:r>
          </w:p>
        </w:tc>
        <w:tc>
          <w:tcPr>
            <w:tcW w:w="5811" w:type="dxa"/>
          </w:tcPr>
          <w:p w14:paraId="1759E230" w14:textId="77777777" w:rsidR="007D31CC" w:rsidRPr="0015743E" w:rsidRDefault="007D31CC" w:rsidP="00E76972">
            <w:pPr>
              <w:ind w:left="115"/>
              <w:rPr>
                <w:b/>
              </w:rPr>
            </w:pPr>
            <w:r w:rsidRPr="0015743E">
              <w:rPr>
                <w:b/>
              </w:rPr>
              <w:t>Conditions for use</w:t>
            </w:r>
          </w:p>
        </w:tc>
      </w:tr>
      <w:tr w:rsidR="007D31CC" w:rsidRPr="00C74B70" w14:paraId="4E922A15" w14:textId="77777777" w:rsidTr="00F8096F">
        <w:tc>
          <w:tcPr>
            <w:tcW w:w="851" w:type="dxa"/>
          </w:tcPr>
          <w:p w14:paraId="35F8B9CF" w14:textId="77777777" w:rsidR="007D31CC" w:rsidRPr="00E8712C" w:rsidRDefault="007D31CC" w:rsidP="00E76972">
            <w:pPr>
              <w:ind w:firstLine="111"/>
            </w:pPr>
            <w:r w:rsidRPr="00E8712C">
              <w:t>P2XX</w:t>
            </w:r>
          </w:p>
        </w:tc>
        <w:tc>
          <w:tcPr>
            <w:tcW w:w="2410" w:type="dxa"/>
          </w:tcPr>
          <w:p w14:paraId="21FD061B" w14:textId="77777777" w:rsidR="007D31CC" w:rsidRPr="00E8712C" w:rsidRDefault="007D31CC" w:rsidP="00E76972">
            <w:pPr>
              <w:ind w:left="110" w:firstLine="1"/>
            </w:pPr>
            <w:r w:rsidRPr="00E8712C">
              <w:t>Division … in transport configuration.</w:t>
            </w:r>
          </w:p>
        </w:tc>
        <w:tc>
          <w:tcPr>
            <w:tcW w:w="5811" w:type="dxa"/>
          </w:tcPr>
          <w:p w14:paraId="02DFED5D" w14:textId="77777777" w:rsidR="00E76972" w:rsidRPr="00E76972" w:rsidRDefault="00E76972" w:rsidP="00E76972">
            <w:pPr>
              <w:tabs>
                <w:tab w:val="left" w:pos="256"/>
              </w:tabs>
              <w:spacing w:before="20" w:after="20"/>
              <w:ind w:left="115"/>
              <w:rPr>
                <w:i/>
              </w:rPr>
            </w:pPr>
            <w:r>
              <w:rPr>
                <w:i/>
              </w:rPr>
              <w:t xml:space="preserve">- </w:t>
            </w:r>
            <w:r w:rsidR="007D31CC" w:rsidRPr="00E8712C">
              <w:rPr>
                <w:i/>
              </w:rPr>
              <w:t>may be omitted if the explosive may become part of different transport configurations with different transport divisions</w:t>
            </w:r>
          </w:p>
          <w:p w14:paraId="63A1BB0F" w14:textId="77777777" w:rsidR="007D31CC" w:rsidRPr="00E8712C" w:rsidRDefault="007D31CC" w:rsidP="00E76972">
            <w:pPr>
              <w:tabs>
                <w:tab w:val="left" w:pos="256"/>
              </w:tabs>
              <w:ind w:left="115"/>
            </w:pPr>
            <w:r w:rsidRPr="00E8712C">
              <w:t>…Manufacturer/supplier or the competent authority to specify the transport division.</w:t>
            </w:r>
          </w:p>
        </w:tc>
      </w:tr>
      <w:tr w:rsidR="007D31CC" w:rsidRPr="00C74B70" w14:paraId="43FA1E99" w14:textId="77777777" w:rsidTr="00F8096F">
        <w:tc>
          <w:tcPr>
            <w:tcW w:w="851" w:type="dxa"/>
          </w:tcPr>
          <w:p w14:paraId="58654D3B" w14:textId="77777777" w:rsidR="007D31CC" w:rsidRPr="00E8712C" w:rsidRDefault="007D31CC" w:rsidP="00E76972">
            <w:pPr>
              <w:ind w:firstLine="111"/>
            </w:pPr>
            <w:r w:rsidRPr="00E8712C">
              <w:t>P2YY</w:t>
            </w:r>
          </w:p>
        </w:tc>
        <w:tc>
          <w:tcPr>
            <w:tcW w:w="2410" w:type="dxa"/>
          </w:tcPr>
          <w:p w14:paraId="4150B5F6" w14:textId="77777777" w:rsidR="007D31CC" w:rsidRPr="00E8712C" w:rsidRDefault="007D31CC" w:rsidP="00E76972">
            <w:pPr>
              <w:ind w:left="110" w:firstLine="1"/>
            </w:pPr>
            <w:r w:rsidRPr="00E8712C">
              <w:t>Division … [or …] in transport configuration.</w:t>
            </w:r>
          </w:p>
        </w:tc>
        <w:tc>
          <w:tcPr>
            <w:tcW w:w="5811" w:type="dxa"/>
          </w:tcPr>
          <w:p w14:paraId="50617CED" w14:textId="77777777" w:rsidR="007D31CC" w:rsidRPr="00E8712C" w:rsidRDefault="00E76972" w:rsidP="00E76972">
            <w:pPr>
              <w:tabs>
                <w:tab w:val="left" w:pos="256"/>
              </w:tabs>
              <w:spacing w:before="20" w:after="20"/>
              <w:ind w:left="115"/>
              <w:rPr>
                <w:i/>
              </w:rPr>
            </w:pPr>
            <w:r>
              <w:rPr>
                <w:i/>
              </w:rPr>
              <w:t xml:space="preserve">- </w:t>
            </w:r>
            <w:r w:rsidR="007D31CC" w:rsidRPr="00E8712C">
              <w:rPr>
                <w:i/>
              </w:rPr>
              <w:t>text in square brackets to be included where different transport divisions may result depending on the transport configuration</w:t>
            </w:r>
          </w:p>
          <w:p w14:paraId="470272C7" w14:textId="77777777" w:rsidR="007D31CC" w:rsidRPr="00E8712C" w:rsidRDefault="007D31CC" w:rsidP="00E76972">
            <w:pPr>
              <w:tabs>
                <w:tab w:val="left" w:pos="256"/>
              </w:tabs>
              <w:ind w:left="115"/>
            </w:pPr>
            <w:r w:rsidRPr="00E8712C">
              <w:t>…Manufacturer/supplier or the competent authority to specify the transport division(s).</w:t>
            </w:r>
          </w:p>
        </w:tc>
      </w:tr>
    </w:tbl>
    <w:p w14:paraId="6D74B968" w14:textId="77777777" w:rsidR="007D31CC" w:rsidRPr="00C74B70" w:rsidRDefault="00E76972" w:rsidP="00E76972">
      <w:pPr>
        <w:ind w:left="567"/>
      </w:pPr>
      <w:r>
        <w:br/>
      </w:r>
      <w:r w:rsidR="00D21A45">
        <w:t>PXX and PYY</w:t>
      </w:r>
      <w:r w:rsidR="00E8712C">
        <w:t xml:space="preserve"> could </w:t>
      </w:r>
      <w:r>
        <w:t xml:space="preserve">form a combination statement </w:t>
      </w:r>
      <w:r w:rsidR="00E8712C">
        <w:t xml:space="preserve">with </w:t>
      </w:r>
      <w:r>
        <w:t xml:space="preserve">the existing </w:t>
      </w:r>
      <w:r w:rsidR="00E8712C">
        <w:t>P234 - “Keep only in original packaging”</w:t>
      </w:r>
      <w:r w:rsidR="006637FC">
        <w:t xml:space="preserve"> </w:t>
      </w:r>
      <w:r w:rsidR="00F8096F">
        <w:t>(</w:t>
      </w:r>
      <w:r>
        <w:t>i.e. P234+PXX or P234+PYY, respectively</w:t>
      </w:r>
      <w:r w:rsidR="00F8096F">
        <w:t>)</w:t>
      </w:r>
      <w:r>
        <w:t>. A</w:t>
      </w:r>
      <w:r w:rsidR="00F606B4">
        <w:t>nother option is to form a</w:t>
      </w:r>
      <w:r>
        <w:t xml:space="preserve"> new statement P2ZZ “</w:t>
      </w:r>
      <w:r w:rsidR="00F8096F">
        <w:t xml:space="preserve">Keep only in original packaging. </w:t>
      </w:r>
      <w:r w:rsidRPr="00E8712C">
        <w:t>Division … [o</w:t>
      </w:r>
      <w:r>
        <w:t>r …] in transport configuration.”.</w:t>
      </w:r>
      <w:r w:rsidR="007D31CC" w:rsidRPr="00C74B70">
        <w:br/>
      </w:r>
    </w:p>
    <w:p w14:paraId="31F9C537" w14:textId="77777777" w:rsidR="007D31CC" w:rsidRDefault="007D31CC" w:rsidP="007D31CC">
      <w:r w:rsidRPr="00F606B4">
        <w:rPr>
          <w:b/>
        </w:rPr>
        <w:t>4.</w:t>
      </w:r>
      <w:r w:rsidRPr="00C74B70">
        <w:t xml:space="preserve"> </w:t>
      </w:r>
      <w:r w:rsidR="00E8712C">
        <w:t xml:space="preserve">Any other issues </w:t>
      </w:r>
      <w:r w:rsidR="00CB416E">
        <w:t>regarding</w:t>
      </w:r>
      <w:r>
        <w:t xml:space="preserve"> the draft chapter</w:t>
      </w:r>
    </w:p>
    <w:p w14:paraId="560FA153" w14:textId="77777777" w:rsidR="007D31CC" w:rsidRDefault="007D31CC" w:rsidP="007D31CC">
      <w:pPr>
        <w:suppressAutoHyphens w:val="0"/>
        <w:spacing w:line="240" w:lineRule="auto"/>
      </w:pPr>
    </w:p>
    <w:p w14:paraId="30ACDEE5" w14:textId="77777777" w:rsidR="005023AF" w:rsidRPr="007D31CC" w:rsidRDefault="005023AF" w:rsidP="005023AF">
      <w:pPr>
        <w:suppressAutoHyphens w:val="0"/>
        <w:spacing w:line="240" w:lineRule="auto"/>
        <w:rPr>
          <w:rFonts w:eastAsia="Garamond"/>
          <w:u w:val="single"/>
        </w:rPr>
      </w:pPr>
      <w:r w:rsidRPr="005023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9ACEA" wp14:editId="254B6B0B">
                <wp:simplePos x="0" y="0"/>
                <wp:positionH relativeFrom="column">
                  <wp:posOffset>2622484</wp:posOffset>
                </wp:positionH>
                <wp:positionV relativeFrom="page">
                  <wp:posOffset>9436231</wp:posOffset>
                </wp:positionV>
                <wp:extent cx="1365250" cy="25273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210C" w14:textId="77777777" w:rsidR="005023AF" w:rsidRDefault="005023AF" w:rsidP="005023AF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5pt;margin-top:743pt;width:107.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MnKAIAAEUEAAAOAAAAZHJzL2Uyb0RvYy54bWysU11v2yAUfZ+0/4B4X5y4SdNacaouXaZJ&#10;3YfU7gdgjG004DIgsbNf3wtOsyx7m+YHxPWFw7nn3Lu6G7Qie+G8BFPS2WRKiTAcamnakn5/3r67&#10;ocQHZmqmwIiSHoSnd+u3b1a9LUQOHahaOIIgxhe9LWkXgi2yzPNOaOYnYIXBZANOs4Cha7PasR7R&#10;tcry6fQ668HV1gEX3uPfhzFJ1wm/aQQPX5vGi0BUSZFbSKtLaxXXbL1iReuY7SQ/0mD/wEIzafDR&#10;E9QDC4zsnPwLSkvuwEMTJhx0Bk0juUg1YDWz6UU1Tx2zItWC4nh7ksn/P1j+Zf/NEVmXNJ8tKTFM&#10;o0nPYgjkPQwkj/r01hd47MniwTDgb/Q51ertI/AfnhjYdMy04t456DvBauQ3izezs6sjjo8gVf8Z&#10;anyG7QIkoKFxOoqHchBER58OJ28iFR6fvLpe5AtMcczli3x5lczLWPF62zofPgrQJG5K6tD7hM72&#10;jz5ENqx4PRIf86BkvZVKpcC11UY5smfYJ9v0pQIujilD+pLeIpFRgD8gYsuKE0jVjhJcIGgZsN+V&#10;1CW9mcZv7MCo2gdTp24MTKpxj4yVOcoYlRs1DEM1HG2poD6goA7GvsY5xE0H7hclPfZ0Sf3PHXOC&#10;EvXJoCm3s/k8DkEK5otljoE7z1TnGWY4QpU0UDJuNyENTtLL3qN5W5l0jS6PTI5csVeT3Me5isNw&#10;HqdTv6d//QIAAP//AwBQSwMEFAAGAAgAAAAhAFiXRQbgAAAADQEAAA8AAABkcnMvZG93bnJldi54&#10;bWxMT8tOwzAQvCPxD9YicaNOQxtFaZwKkODAoVUDolcn3jyEH1HspOHvWU7lNrMzmp3J94vRbMbR&#10;984KWK8iYGhrp3rbCvj8eH1IgfkgrZLaWRTwgx72xe1NLjPlLvaEcxlaRiHWZ1JAF8KQce7rDo30&#10;KzegJa1xo5GB6NhyNcoLhRvN4yhKuJG9pQ+dHPClw/q7nIyAt2deHU7lsWrOjZ7f9ZeZDkcjxP3d&#10;8rQDFnAJVzP81afqUFCnyk1WeaYFbNaPtCWQsEkTQmRJ4pRARadtvE2BFzn/v6L4BQAA//8DAFBL&#10;AQItABQABgAIAAAAIQC2gziS/gAAAOEBAAATAAAAAAAAAAAAAAAAAAAAAABbQ29udGVudF9UeXBl&#10;c10ueG1sUEsBAi0AFAAGAAgAAAAhADj9If/WAAAAlAEAAAsAAAAAAAAAAAAAAAAALwEAAF9yZWxz&#10;Ly5yZWxzUEsBAi0AFAAGAAgAAAAhAPREEycoAgAARQQAAA4AAAAAAAAAAAAAAAAALgIAAGRycy9l&#10;Mm9Eb2MueG1sUEsBAi0AFAAGAAgAAAAhAFiXRQbgAAAADQEAAA8AAAAAAAAAAAAAAAAAggQAAGRy&#10;cy9kb3ducmV2LnhtbFBLBQYAAAAABAAEAPMAAACPBQAAAAA=&#10;" strokecolor="white [3212]">
                <v:textbox style="mso-fit-shape-to-text:t">
                  <w:txbxContent>
                    <w:p w:rsidR="005023AF" w:rsidRDefault="005023AF" w:rsidP="005023AF">
                      <w:r>
                        <w:t>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31CC" w:rsidRPr="00F606B4">
        <w:rPr>
          <w:b/>
        </w:rPr>
        <w:t>5.</w:t>
      </w:r>
      <w:r w:rsidR="007D31CC">
        <w:t xml:space="preserve"> </w:t>
      </w:r>
      <w:r w:rsidR="0091042C">
        <w:t>The way forward</w:t>
      </w:r>
    </w:p>
    <w:sectPr w:rsidR="005023AF" w:rsidRPr="007D31CC" w:rsidSect="007D3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BFA9" w14:textId="77777777" w:rsidR="00A526F1" w:rsidRDefault="00A526F1"/>
  </w:endnote>
  <w:endnote w:type="continuationSeparator" w:id="0">
    <w:p w14:paraId="1FBB8B4C" w14:textId="77777777" w:rsidR="00A526F1" w:rsidRDefault="00A526F1"/>
  </w:endnote>
  <w:endnote w:type="continuationNotice" w:id="1">
    <w:p w14:paraId="1C6CCC68" w14:textId="77777777" w:rsidR="00A526F1" w:rsidRDefault="00A52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3866" w14:textId="77777777" w:rsidR="002451FB" w:rsidRPr="000216CC" w:rsidRDefault="002451FB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BE4400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A37A" w14:textId="77777777" w:rsidR="002451FB" w:rsidRPr="000216CC" w:rsidRDefault="002451FB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F8096F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5E94" w14:textId="77777777" w:rsidR="002451FB" w:rsidRDefault="002451FB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5132" w14:textId="77777777" w:rsidR="00A526F1" w:rsidRPr="000B175B" w:rsidRDefault="00A526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8E2AAA" w14:textId="77777777" w:rsidR="00A526F1" w:rsidRPr="00FC68B7" w:rsidRDefault="00A526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D027A4" w14:textId="77777777" w:rsidR="00A526F1" w:rsidRDefault="00A52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51F6" w14:textId="77777777" w:rsidR="002451FB" w:rsidRPr="001E5919" w:rsidRDefault="00685EFF" w:rsidP="001E5919">
    <w:pPr>
      <w:pStyle w:val="Header"/>
      <w:rPr>
        <w:lang w:val="fr-FR"/>
      </w:rPr>
    </w:pPr>
    <w:r>
      <w:rPr>
        <w:lang w:val="fr-FR"/>
      </w:rPr>
      <w:t>UN/SCEGHS/38</w:t>
    </w:r>
    <w:r w:rsidR="002451FB">
      <w:rPr>
        <w:lang w:val="fr-FR"/>
      </w:rPr>
      <w:t>/INF.</w:t>
    </w:r>
    <w:r w:rsidR="005023AF">
      <w:rPr>
        <w:lang w:val="fr-FR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E654" w14:textId="77777777" w:rsidR="002451FB" w:rsidRPr="001E5919" w:rsidRDefault="00685EFF" w:rsidP="001E5919">
    <w:pPr>
      <w:pStyle w:val="Header"/>
      <w:jc w:val="right"/>
      <w:rPr>
        <w:lang w:val="fr-FR"/>
      </w:rPr>
    </w:pPr>
    <w:r>
      <w:rPr>
        <w:lang w:val="fr-FR"/>
      </w:rPr>
      <w:t>UN/SCETDG/56</w:t>
    </w:r>
    <w:r w:rsidR="002451FB">
      <w:rPr>
        <w:lang w:val="fr-FR"/>
      </w:rPr>
      <w:t>/INF.</w:t>
    </w:r>
    <w:r>
      <w:rPr>
        <w:lang w:val="fr-FR"/>
      </w:rPr>
      <w:t>XX</w:t>
    </w:r>
    <w:r w:rsidR="002451FB">
      <w:rPr>
        <w:lang w:val="fr-FR"/>
      </w:rPr>
      <w:br/>
    </w:r>
    <w:r>
      <w:rPr>
        <w:lang w:val="fr-FR"/>
      </w:rPr>
      <w:t>UN/SCEGHS/38</w:t>
    </w:r>
    <w:r w:rsidR="002451FB">
      <w:rPr>
        <w:lang w:val="fr-FR"/>
      </w:rPr>
      <w:t>/INF.</w:t>
    </w:r>
    <w:r>
      <w:rPr>
        <w:lang w:val="fr-FR"/>
      </w:rPr>
      <w:t>YY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2328" w14:textId="77777777" w:rsidR="002451FB" w:rsidRPr="00542C8D" w:rsidRDefault="002451FB" w:rsidP="00542C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415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4F43590"/>
    <w:multiLevelType w:val="hybridMultilevel"/>
    <w:tmpl w:val="09EAC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DD5E88"/>
    <w:multiLevelType w:val="hybridMultilevel"/>
    <w:tmpl w:val="F9468540"/>
    <w:lvl w:ilvl="0" w:tplc="13CCC7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0124B"/>
    <w:multiLevelType w:val="hybridMultilevel"/>
    <w:tmpl w:val="CBEA5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49125F4"/>
    <w:multiLevelType w:val="hybridMultilevel"/>
    <w:tmpl w:val="165AF2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355F7"/>
    <w:multiLevelType w:val="hybridMultilevel"/>
    <w:tmpl w:val="466897E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9E93DB1"/>
    <w:multiLevelType w:val="hybridMultilevel"/>
    <w:tmpl w:val="C84468EC"/>
    <w:lvl w:ilvl="0" w:tplc="B8588518">
      <w:start w:val="1"/>
      <w:numFmt w:val="lowerLetter"/>
      <w:lvlText w:val="%1)"/>
      <w:lvlJc w:val="left"/>
      <w:pPr>
        <w:ind w:left="775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215" w:hanging="180"/>
      </w:pPr>
    </w:lvl>
    <w:lvl w:ilvl="3" w:tplc="041D000F" w:tentative="1">
      <w:start w:val="1"/>
      <w:numFmt w:val="decimal"/>
      <w:lvlText w:val="%4."/>
      <w:lvlJc w:val="left"/>
      <w:pPr>
        <w:ind w:left="2935" w:hanging="360"/>
      </w:pPr>
    </w:lvl>
    <w:lvl w:ilvl="4" w:tplc="041D0019" w:tentative="1">
      <w:start w:val="1"/>
      <w:numFmt w:val="lowerLetter"/>
      <w:lvlText w:val="%5."/>
      <w:lvlJc w:val="left"/>
      <w:pPr>
        <w:ind w:left="3655" w:hanging="360"/>
      </w:pPr>
    </w:lvl>
    <w:lvl w:ilvl="5" w:tplc="041D001B" w:tentative="1">
      <w:start w:val="1"/>
      <w:numFmt w:val="lowerRoman"/>
      <w:lvlText w:val="%6."/>
      <w:lvlJc w:val="right"/>
      <w:pPr>
        <w:ind w:left="4375" w:hanging="180"/>
      </w:pPr>
    </w:lvl>
    <w:lvl w:ilvl="6" w:tplc="041D000F" w:tentative="1">
      <w:start w:val="1"/>
      <w:numFmt w:val="decimal"/>
      <w:lvlText w:val="%7."/>
      <w:lvlJc w:val="left"/>
      <w:pPr>
        <w:ind w:left="5095" w:hanging="360"/>
      </w:pPr>
    </w:lvl>
    <w:lvl w:ilvl="7" w:tplc="041D0019" w:tentative="1">
      <w:start w:val="1"/>
      <w:numFmt w:val="lowerLetter"/>
      <w:lvlText w:val="%8."/>
      <w:lvlJc w:val="left"/>
      <w:pPr>
        <w:ind w:left="5815" w:hanging="360"/>
      </w:pPr>
    </w:lvl>
    <w:lvl w:ilvl="8" w:tplc="041D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1B8320F5"/>
    <w:multiLevelType w:val="hybridMultilevel"/>
    <w:tmpl w:val="165AF21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37988"/>
    <w:multiLevelType w:val="hybridMultilevel"/>
    <w:tmpl w:val="6C14A746"/>
    <w:lvl w:ilvl="0" w:tplc="EA7C2B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B938F0"/>
    <w:multiLevelType w:val="hybridMultilevel"/>
    <w:tmpl w:val="09EAC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15929"/>
    <w:multiLevelType w:val="hybridMultilevel"/>
    <w:tmpl w:val="5DBA275E"/>
    <w:lvl w:ilvl="0" w:tplc="600C31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2B9A6288"/>
    <w:multiLevelType w:val="hybridMultilevel"/>
    <w:tmpl w:val="85DA7008"/>
    <w:lvl w:ilvl="0" w:tplc="510E1498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CF14259"/>
    <w:multiLevelType w:val="hybridMultilevel"/>
    <w:tmpl w:val="75EE8C66"/>
    <w:lvl w:ilvl="0" w:tplc="1BE8D614">
      <w:start w:val="1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3F09AE"/>
    <w:multiLevelType w:val="hybridMultilevel"/>
    <w:tmpl w:val="10F86E76"/>
    <w:lvl w:ilvl="0" w:tplc="D758D3BA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386548B4"/>
    <w:multiLevelType w:val="hybridMultilevel"/>
    <w:tmpl w:val="904E6EDA"/>
    <w:lvl w:ilvl="0" w:tplc="162A955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A6D6CAF8">
      <w:start w:val="1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114740"/>
    <w:multiLevelType w:val="hybridMultilevel"/>
    <w:tmpl w:val="180A7554"/>
    <w:lvl w:ilvl="0" w:tplc="E132DF2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4A45AA8"/>
    <w:multiLevelType w:val="hybridMultilevel"/>
    <w:tmpl w:val="729A026E"/>
    <w:lvl w:ilvl="0" w:tplc="6A9EA27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6827464"/>
    <w:multiLevelType w:val="hybridMultilevel"/>
    <w:tmpl w:val="E236B7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17526"/>
    <w:multiLevelType w:val="hybridMultilevel"/>
    <w:tmpl w:val="23689C8E"/>
    <w:lvl w:ilvl="0" w:tplc="3A2AE33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E163BED"/>
    <w:multiLevelType w:val="hybridMultilevel"/>
    <w:tmpl w:val="FF169C28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A6D6CAF8">
      <w:start w:val="1"/>
      <w:numFmt w:val="bullet"/>
      <w:lvlText w:val="-"/>
      <w:lvlJc w:val="left"/>
      <w:pPr>
        <w:ind w:left="2880" w:hanging="180"/>
      </w:pPr>
      <w:rPr>
        <w:rFonts w:ascii="Calibri" w:eastAsia="Calibri" w:hAnsi="Calibri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8C6FDD"/>
    <w:multiLevelType w:val="hybridMultilevel"/>
    <w:tmpl w:val="9FE0FA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6DED"/>
    <w:multiLevelType w:val="hybridMultilevel"/>
    <w:tmpl w:val="A2E80CEC"/>
    <w:lvl w:ilvl="0" w:tplc="041D0017">
      <w:start w:val="1"/>
      <w:numFmt w:val="lowerLetter"/>
      <w:lvlText w:val="%1)"/>
      <w:lvlJc w:val="left"/>
      <w:pPr>
        <w:ind w:left="2027" w:hanging="360"/>
      </w:pPr>
    </w:lvl>
    <w:lvl w:ilvl="1" w:tplc="37949FC0">
      <w:start w:val="1"/>
      <w:numFmt w:val="lowerLetter"/>
      <w:lvlText w:val="%2)"/>
      <w:lvlJc w:val="left"/>
      <w:pPr>
        <w:ind w:left="2747" w:hanging="360"/>
      </w:pPr>
      <w:rPr>
        <w:color w:val="auto"/>
      </w:rPr>
    </w:lvl>
    <w:lvl w:ilvl="2" w:tplc="510E1498">
      <w:start w:val="1"/>
      <w:numFmt w:val="lowerRoman"/>
      <w:lvlText w:val="(%3)"/>
      <w:lvlJc w:val="right"/>
      <w:pPr>
        <w:ind w:left="3467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2553055"/>
    <w:multiLevelType w:val="hybridMultilevel"/>
    <w:tmpl w:val="10B4218C"/>
    <w:lvl w:ilvl="0" w:tplc="B9BCD83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639F1AD4"/>
    <w:multiLevelType w:val="hybridMultilevel"/>
    <w:tmpl w:val="9FE0FA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029A0"/>
    <w:multiLevelType w:val="hybridMultilevel"/>
    <w:tmpl w:val="3A461F08"/>
    <w:lvl w:ilvl="0" w:tplc="510E1498">
      <w:start w:val="1"/>
      <w:numFmt w:val="lowerRoman"/>
      <w:lvlText w:val="(%1)"/>
      <w:lvlJc w:val="righ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55121B6"/>
    <w:multiLevelType w:val="hybridMultilevel"/>
    <w:tmpl w:val="F0F8F9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510E1498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510E1498">
      <w:start w:val="1"/>
      <w:numFmt w:val="lowerRoman"/>
      <w:lvlText w:val="(%3)"/>
      <w:lvlJc w:val="right"/>
      <w:pPr>
        <w:ind w:left="2880" w:hanging="18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04C44"/>
    <w:multiLevelType w:val="hybridMultilevel"/>
    <w:tmpl w:val="28DCC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558" w:hanging="360"/>
      </w:pPr>
    </w:lvl>
    <w:lvl w:ilvl="2" w:tplc="0809001B">
      <w:start w:val="1"/>
      <w:numFmt w:val="lowerRoman"/>
      <w:lvlText w:val="%3."/>
      <w:lvlJc w:val="right"/>
      <w:pPr>
        <w:ind w:left="1278" w:hanging="180"/>
      </w:pPr>
    </w:lvl>
    <w:lvl w:ilvl="3" w:tplc="0809000F" w:tentative="1">
      <w:start w:val="1"/>
      <w:numFmt w:val="decimal"/>
      <w:lvlText w:val="%4."/>
      <w:lvlJc w:val="left"/>
      <w:pPr>
        <w:ind w:left="1998" w:hanging="360"/>
      </w:pPr>
    </w:lvl>
    <w:lvl w:ilvl="4" w:tplc="08090019" w:tentative="1">
      <w:start w:val="1"/>
      <w:numFmt w:val="lowerLetter"/>
      <w:lvlText w:val="%5."/>
      <w:lvlJc w:val="left"/>
      <w:pPr>
        <w:ind w:left="2718" w:hanging="360"/>
      </w:pPr>
    </w:lvl>
    <w:lvl w:ilvl="5" w:tplc="0809001B" w:tentative="1">
      <w:start w:val="1"/>
      <w:numFmt w:val="lowerRoman"/>
      <w:lvlText w:val="%6."/>
      <w:lvlJc w:val="right"/>
      <w:pPr>
        <w:ind w:left="3438" w:hanging="180"/>
      </w:pPr>
    </w:lvl>
    <w:lvl w:ilvl="6" w:tplc="0809000F" w:tentative="1">
      <w:start w:val="1"/>
      <w:numFmt w:val="decimal"/>
      <w:lvlText w:val="%7."/>
      <w:lvlJc w:val="left"/>
      <w:pPr>
        <w:ind w:left="4158" w:hanging="360"/>
      </w:pPr>
    </w:lvl>
    <w:lvl w:ilvl="7" w:tplc="08090019" w:tentative="1">
      <w:start w:val="1"/>
      <w:numFmt w:val="lowerLetter"/>
      <w:lvlText w:val="%8."/>
      <w:lvlJc w:val="left"/>
      <w:pPr>
        <w:ind w:left="4878" w:hanging="360"/>
      </w:pPr>
    </w:lvl>
    <w:lvl w:ilvl="8" w:tplc="080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41" w15:restartNumberingAfterBreak="0">
    <w:nsid w:val="6EFF76CB"/>
    <w:multiLevelType w:val="hybridMultilevel"/>
    <w:tmpl w:val="47109A84"/>
    <w:lvl w:ilvl="0" w:tplc="5784D936">
      <w:start w:val="1"/>
      <w:numFmt w:val="lowerLetter"/>
      <w:lvlText w:val="%1)"/>
      <w:lvlJc w:val="left"/>
      <w:pPr>
        <w:ind w:left="775" w:hanging="360"/>
      </w:pPr>
      <w:rPr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95" w:hanging="360"/>
      </w:pPr>
    </w:lvl>
    <w:lvl w:ilvl="2" w:tplc="041D001B" w:tentative="1">
      <w:start w:val="1"/>
      <w:numFmt w:val="lowerRoman"/>
      <w:lvlText w:val="%3."/>
      <w:lvlJc w:val="right"/>
      <w:pPr>
        <w:ind w:left="2215" w:hanging="180"/>
      </w:pPr>
    </w:lvl>
    <w:lvl w:ilvl="3" w:tplc="041D000F" w:tentative="1">
      <w:start w:val="1"/>
      <w:numFmt w:val="decimal"/>
      <w:lvlText w:val="%4."/>
      <w:lvlJc w:val="left"/>
      <w:pPr>
        <w:ind w:left="2935" w:hanging="360"/>
      </w:pPr>
    </w:lvl>
    <w:lvl w:ilvl="4" w:tplc="041D0019" w:tentative="1">
      <w:start w:val="1"/>
      <w:numFmt w:val="lowerLetter"/>
      <w:lvlText w:val="%5."/>
      <w:lvlJc w:val="left"/>
      <w:pPr>
        <w:ind w:left="3655" w:hanging="360"/>
      </w:pPr>
    </w:lvl>
    <w:lvl w:ilvl="5" w:tplc="041D001B" w:tentative="1">
      <w:start w:val="1"/>
      <w:numFmt w:val="lowerRoman"/>
      <w:lvlText w:val="%6."/>
      <w:lvlJc w:val="right"/>
      <w:pPr>
        <w:ind w:left="4375" w:hanging="180"/>
      </w:pPr>
    </w:lvl>
    <w:lvl w:ilvl="6" w:tplc="041D000F" w:tentative="1">
      <w:start w:val="1"/>
      <w:numFmt w:val="decimal"/>
      <w:lvlText w:val="%7."/>
      <w:lvlJc w:val="left"/>
      <w:pPr>
        <w:ind w:left="5095" w:hanging="360"/>
      </w:pPr>
    </w:lvl>
    <w:lvl w:ilvl="7" w:tplc="041D0019" w:tentative="1">
      <w:start w:val="1"/>
      <w:numFmt w:val="lowerLetter"/>
      <w:lvlText w:val="%8."/>
      <w:lvlJc w:val="left"/>
      <w:pPr>
        <w:ind w:left="5815" w:hanging="360"/>
      </w:pPr>
    </w:lvl>
    <w:lvl w:ilvl="8" w:tplc="041D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71D66456"/>
    <w:multiLevelType w:val="hybridMultilevel"/>
    <w:tmpl w:val="F390A090"/>
    <w:lvl w:ilvl="0" w:tplc="3C1EB666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3246DB0"/>
    <w:multiLevelType w:val="hybridMultilevel"/>
    <w:tmpl w:val="778A8AA2"/>
    <w:lvl w:ilvl="0" w:tplc="041D0017">
      <w:start w:val="1"/>
      <w:numFmt w:val="lowerLetter"/>
      <w:lvlText w:val="%1)"/>
      <w:lvlJc w:val="left"/>
      <w:pPr>
        <w:ind w:left="2027" w:hanging="360"/>
      </w:pPr>
    </w:lvl>
    <w:lvl w:ilvl="1" w:tplc="CDD4C4B8">
      <w:start w:val="1"/>
      <w:numFmt w:val="lowerLetter"/>
      <w:lvlText w:val="(%2)"/>
      <w:lvlJc w:val="left"/>
      <w:pPr>
        <w:ind w:left="2747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C2F3F"/>
    <w:multiLevelType w:val="hybridMultilevel"/>
    <w:tmpl w:val="E236B75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31636"/>
    <w:multiLevelType w:val="hybridMultilevel"/>
    <w:tmpl w:val="50DC5C6A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510E1498">
      <w:start w:val="1"/>
      <w:numFmt w:val="lowerRoman"/>
      <w:lvlText w:val="(%2)"/>
      <w:lvlJc w:val="righ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7"/>
  </w:num>
  <w:num w:numId="13">
    <w:abstractNumId w:val="12"/>
  </w:num>
  <w:num w:numId="14">
    <w:abstractNumId w:val="39"/>
  </w:num>
  <w:num w:numId="15">
    <w:abstractNumId w:val="44"/>
  </w:num>
  <w:num w:numId="16">
    <w:abstractNumId w:val="28"/>
  </w:num>
  <w:num w:numId="17">
    <w:abstractNumId w:val="24"/>
  </w:num>
  <w:num w:numId="18">
    <w:abstractNumId w:val="10"/>
  </w:num>
  <w:num w:numId="19">
    <w:abstractNumId w:val="27"/>
  </w:num>
  <w:num w:numId="20">
    <w:abstractNumId w:val="35"/>
  </w:num>
  <w:num w:numId="21">
    <w:abstractNumId w:val="42"/>
  </w:num>
  <w:num w:numId="22">
    <w:abstractNumId w:val="22"/>
  </w:num>
  <w:num w:numId="23">
    <w:abstractNumId w:val="25"/>
  </w:num>
  <w:num w:numId="24">
    <w:abstractNumId w:val="30"/>
  </w:num>
  <w:num w:numId="25">
    <w:abstractNumId w:val="20"/>
  </w:num>
  <w:num w:numId="26">
    <w:abstractNumId w:val="14"/>
  </w:num>
  <w:num w:numId="27">
    <w:abstractNumId w:val="40"/>
  </w:num>
  <w:num w:numId="28">
    <w:abstractNumId w:val="46"/>
  </w:num>
  <w:num w:numId="29">
    <w:abstractNumId w:val="13"/>
  </w:num>
  <w:num w:numId="30">
    <w:abstractNumId w:val="31"/>
  </w:num>
  <w:num w:numId="31">
    <w:abstractNumId w:val="18"/>
  </w:num>
  <w:num w:numId="32">
    <w:abstractNumId w:val="23"/>
  </w:num>
  <w:num w:numId="33">
    <w:abstractNumId w:val="37"/>
  </w:num>
  <w:num w:numId="34">
    <w:abstractNumId w:val="33"/>
  </w:num>
  <w:num w:numId="35">
    <w:abstractNumId w:val="19"/>
  </w:num>
  <w:num w:numId="36">
    <w:abstractNumId w:val="32"/>
  </w:num>
  <w:num w:numId="37">
    <w:abstractNumId w:val="29"/>
  </w:num>
  <w:num w:numId="38">
    <w:abstractNumId w:val="11"/>
  </w:num>
  <w:num w:numId="39">
    <w:abstractNumId w:val="43"/>
  </w:num>
  <w:num w:numId="40">
    <w:abstractNumId w:val="26"/>
  </w:num>
  <w:num w:numId="41">
    <w:abstractNumId w:val="16"/>
  </w:num>
  <w:num w:numId="42">
    <w:abstractNumId w:val="38"/>
  </w:num>
  <w:num w:numId="43">
    <w:abstractNumId w:val="15"/>
  </w:num>
  <w:num w:numId="44">
    <w:abstractNumId w:val="36"/>
  </w:num>
  <w:num w:numId="45">
    <w:abstractNumId w:val="45"/>
  </w:num>
  <w:num w:numId="46">
    <w:abstractNumId w:val="41"/>
  </w:num>
  <w:num w:numId="4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07923"/>
    <w:rsid w:val="000133C5"/>
    <w:rsid w:val="00017D24"/>
    <w:rsid w:val="00020BDA"/>
    <w:rsid w:val="000216CC"/>
    <w:rsid w:val="00026B64"/>
    <w:rsid w:val="0003042A"/>
    <w:rsid w:val="00031437"/>
    <w:rsid w:val="0003375D"/>
    <w:rsid w:val="00040776"/>
    <w:rsid w:val="00043180"/>
    <w:rsid w:val="00044081"/>
    <w:rsid w:val="000441CC"/>
    <w:rsid w:val="00044E44"/>
    <w:rsid w:val="000504CE"/>
    <w:rsid w:val="00050922"/>
    <w:rsid w:val="00050F6B"/>
    <w:rsid w:val="0005258D"/>
    <w:rsid w:val="00053492"/>
    <w:rsid w:val="0005361A"/>
    <w:rsid w:val="0005710C"/>
    <w:rsid w:val="00063DAC"/>
    <w:rsid w:val="00064402"/>
    <w:rsid w:val="00067E6D"/>
    <w:rsid w:val="00072C8C"/>
    <w:rsid w:val="00073129"/>
    <w:rsid w:val="00073FC6"/>
    <w:rsid w:val="00075F99"/>
    <w:rsid w:val="00076A0A"/>
    <w:rsid w:val="00080273"/>
    <w:rsid w:val="00080B38"/>
    <w:rsid w:val="00082CE1"/>
    <w:rsid w:val="00083598"/>
    <w:rsid w:val="00084632"/>
    <w:rsid w:val="000863FA"/>
    <w:rsid w:val="00086918"/>
    <w:rsid w:val="00086FCB"/>
    <w:rsid w:val="00091046"/>
    <w:rsid w:val="00091419"/>
    <w:rsid w:val="00091CB3"/>
    <w:rsid w:val="000931C0"/>
    <w:rsid w:val="000939AE"/>
    <w:rsid w:val="000954A8"/>
    <w:rsid w:val="000A1FA7"/>
    <w:rsid w:val="000A1FD1"/>
    <w:rsid w:val="000A2236"/>
    <w:rsid w:val="000A35F2"/>
    <w:rsid w:val="000A3A48"/>
    <w:rsid w:val="000A4C38"/>
    <w:rsid w:val="000B175B"/>
    <w:rsid w:val="000B3A0F"/>
    <w:rsid w:val="000B4919"/>
    <w:rsid w:val="000B4D72"/>
    <w:rsid w:val="000B7AF2"/>
    <w:rsid w:val="000C1ED8"/>
    <w:rsid w:val="000C28CA"/>
    <w:rsid w:val="000C5D4B"/>
    <w:rsid w:val="000C6507"/>
    <w:rsid w:val="000C717F"/>
    <w:rsid w:val="000D0B8F"/>
    <w:rsid w:val="000D379B"/>
    <w:rsid w:val="000D481F"/>
    <w:rsid w:val="000D6D97"/>
    <w:rsid w:val="000D7830"/>
    <w:rsid w:val="000E0415"/>
    <w:rsid w:val="000E1285"/>
    <w:rsid w:val="000E58DB"/>
    <w:rsid w:val="000E5E99"/>
    <w:rsid w:val="000E7E74"/>
    <w:rsid w:val="000F1747"/>
    <w:rsid w:val="000F52D6"/>
    <w:rsid w:val="000F6A20"/>
    <w:rsid w:val="001018ED"/>
    <w:rsid w:val="001030E2"/>
    <w:rsid w:val="00103E90"/>
    <w:rsid w:val="0010461A"/>
    <w:rsid w:val="001054A3"/>
    <w:rsid w:val="001057AB"/>
    <w:rsid w:val="001058DD"/>
    <w:rsid w:val="00113F87"/>
    <w:rsid w:val="001149AA"/>
    <w:rsid w:val="00115303"/>
    <w:rsid w:val="00115FA4"/>
    <w:rsid w:val="00117787"/>
    <w:rsid w:val="00117D0D"/>
    <w:rsid w:val="00117D88"/>
    <w:rsid w:val="00117FD5"/>
    <w:rsid w:val="00120E7B"/>
    <w:rsid w:val="00121960"/>
    <w:rsid w:val="00121EB7"/>
    <w:rsid w:val="0012241F"/>
    <w:rsid w:val="00124B3F"/>
    <w:rsid w:val="00131B10"/>
    <w:rsid w:val="00131D42"/>
    <w:rsid w:val="00133C50"/>
    <w:rsid w:val="0013537A"/>
    <w:rsid w:val="00136721"/>
    <w:rsid w:val="00136F78"/>
    <w:rsid w:val="001377BD"/>
    <w:rsid w:val="001406F4"/>
    <w:rsid w:val="00142B16"/>
    <w:rsid w:val="001470D6"/>
    <w:rsid w:val="001501A4"/>
    <w:rsid w:val="00150B0B"/>
    <w:rsid w:val="0015178F"/>
    <w:rsid w:val="00153100"/>
    <w:rsid w:val="001617F5"/>
    <w:rsid w:val="001621AD"/>
    <w:rsid w:val="001633FB"/>
    <w:rsid w:val="00163A1B"/>
    <w:rsid w:val="00165735"/>
    <w:rsid w:val="00167786"/>
    <w:rsid w:val="0017011C"/>
    <w:rsid w:val="00181019"/>
    <w:rsid w:val="001835BF"/>
    <w:rsid w:val="00184B86"/>
    <w:rsid w:val="00192A12"/>
    <w:rsid w:val="00195084"/>
    <w:rsid w:val="0019637E"/>
    <w:rsid w:val="001A02A4"/>
    <w:rsid w:val="001A1CDC"/>
    <w:rsid w:val="001A3FC1"/>
    <w:rsid w:val="001A5DDE"/>
    <w:rsid w:val="001B0361"/>
    <w:rsid w:val="001B35EE"/>
    <w:rsid w:val="001B4B04"/>
    <w:rsid w:val="001B5846"/>
    <w:rsid w:val="001B6B72"/>
    <w:rsid w:val="001C08F5"/>
    <w:rsid w:val="001C429D"/>
    <w:rsid w:val="001C6663"/>
    <w:rsid w:val="001C7895"/>
    <w:rsid w:val="001D0B0A"/>
    <w:rsid w:val="001D25B8"/>
    <w:rsid w:val="001D26DF"/>
    <w:rsid w:val="001D2B40"/>
    <w:rsid w:val="001D2FDC"/>
    <w:rsid w:val="001D3123"/>
    <w:rsid w:val="001D3A88"/>
    <w:rsid w:val="001D4B2D"/>
    <w:rsid w:val="001D4E70"/>
    <w:rsid w:val="001D5B61"/>
    <w:rsid w:val="001D7926"/>
    <w:rsid w:val="001D7B26"/>
    <w:rsid w:val="001E020F"/>
    <w:rsid w:val="001E5919"/>
    <w:rsid w:val="001E66BE"/>
    <w:rsid w:val="001E797C"/>
    <w:rsid w:val="001F0374"/>
    <w:rsid w:val="00202788"/>
    <w:rsid w:val="0020301C"/>
    <w:rsid w:val="00211B12"/>
    <w:rsid w:val="00211E0B"/>
    <w:rsid w:val="0021481D"/>
    <w:rsid w:val="00221589"/>
    <w:rsid w:val="00221AC2"/>
    <w:rsid w:val="00223316"/>
    <w:rsid w:val="00223F20"/>
    <w:rsid w:val="00224CD9"/>
    <w:rsid w:val="002254D7"/>
    <w:rsid w:val="002277D8"/>
    <w:rsid w:val="002309A7"/>
    <w:rsid w:val="00233AA0"/>
    <w:rsid w:val="00234B1B"/>
    <w:rsid w:val="00235381"/>
    <w:rsid w:val="00237785"/>
    <w:rsid w:val="00241178"/>
    <w:rsid w:val="00241439"/>
    <w:rsid w:val="00241466"/>
    <w:rsid w:val="002440E7"/>
    <w:rsid w:val="002451FB"/>
    <w:rsid w:val="00245C88"/>
    <w:rsid w:val="00247570"/>
    <w:rsid w:val="002511B3"/>
    <w:rsid w:val="00253B88"/>
    <w:rsid w:val="00257C1E"/>
    <w:rsid w:val="00261B71"/>
    <w:rsid w:val="00262099"/>
    <w:rsid w:val="002621F5"/>
    <w:rsid w:val="00264A62"/>
    <w:rsid w:val="002708B5"/>
    <w:rsid w:val="00270A21"/>
    <w:rsid w:val="002725CA"/>
    <w:rsid w:val="00273A92"/>
    <w:rsid w:val="00276E3C"/>
    <w:rsid w:val="00277486"/>
    <w:rsid w:val="00277896"/>
    <w:rsid w:val="00280B7A"/>
    <w:rsid w:val="00280EB7"/>
    <w:rsid w:val="0028343B"/>
    <w:rsid w:val="002839CB"/>
    <w:rsid w:val="002976CF"/>
    <w:rsid w:val="002A0BD2"/>
    <w:rsid w:val="002A3510"/>
    <w:rsid w:val="002A5B17"/>
    <w:rsid w:val="002A76D3"/>
    <w:rsid w:val="002B067A"/>
    <w:rsid w:val="002B1514"/>
    <w:rsid w:val="002B1CDA"/>
    <w:rsid w:val="002B3254"/>
    <w:rsid w:val="002C2163"/>
    <w:rsid w:val="002C463C"/>
    <w:rsid w:val="002C7F25"/>
    <w:rsid w:val="002D3912"/>
    <w:rsid w:val="002D4DB6"/>
    <w:rsid w:val="002D5029"/>
    <w:rsid w:val="002D5A85"/>
    <w:rsid w:val="002D5C7D"/>
    <w:rsid w:val="002E0692"/>
    <w:rsid w:val="002E122E"/>
    <w:rsid w:val="002E35BB"/>
    <w:rsid w:val="002E3F53"/>
    <w:rsid w:val="002E4639"/>
    <w:rsid w:val="002E4D44"/>
    <w:rsid w:val="002E5CF2"/>
    <w:rsid w:val="002E60D6"/>
    <w:rsid w:val="002F1915"/>
    <w:rsid w:val="002F68FD"/>
    <w:rsid w:val="002F7332"/>
    <w:rsid w:val="003003A7"/>
    <w:rsid w:val="003004DA"/>
    <w:rsid w:val="00302A3D"/>
    <w:rsid w:val="00305A08"/>
    <w:rsid w:val="003107D0"/>
    <w:rsid w:val="003107FA"/>
    <w:rsid w:val="00310BC2"/>
    <w:rsid w:val="00314790"/>
    <w:rsid w:val="00315D73"/>
    <w:rsid w:val="00316FF9"/>
    <w:rsid w:val="00321716"/>
    <w:rsid w:val="003225F2"/>
    <w:rsid w:val="003229D8"/>
    <w:rsid w:val="0032549A"/>
    <w:rsid w:val="00325F1A"/>
    <w:rsid w:val="00327D0A"/>
    <w:rsid w:val="00327D87"/>
    <w:rsid w:val="00330EC0"/>
    <w:rsid w:val="00336D2F"/>
    <w:rsid w:val="00340BB2"/>
    <w:rsid w:val="0034314F"/>
    <w:rsid w:val="00347864"/>
    <w:rsid w:val="003517C3"/>
    <w:rsid w:val="00353524"/>
    <w:rsid w:val="00353B8E"/>
    <w:rsid w:val="00355502"/>
    <w:rsid w:val="0035575A"/>
    <w:rsid w:val="00356BC7"/>
    <w:rsid w:val="00357A20"/>
    <w:rsid w:val="003623D1"/>
    <w:rsid w:val="00363530"/>
    <w:rsid w:val="0036473C"/>
    <w:rsid w:val="0036535F"/>
    <w:rsid w:val="00372F06"/>
    <w:rsid w:val="00373D1B"/>
    <w:rsid w:val="0037419C"/>
    <w:rsid w:val="00382FAF"/>
    <w:rsid w:val="00390F0E"/>
    <w:rsid w:val="00391647"/>
    <w:rsid w:val="003923FB"/>
    <w:rsid w:val="0039277A"/>
    <w:rsid w:val="00393127"/>
    <w:rsid w:val="00396F6A"/>
    <w:rsid w:val="003972E0"/>
    <w:rsid w:val="003A1EC2"/>
    <w:rsid w:val="003A2972"/>
    <w:rsid w:val="003A2F10"/>
    <w:rsid w:val="003A52D7"/>
    <w:rsid w:val="003A59C7"/>
    <w:rsid w:val="003A5A16"/>
    <w:rsid w:val="003B3BB5"/>
    <w:rsid w:val="003B5B38"/>
    <w:rsid w:val="003C0657"/>
    <w:rsid w:val="003C18C9"/>
    <w:rsid w:val="003C2819"/>
    <w:rsid w:val="003C2CC4"/>
    <w:rsid w:val="003C45DF"/>
    <w:rsid w:val="003C655D"/>
    <w:rsid w:val="003D247A"/>
    <w:rsid w:val="003D24BC"/>
    <w:rsid w:val="003D4B23"/>
    <w:rsid w:val="003F23A4"/>
    <w:rsid w:val="003F5900"/>
    <w:rsid w:val="003F5B52"/>
    <w:rsid w:val="003F66F3"/>
    <w:rsid w:val="003F76AB"/>
    <w:rsid w:val="004030C5"/>
    <w:rsid w:val="00403EC6"/>
    <w:rsid w:val="004057CC"/>
    <w:rsid w:val="00406CD4"/>
    <w:rsid w:val="00415835"/>
    <w:rsid w:val="00415CA8"/>
    <w:rsid w:val="00430086"/>
    <w:rsid w:val="00430918"/>
    <w:rsid w:val="00430B4C"/>
    <w:rsid w:val="004325CB"/>
    <w:rsid w:val="00437F3F"/>
    <w:rsid w:val="00446DE4"/>
    <w:rsid w:val="00447440"/>
    <w:rsid w:val="00452D10"/>
    <w:rsid w:val="00454036"/>
    <w:rsid w:val="00454753"/>
    <w:rsid w:val="004562AA"/>
    <w:rsid w:val="00460B22"/>
    <w:rsid w:val="0046443A"/>
    <w:rsid w:val="004653B3"/>
    <w:rsid w:val="004654C4"/>
    <w:rsid w:val="0046668F"/>
    <w:rsid w:val="0046692D"/>
    <w:rsid w:val="0046773D"/>
    <w:rsid w:val="0046788D"/>
    <w:rsid w:val="0048028B"/>
    <w:rsid w:val="00480BD4"/>
    <w:rsid w:val="0048304D"/>
    <w:rsid w:val="00484A9B"/>
    <w:rsid w:val="00486DA4"/>
    <w:rsid w:val="00492AF9"/>
    <w:rsid w:val="0049304E"/>
    <w:rsid w:val="00494C77"/>
    <w:rsid w:val="00497711"/>
    <w:rsid w:val="004B2C9D"/>
    <w:rsid w:val="004B5939"/>
    <w:rsid w:val="004B692E"/>
    <w:rsid w:val="004B73D6"/>
    <w:rsid w:val="004C0B44"/>
    <w:rsid w:val="004C39D0"/>
    <w:rsid w:val="004C43DB"/>
    <w:rsid w:val="004C4F1A"/>
    <w:rsid w:val="004C6D6D"/>
    <w:rsid w:val="004C6DF4"/>
    <w:rsid w:val="004D0012"/>
    <w:rsid w:val="004D5FB6"/>
    <w:rsid w:val="004E0C5D"/>
    <w:rsid w:val="004E3603"/>
    <w:rsid w:val="004E5BF6"/>
    <w:rsid w:val="004F4240"/>
    <w:rsid w:val="004F52AA"/>
    <w:rsid w:val="004F5854"/>
    <w:rsid w:val="004F77CD"/>
    <w:rsid w:val="005023AF"/>
    <w:rsid w:val="005042BC"/>
    <w:rsid w:val="00507CF1"/>
    <w:rsid w:val="00512780"/>
    <w:rsid w:val="00514B61"/>
    <w:rsid w:val="00515057"/>
    <w:rsid w:val="0051579D"/>
    <w:rsid w:val="00515955"/>
    <w:rsid w:val="00522177"/>
    <w:rsid w:val="005223CB"/>
    <w:rsid w:val="00524D87"/>
    <w:rsid w:val="005258D4"/>
    <w:rsid w:val="00527910"/>
    <w:rsid w:val="00530360"/>
    <w:rsid w:val="00534655"/>
    <w:rsid w:val="0053653D"/>
    <w:rsid w:val="00536DFA"/>
    <w:rsid w:val="005371B2"/>
    <w:rsid w:val="0053772A"/>
    <w:rsid w:val="00541247"/>
    <w:rsid w:val="005420F2"/>
    <w:rsid w:val="00542505"/>
    <w:rsid w:val="00542C8D"/>
    <w:rsid w:val="00542ED8"/>
    <w:rsid w:val="005434EF"/>
    <w:rsid w:val="005475D4"/>
    <w:rsid w:val="00550CA7"/>
    <w:rsid w:val="00551DC2"/>
    <w:rsid w:val="00552179"/>
    <w:rsid w:val="00555CDB"/>
    <w:rsid w:val="00561B6D"/>
    <w:rsid w:val="00562D45"/>
    <w:rsid w:val="0056615B"/>
    <w:rsid w:val="00567DFB"/>
    <w:rsid w:val="00567F21"/>
    <w:rsid w:val="005704BE"/>
    <w:rsid w:val="00571DAA"/>
    <w:rsid w:val="0057273D"/>
    <w:rsid w:val="00572995"/>
    <w:rsid w:val="0057340B"/>
    <w:rsid w:val="005739EC"/>
    <w:rsid w:val="00576F7D"/>
    <w:rsid w:val="0058129D"/>
    <w:rsid w:val="00584F4D"/>
    <w:rsid w:val="00590144"/>
    <w:rsid w:val="0059682C"/>
    <w:rsid w:val="00597BED"/>
    <w:rsid w:val="005A2489"/>
    <w:rsid w:val="005A64DD"/>
    <w:rsid w:val="005A72B2"/>
    <w:rsid w:val="005B09F0"/>
    <w:rsid w:val="005B0CED"/>
    <w:rsid w:val="005B3DB3"/>
    <w:rsid w:val="005B4B57"/>
    <w:rsid w:val="005B528A"/>
    <w:rsid w:val="005B6EE1"/>
    <w:rsid w:val="005C3E89"/>
    <w:rsid w:val="005C4CB5"/>
    <w:rsid w:val="005C6B5A"/>
    <w:rsid w:val="005C7E15"/>
    <w:rsid w:val="005D0C6C"/>
    <w:rsid w:val="005D1BB4"/>
    <w:rsid w:val="005D2A6F"/>
    <w:rsid w:val="005D6607"/>
    <w:rsid w:val="005D68BD"/>
    <w:rsid w:val="005E3D28"/>
    <w:rsid w:val="005E3F00"/>
    <w:rsid w:val="005E53FE"/>
    <w:rsid w:val="005E5946"/>
    <w:rsid w:val="005E6758"/>
    <w:rsid w:val="005F3A39"/>
    <w:rsid w:val="005F4AC6"/>
    <w:rsid w:val="005F5C2F"/>
    <w:rsid w:val="005F7BB1"/>
    <w:rsid w:val="00602490"/>
    <w:rsid w:val="00603528"/>
    <w:rsid w:val="00603E3C"/>
    <w:rsid w:val="0061166C"/>
    <w:rsid w:val="00611FC4"/>
    <w:rsid w:val="00612812"/>
    <w:rsid w:val="006176FB"/>
    <w:rsid w:val="0062190D"/>
    <w:rsid w:val="00626B06"/>
    <w:rsid w:val="006279AC"/>
    <w:rsid w:val="00630558"/>
    <w:rsid w:val="00630C3F"/>
    <w:rsid w:val="00632200"/>
    <w:rsid w:val="00632969"/>
    <w:rsid w:val="006338F0"/>
    <w:rsid w:val="0063419C"/>
    <w:rsid w:val="00635381"/>
    <w:rsid w:val="00636986"/>
    <w:rsid w:val="00637542"/>
    <w:rsid w:val="00637558"/>
    <w:rsid w:val="00640B26"/>
    <w:rsid w:val="00641194"/>
    <w:rsid w:val="00645A0B"/>
    <w:rsid w:val="006471F6"/>
    <w:rsid w:val="006500BA"/>
    <w:rsid w:val="006506DB"/>
    <w:rsid w:val="0065264B"/>
    <w:rsid w:val="00653E36"/>
    <w:rsid w:val="00661016"/>
    <w:rsid w:val="0066179D"/>
    <w:rsid w:val="00662121"/>
    <w:rsid w:val="00662E09"/>
    <w:rsid w:val="006637FC"/>
    <w:rsid w:val="00670CF0"/>
    <w:rsid w:val="0067166E"/>
    <w:rsid w:val="0067582A"/>
    <w:rsid w:val="00675F87"/>
    <w:rsid w:val="006770DC"/>
    <w:rsid w:val="00685EFF"/>
    <w:rsid w:val="00690CD6"/>
    <w:rsid w:val="00695F8E"/>
    <w:rsid w:val="006A0E4A"/>
    <w:rsid w:val="006A16AC"/>
    <w:rsid w:val="006A1A0F"/>
    <w:rsid w:val="006A3932"/>
    <w:rsid w:val="006A63E3"/>
    <w:rsid w:val="006A7392"/>
    <w:rsid w:val="006B1C55"/>
    <w:rsid w:val="006B25CB"/>
    <w:rsid w:val="006B4518"/>
    <w:rsid w:val="006C0D34"/>
    <w:rsid w:val="006C251B"/>
    <w:rsid w:val="006C28C0"/>
    <w:rsid w:val="006C2F7E"/>
    <w:rsid w:val="006C555E"/>
    <w:rsid w:val="006D2A3E"/>
    <w:rsid w:val="006D3560"/>
    <w:rsid w:val="006E3B65"/>
    <w:rsid w:val="006E564B"/>
    <w:rsid w:val="006E612A"/>
    <w:rsid w:val="006E6FEA"/>
    <w:rsid w:val="007025C0"/>
    <w:rsid w:val="0070691D"/>
    <w:rsid w:val="00707F04"/>
    <w:rsid w:val="0071020E"/>
    <w:rsid w:val="00711637"/>
    <w:rsid w:val="00714F4F"/>
    <w:rsid w:val="00723978"/>
    <w:rsid w:val="0072632A"/>
    <w:rsid w:val="00736A6E"/>
    <w:rsid w:val="00736E6A"/>
    <w:rsid w:val="00737407"/>
    <w:rsid w:val="007416F3"/>
    <w:rsid w:val="00741F59"/>
    <w:rsid w:val="0074697D"/>
    <w:rsid w:val="00747C8C"/>
    <w:rsid w:val="00753344"/>
    <w:rsid w:val="00755A0C"/>
    <w:rsid w:val="00755EBE"/>
    <w:rsid w:val="0076047E"/>
    <w:rsid w:val="00760C16"/>
    <w:rsid w:val="00761619"/>
    <w:rsid w:val="0076177C"/>
    <w:rsid w:val="00763C33"/>
    <w:rsid w:val="00764D34"/>
    <w:rsid w:val="00766322"/>
    <w:rsid w:val="00770BCD"/>
    <w:rsid w:val="00771904"/>
    <w:rsid w:val="00773353"/>
    <w:rsid w:val="0077347A"/>
    <w:rsid w:val="00774129"/>
    <w:rsid w:val="00774E8F"/>
    <w:rsid w:val="00774EAA"/>
    <w:rsid w:val="00777C27"/>
    <w:rsid w:val="0078123B"/>
    <w:rsid w:val="0078333D"/>
    <w:rsid w:val="00786434"/>
    <w:rsid w:val="00790791"/>
    <w:rsid w:val="00792E15"/>
    <w:rsid w:val="007932E3"/>
    <w:rsid w:val="00796F36"/>
    <w:rsid w:val="007A2CDB"/>
    <w:rsid w:val="007A62EC"/>
    <w:rsid w:val="007A6D76"/>
    <w:rsid w:val="007B0A89"/>
    <w:rsid w:val="007B1A7E"/>
    <w:rsid w:val="007B2BA8"/>
    <w:rsid w:val="007B3C6D"/>
    <w:rsid w:val="007B5460"/>
    <w:rsid w:val="007B5E15"/>
    <w:rsid w:val="007B6BA5"/>
    <w:rsid w:val="007C2C0D"/>
    <w:rsid w:val="007C3162"/>
    <w:rsid w:val="007C3390"/>
    <w:rsid w:val="007C4A48"/>
    <w:rsid w:val="007C4C0D"/>
    <w:rsid w:val="007C4F4B"/>
    <w:rsid w:val="007C5FE9"/>
    <w:rsid w:val="007C644D"/>
    <w:rsid w:val="007D1339"/>
    <w:rsid w:val="007D31CC"/>
    <w:rsid w:val="007D7BC6"/>
    <w:rsid w:val="007E4BD3"/>
    <w:rsid w:val="007E5C9D"/>
    <w:rsid w:val="007E5D7C"/>
    <w:rsid w:val="007F2A54"/>
    <w:rsid w:val="007F4FEF"/>
    <w:rsid w:val="007F5104"/>
    <w:rsid w:val="007F6611"/>
    <w:rsid w:val="00800024"/>
    <w:rsid w:val="008037A2"/>
    <w:rsid w:val="00816370"/>
    <w:rsid w:val="00816582"/>
    <w:rsid w:val="00817599"/>
    <w:rsid w:val="008175E9"/>
    <w:rsid w:val="00820A2D"/>
    <w:rsid w:val="008242D7"/>
    <w:rsid w:val="00825B97"/>
    <w:rsid w:val="00826410"/>
    <w:rsid w:val="00826C09"/>
    <w:rsid w:val="0083043E"/>
    <w:rsid w:val="0083069A"/>
    <w:rsid w:val="00832A1D"/>
    <w:rsid w:val="00834479"/>
    <w:rsid w:val="00843AB2"/>
    <w:rsid w:val="00846809"/>
    <w:rsid w:val="00851F67"/>
    <w:rsid w:val="00852C3A"/>
    <w:rsid w:val="0086013A"/>
    <w:rsid w:val="0086107D"/>
    <w:rsid w:val="00862293"/>
    <w:rsid w:val="00864251"/>
    <w:rsid w:val="008678DA"/>
    <w:rsid w:val="00871B13"/>
    <w:rsid w:val="00871FD5"/>
    <w:rsid w:val="0087351D"/>
    <w:rsid w:val="00877071"/>
    <w:rsid w:val="00881213"/>
    <w:rsid w:val="0088202D"/>
    <w:rsid w:val="00884C7C"/>
    <w:rsid w:val="008979B1"/>
    <w:rsid w:val="008A03C0"/>
    <w:rsid w:val="008A0B75"/>
    <w:rsid w:val="008A1542"/>
    <w:rsid w:val="008A173F"/>
    <w:rsid w:val="008A3F17"/>
    <w:rsid w:val="008A6B25"/>
    <w:rsid w:val="008A6C4F"/>
    <w:rsid w:val="008A7679"/>
    <w:rsid w:val="008A7AB3"/>
    <w:rsid w:val="008B2DB8"/>
    <w:rsid w:val="008B35DB"/>
    <w:rsid w:val="008B563F"/>
    <w:rsid w:val="008B65FB"/>
    <w:rsid w:val="008B7E35"/>
    <w:rsid w:val="008C04F5"/>
    <w:rsid w:val="008C1399"/>
    <w:rsid w:val="008C1A0E"/>
    <w:rsid w:val="008C39EC"/>
    <w:rsid w:val="008C3B3C"/>
    <w:rsid w:val="008C4283"/>
    <w:rsid w:val="008C4E36"/>
    <w:rsid w:val="008C6D16"/>
    <w:rsid w:val="008C74C3"/>
    <w:rsid w:val="008C7BF7"/>
    <w:rsid w:val="008D134F"/>
    <w:rsid w:val="008D3C75"/>
    <w:rsid w:val="008D5D05"/>
    <w:rsid w:val="008D6942"/>
    <w:rsid w:val="008E0E46"/>
    <w:rsid w:val="008E1DAE"/>
    <w:rsid w:val="008E295A"/>
    <w:rsid w:val="008E2B9C"/>
    <w:rsid w:val="008E365D"/>
    <w:rsid w:val="008E3BB8"/>
    <w:rsid w:val="008F0214"/>
    <w:rsid w:val="008F0EB2"/>
    <w:rsid w:val="008F2D9A"/>
    <w:rsid w:val="008F44B8"/>
    <w:rsid w:val="008F504A"/>
    <w:rsid w:val="008F6413"/>
    <w:rsid w:val="00904EBC"/>
    <w:rsid w:val="00907CEB"/>
    <w:rsid w:val="0091042C"/>
    <w:rsid w:val="00912597"/>
    <w:rsid w:val="00912B12"/>
    <w:rsid w:val="00912BA7"/>
    <w:rsid w:val="0091645B"/>
    <w:rsid w:val="00923019"/>
    <w:rsid w:val="00924B63"/>
    <w:rsid w:val="00933C13"/>
    <w:rsid w:val="00933FAB"/>
    <w:rsid w:val="009363B6"/>
    <w:rsid w:val="0093711C"/>
    <w:rsid w:val="00937CF4"/>
    <w:rsid w:val="00940F46"/>
    <w:rsid w:val="00941ECC"/>
    <w:rsid w:val="00945A5D"/>
    <w:rsid w:val="00946A0D"/>
    <w:rsid w:val="0094762B"/>
    <w:rsid w:val="009549D5"/>
    <w:rsid w:val="00954F3C"/>
    <w:rsid w:val="00955109"/>
    <w:rsid w:val="00963B67"/>
    <w:rsid w:val="00963CBA"/>
    <w:rsid w:val="009701ED"/>
    <w:rsid w:val="0097431F"/>
    <w:rsid w:val="0097639C"/>
    <w:rsid w:val="00981938"/>
    <w:rsid w:val="00982A54"/>
    <w:rsid w:val="0098421C"/>
    <w:rsid w:val="00984471"/>
    <w:rsid w:val="00985831"/>
    <w:rsid w:val="00985F37"/>
    <w:rsid w:val="009879EA"/>
    <w:rsid w:val="009903C1"/>
    <w:rsid w:val="009908A5"/>
    <w:rsid w:val="0099124E"/>
    <w:rsid w:val="00991261"/>
    <w:rsid w:val="009953D5"/>
    <w:rsid w:val="009A1D29"/>
    <w:rsid w:val="009A63ED"/>
    <w:rsid w:val="009B5F0D"/>
    <w:rsid w:val="009C0FA4"/>
    <w:rsid w:val="009C3AD5"/>
    <w:rsid w:val="009C6058"/>
    <w:rsid w:val="009C6168"/>
    <w:rsid w:val="009C6394"/>
    <w:rsid w:val="009D0E2A"/>
    <w:rsid w:val="009D0F0E"/>
    <w:rsid w:val="009D1AAE"/>
    <w:rsid w:val="009D634E"/>
    <w:rsid w:val="009E1560"/>
    <w:rsid w:val="009E3FBA"/>
    <w:rsid w:val="009F0F06"/>
    <w:rsid w:val="009F4FC5"/>
    <w:rsid w:val="009F7CD7"/>
    <w:rsid w:val="00A02C71"/>
    <w:rsid w:val="00A068B8"/>
    <w:rsid w:val="00A1427D"/>
    <w:rsid w:val="00A15EA4"/>
    <w:rsid w:val="00A1716E"/>
    <w:rsid w:val="00A201E8"/>
    <w:rsid w:val="00A218F3"/>
    <w:rsid w:val="00A235F1"/>
    <w:rsid w:val="00A34B00"/>
    <w:rsid w:val="00A3669A"/>
    <w:rsid w:val="00A3777A"/>
    <w:rsid w:val="00A50077"/>
    <w:rsid w:val="00A526F1"/>
    <w:rsid w:val="00A52922"/>
    <w:rsid w:val="00A538E5"/>
    <w:rsid w:val="00A53992"/>
    <w:rsid w:val="00A5422A"/>
    <w:rsid w:val="00A54CA8"/>
    <w:rsid w:val="00A60196"/>
    <w:rsid w:val="00A60B3E"/>
    <w:rsid w:val="00A6199C"/>
    <w:rsid w:val="00A62147"/>
    <w:rsid w:val="00A622AF"/>
    <w:rsid w:val="00A6236D"/>
    <w:rsid w:val="00A64734"/>
    <w:rsid w:val="00A65F4A"/>
    <w:rsid w:val="00A66636"/>
    <w:rsid w:val="00A71B77"/>
    <w:rsid w:val="00A72F22"/>
    <w:rsid w:val="00A73289"/>
    <w:rsid w:val="00A744D7"/>
    <w:rsid w:val="00A748A6"/>
    <w:rsid w:val="00A74A46"/>
    <w:rsid w:val="00A753A9"/>
    <w:rsid w:val="00A75D0E"/>
    <w:rsid w:val="00A75EC9"/>
    <w:rsid w:val="00A7616A"/>
    <w:rsid w:val="00A779F3"/>
    <w:rsid w:val="00A80098"/>
    <w:rsid w:val="00A810D4"/>
    <w:rsid w:val="00A83451"/>
    <w:rsid w:val="00A83538"/>
    <w:rsid w:val="00A841F8"/>
    <w:rsid w:val="00A8523D"/>
    <w:rsid w:val="00A879A4"/>
    <w:rsid w:val="00A9244A"/>
    <w:rsid w:val="00A93985"/>
    <w:rsid w:val="00A96FAF"/>
    <w:rsid w:val="00A971B9"/>
    <w:rsid w:val="00AA1D9A"/>
    <w:rsid w:val="00AA32EB"/>
    <w:rsid w:val="00AA7DBF"/>
    <w:rsid w:val="00AB2D3E"/>
    <w:rsid w:val="00AB382F"/>
    <w:rsid w:val="00AB4CF1"/>
    <w:rsid w:val="00AB547D"/>
    <w:rsid w:val="00AC0069"/>
    <w:rsid w:val="00AC7F82"/>
    <w:rsid w:val="00AD34EE"/>
    <w:rsid w:val="00AD47BD"/>
    <w:rsid w:val="00AD7C88"/>
    <w:rsid w:val="00AE45DE"/>
    <w:rsid w:val="00AE57C8"/>
    <w:rsid w:val="00AF0878"/>
    <w:rsid w:val="00AF2F9D"/>
    <w:rsid w:val="00AF5853"/>
    <w:rsid w:val="00AF5B74"/>
    <w:rsid w:val="00AF6710"/>
    <w:rsid w:val="00B013E6"/>
    <w:rsid w:val="00B04D66"/>
    <w:rsid w:val="00B10C19"/>
    <w:rsid w:val="00B1157C"/>
    <w:rsid w:val="00B1501F"/>
    <w:rsid w:val="00B21FC4"/>
    <w:rsid w:val="00B26710"/>
    <w:rsid w:val="00B26B3C"/>
    <w:rsid w:val="00B30179"/>
    <w:rsid w:val="00B3317B"/>
    <w:rsid w:val="00B41384"/>
    <w:rsid w:val="00B41D4F"/>
    <w:rsid w:val="00B4398E"/>
    <w:rsid w:val="00B52157"/>
    <w:rsid w:val="00B5392B"/>
    <w:rsid w:val="00B5529D"/>
    <w:rsid w:val="00B560D2"/>
    <w:rsid w:val="00B56C20"/>
    <w:rsid w:val="00B61827"/>
    <w:rsid w:val="00B64FDB"/>
    <w:rsid w:val="00B71E2B"/>
    <w:rsid w:val="00B73DA8"/>
    <w:rsid w:val="00B74F7C"/>
    <w:rsid w:val="00B75589"/>
    <w:rsid w:val="00B75E05"/>
    <w:rsid w:val="00B81E12"/>
    <w:rsid w:val="00B84AAC"/>
    <w:rsid w:val="00B87012"/>
    <w:rsid w:val="00B879B1"/>
    <w:rsid w:val="00B90F54"/>
    <w:rsid w:val="00B91754"/>
    <w:rsid w:val="00B91CC3"/>
    <w:rsid w:val="00B92A0C"/>
    <w:rsid w:val="00B93068"/>
    <w:rsid w:val="00B9560E"/>
    <w:rsid w:val="00BA1DA3"/>
    <w:rsid w:val="00BA413B"/>
    <w:rsid w:val="00BA7462"/>
    <w:rsid w:val="00BA758C"/>
    <w:rsid w:val="00BB1452"/>
    <w:rsid w:val="00BB176D"/>
    <w:rsid w:val="00BB183E"/>
    <w:rsid w:val="00BB3B28"/>
    <w:rsid w:val="00BB6434"/>
    <w:rsid w:val="00BB7BCE"/>
    <w:rsid w:val="00BC46B3"/>
    <w:rsid w:val="00BC4CB4"/>
    <w:rsid w:val="00BC5FC4"/>
    <w:rsid w:val="00BC6038"/>
    <w:rsid w:val="00BC74E9"/>
    <w:rsid w:val="00BD41F8"/>
    <w:rsid w:val="00BD7EBA"/>
    <w:rsid w:val="00BE14E7"/>
    <w:rsid w:val="00BE1FF8"/>
    <w:rsid w:val="00BE4400"/>
    <w:rsid w:val="00BE47B0"/>
    <w:rsid w:val="00BE50CA"/>
    <w:rsid w:val="00BE618E"/>
    <w:rsid w:val="00BF490E"/>
    <w:rsid w:val="00BF5205"/>
    <w:rsid w:val="00BF663A"/>
    <w:rsid w:val="00C01170"/>
    <w:rsid w:val="00C0263F"/>
    <w:rsid w:val="00C03B44"/>
    <w:rsid w:val="00C060D3"/>
    <w:rsid w:val="00C10B00"/>
    <w:rsid w:val="00C13A85"/>
    <w:rsid w:val="00C14E41"/>
    <w:rsid w:val="00C20CF6"/>
    <w:rsid w:val="00C218A4"/>
    <w:rsid w:val="00C22773"/>
    <w:rsid w:val="00C23E4F"/>
    <w:rsid w:val="00C34642"/>
    <w:rsid w:val="00C36D37"/>
    <w:rsid w:val="00C37C37"/>
    <w:rsid w:val="00C37E31"/>
    <w:rsid w:val="00C423CD"/>
    <w:rsid w:val="00C463DD"/>
    <w:rsid w:val="00C46D5B"/>
    <w:rsid w:val="00C519E2"/>
    <w:rsid w:val="00C5283C"/>
    <w:rsid w:val="00C537D5"/>
    <w:rsid w:val="00C53FAC"/>
    <w:rsid w:val="00C62F76"/>
    <w:rsid w:val="00C66D78"/>
    <w:rsid w:val="00C70414"/>
    <w:rsid w:val="00C71A92"/>
    <w:rsid w:val="00C745C3"/>
    <w:rsid w:val="00C81212"/>
    <w:rsid w:val="00C81810"/>
    <w:rsid w:val="00C8214E"/>
    <w:rsid w:val="00C84FF1"/>
    <w:rsid w:val="00C86E64"/>
    <w:rsid w:val="00C87B3A"/>
    <w:rsid w:val="00C91180"/>
    <w:rsid w:val="00C91CF8"/>
    <w:rsid w:val="00C93C11"/>
    <w:rsid w:val="00C94F7A"/>
    <w:rsid w:val="00C971F6"/>
    <w:rsid w:val="00CA049C"/>
    <w:rsid w:val="00CA381C"/>
    <w:rsid w:val="00CA74D3"/>
    <w:rsid w:val="00CB1DEE"/>
    <w:rsid w:val="00CB2158"/>
    <w:rsid w:val="00CB416E"/>
    <w:rsid w:val="00CB5095"/>
    <w:rsid w:val="00CB6380"/>
    <w:rsid w:val="00CB7364"/>
    <w:rsid w:val="00CC4CA6"/>
    <w:rsid w:val="00CC5DB9"/>
    <w:rsid w:val="00CD0009"/>
    <w:rsid w:val="00CD00DF"/>
    <w:rsid w:val="00CD30EE"/>
    <w:rsid w:val="00CD3225"/>
    <w:rsid w:val="00CD38FE"/>
    <w:rsid w:val="00CE0D77"/>
    <w:rsid w:val="00CE21B5"/>
    <w:rsid w:val="00CE4083"/>
    <w:rsid w:val="00CE46BA"/>
    <w:rsid w:val="00CE4A8F"/>
    <w:rsid w:val="00CE4A94"/>
    <w:rsid w:val="00CE4B82"/>
    <w:rsid w:val="00CE74ED"/>
    <w:rsid w:val="00CE7626"/>
    <w:rsid w:val="00CF015C"/>
    <w:rsid w:val="00CF12F6"/>
    <w:rsid w:val="00CF6D3F"/>
    <w:rsid w:val="00CF6F32"/>
    <w:rsid w:val="00CF778D"/>
    <w:rsid w:val="00D03D1B"/>
    <w:rsid w:val="00D049A9"/>
    <w:rsid w:val="00D04B74"/>
    <w:rsid w:val="00D057E3"/>
    <w:rsid w:val="00D0631B"/>
    <w:rsid w:val="00D06C3A"/>
    <w:rsid w:val="00D124FE"/>
    <w:rsid w:val="00D150F1"/>
    <w:rsid w:val="00D164BA"/>
    <w:rsid w:val="00D2031B"/>
    <w:rsid w:val="00D21A45"/>
    <w:rsid w:val="00D25E8C"/>
    <w:rsid w:val="00D25FE2"/>
    <w:rsid w:val="00D27461"/>
    <w:rsid w:val="00D27E89"/>
    <w:rsid w:val="00D352FD"/>
    <w:rsid w:val="00D35917"/>
    <w:rsid w:val="00D366A7"/>
    <w:rsid w:val="00D37E80"/>
    <w:rsid w:val="00D42C29"/>
    <w:rsid w:val="00D43252"/>
    <w:rsid w:val="00D46231"/>
    <w:rsid w:val="00D477C4"/>
    <w:rsid w:val="00D51E16"/>
    <w:rsid w:val="00D52CD5"/>
    <w:rsid w:val="00D5409C"/>
    <w:rsid w:val="00D558E3"/>
    <w:rsid w:val="00D55A6B"/>
    <w:rsid w:val="00D57C13"/>
    <w:rsid w:val="00D57FD9"/>
    <w:rsid w:val="00D610C1"/>
    <w:rsid w:val="00D658FA"/>
    <w:rsid w:val="00D7217B"/>
    <w:rsid w:val="00D730E3"/>
    <w:rsid w:val="00D753D8"/>
    <w:rsid w:val="00D82B25"/>
    <w:rsid w:val="00D83AF1"/>
    <w:rsid w:val="00D90CAF"/>
    <w:rsid w:val="00D9274F"/>
    <w:rsid w:val="00D96248"/>
    <w:rsid w:val="00D96CC5"/>
    <w:rsid w:val="00D978C6"/>
    <w:rsid w:val="00D97B77"/>
    <w:rsid w:val="00DA0A3A"/>
    <w:rsid w:val="00DA1EB9"/>
    <w:rsid w:val="00DA6620"/>
    <w:rsid w:val="00DA67AD"/>
    <w:rsid w:val="00DB0645"/>
    <w:rsid w:val="00DB108D"/>
    <w:rsid w:val="00DB1C61"/>
    <w:rsid w:val="00DB604E"/>
    <w:rsid w:val="00DB72BC"/>
    <w:rsid w:val="00DC487B"/>
    <w:rsid w:val="00DC5EF6"/>
    <w:rsid w:val="00DD42A0"/>
    <w:rsid w:val="00DD5DA2"/>
    <w:rsid w:val="00DE11A6"/>
    <w:rsid w:val="00DE236F"/>
    <w:rsid w:val="00DE3ECB"/>
    <w:rsid w:val="00DE4785"/>
    <w:rsid w:val="00DE4D5E"/>
    <w:rsid w:val="00DE7267"/>
    <w:rsid w:val="00DF0A4D"/>
    <w:rsid w:val="00DF1EE3"/>
    <w:rsid w:val="00DF1EE9"/>
    <w:rsid w:val="00DF3039"/>
    <w:rsid w:val="00DF38F3"/>
    <w:rsid w:val="00DF3A04"/>
    <w:rsid w:val="00DF4518"/>
    <w:rsid w:val="00E03DE5"/>
    <w:rsid w:val="00E0695F"/>
    <w:rsid w:val="00E10201"/>
    <w:rsid w:val="00E12018"/>
    <w:rsid w:val="00E130AB"/>
    <w:rsid w:val="00E15BF1"/>
    <w:rsid w:val="00E1679E"/>
    <w:rsid w:val="00E239A0"/>
    <w:rsid w:val="00E26269"/>
    <w:rsid w:val="00E308AF"/>
    <w:rsid w:val="00E30E21"/>
    <w:rsid w:val="00E32E0D"/>
    <w:rsid w:val="00E34E58"/>
    <w:rsid w:val="00E36838"/>
    <w:rsid w:val="00E36C10"/>
    <w:rsid w:val="00E40B76"/>
    <w:rsid w:val="00E412EA"/>
    <w:rsid w:val="00E4138E"/>
    <w:rsid w:val="00E42461"/>
    <w:rsid w:val="00E4443D"/>
    <w:rsid w:val="00E44629"/>
    <w:rsid w:val="00E52EB0"/>
    <w:rsid w:val="00E54352"/>
    <w:rsid w:val="00E54645"/>
    <w:rsid w:val="00E54BD4"/>
    <w:rsid w:val="00E555F5"/>
    <w:rsid w:val="00E5644E"/>
    <w:rsid w:val="00E5691C"/>
    <w:rsid w:val="00E57903"/>
    <w:rsid w:val="00E61BB5"/>
    <w:rsid w:val="00E62068"/>
    <w:rsid w:val="00E631BA"/>
    <w:rsid w:val="00E63DE8"/>
    <w:rsid w:val="00E659B3"/>
    <w:rsid w:val="00E65A76"/>
    <w:rsid w:val="00E6613A"/>
    <w:rsid w:val="00E70F1A"/>
    <w:rsid w:val="00E7260F"/>
    <w:rsid w:val="00E730D8"/>
    <w:rsid w:val="00E74CAA"/>
    <w:rsid w:val="00E76972"/>
    <w:rsid w:val="00E81230"/>
    <w:rsid w:val="00E8535A"/>
    <w:rsid w:val="00E864BE"/>
    <w:rsid w:val="00E8712C"/>
    <w:rsid w:val="00E87CAD"/>
    <w:rsid w:val="00E90647"/>
    <w:rsid w:val="00E9352B"/>
    <w:rsid w:val="00E95438"/>
    <w:rsid w:val="00E96630"/>
    <w:rsid w:val="00E9731A"/>
    <w:rsid w:val="00EA0364"/>
    <w:rsid w:val="00EA2938"/>
    <w:rsid w:val="00EA48C4"/>
    <w:rsid w:val="00EA72F6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2937"/>
    <w:rsid w:val="00EC6B63"/>
    <w:rsid w:val="00EC755A"/>
    <w:rsid w:val="00EC77BF"/>
    <w:rsid w:val="00ED0C83"/>
    <w:rsid w:val="00ED0F6B"/>
    <w:rsid w:val="00ED15C1"/>
    <w:rsid w:val="00ED34CE"/>
    <w:rsid w:val="00ED3508"/>
    <w:rsid w:val="00ED3F6F"/>
    <w:rsid w:val="00ED6586"/>
    <w:rsid w:val="00ED7A2A"/>
    <w:rsid w:val="00EE15B0"/>
    <w:rsid w:val="00EE4D59"/>
    <w:rsid w:val="00EE73C3"/>
    <w:rsid w:val="00EF1407"/>
    <w:rsid w:val="00EF1D7F"/>
    <w:rsid w:val="00EF4AAC"/>
    <w:rsid w:val="00EF4B71"/>
    <w:rsid w:val="00EF71D8"/>
    <w:rsid w:val="00F017EF"/>
    <w:rsid w:val="00F01C57"/>
    <w:rsid w:val="00F0260E"/>
    <w:rsid w:val="00F03FA2"/>
    <w:rsid w:val="00F0400D"/>
    <w:rsid w:val="00F05283"/>
    <w:rsid w:val="00F07537"/>
    <w:rsid w:val="00F07619"/>
    <w:rsid w:val="00F07E12"/>
    <w:rsid w:val="00F1200D"/>
    <w:rsid w:val="00F22B03"/>
    <w:rsid w:val="00F30A8A"/>
    <w:rsid w:val="00F34267"/>
    <w:rsid w:val="00F34282"/>
    <w:rsid w:val="00F3574D"/>
    <w:rsid w:val="00F40295"/>
    <w:rsid w:val="00F40E75"/>
    <w:rsid w:val="00F410E7"/>
    <w:rsid w:val="00F412D3"/>
    <w:rsid w:val="00F4268E"/>
    <w:rsid w:val="00F4430D"/>
    <w:rsid w:val="00F444E3"/>
    <w:rsid w:val="00F4509A"/>
    <w:rsid w:val="00F5087E"/>
    <w:rsid w:val="00F51BAB"/>
    <w:rsid w:val="00F535BE"/>
    <w:rsid w:val="00F535EB"/>
    <w:rsid w:val="00F545B1"/>
    <w:rsid w:val="00F54674"/>
    <w:rsid w:val="00F54BAB"/>
    <w:rsid w:val="00F554A1"/>
    <w:rsid w:val="00F5723F"/>
    <w:rsid w:val="00F57DD3"/>
    <w:rsid w:val="00F606B4"/>
    <w:rsid w:val="00F64C95"/>
    <w:rsid w:val="00F669F0"/>
    <w:rsid w:val="00F75E96"/>
    <w:rsid w:val="00F8096F"/>
    <w:rsid w:val="00F82AD7"/>
    <w:rsid w:val="00F94792"/>
    <w:rsid w:val="00FA00A0"/>
    <w:rsid w:val="00FA3FB7"/>
    <w:rsid w:val="00FA7EDD"/>
    <w:rsid w:val="00FB3E18"/>
    <w:rsid w:val="00FB5A37"/>
    <w:rsid w:val="00FB7793"/>
    <w:rsid w:val="00FC18AA"/>
    <w:rsid w:val="00FC215C"/>
    <w:rsid w:val="00FC3D3C"/>
    <w:rsid w:val="00FC5DFE"/>
    <w:rsid w:val="00FC68B7"/>
    <w:rsid w:val="00FC7A90"/>
    <w:rsid w:val="00FD0F6C"/>
    <w:rsid w:val="00FD1904"/>
    <w:rsid w:val="00FD3C5D"/>
    <w:rsid w:val="00FD3E70"/>
    <w:rsid w:val="00FD5246"/>
    <w:rsid w:val="00FD5349"/>
    <w:rsid w:val="00FD6B2B"/>
    <w:rsid w:val="00FD7F38"/>
    <w:rsid w:val="00FE3EEA"/>
    <w:rsid w:val="00FE54C1"/>
    <w:rsid w:val="00FE681E"/>
    <w:rsid w:val="00FF03BB"/>
    <w:rsid w:val="00FF071A"/>
    <w:rsid w:val="00FF325F"/>
    <w:rsid w:val="00FF3E35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DCE02"/>
  <w15:docId w15:val="{EE42D38A-3D78-49B4-A772-4D72FC9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6F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p1">
    <w:name w:val="p1"/>
    <w:basedOn w:val="Normal"/>
    <w:rsid w:val="00BB183E"/>
    <w:pPr>
      <w:suppressAutoHyphens w:val="0"/>
      <w:spacing w:line="240" w:lineRule="auto"/>
    </w:pPr>
    <w:rPr>
      <w:sz w:val="15"/>
      <w:szCs w:val="15"/>
      <w:lang w:val="en-US"/>
    </w:rPr>
  </w:style>
  <w:style w:type="character" w:customStyle="1" w:styleId="s1">
    <w:name w:val="s1"/>
    <w:basedOn w:val="DefaultParagraphFont"/>
    <w:rsid w:val="00BB183E"/>
    <w:rPr>
      <w:rFonts w:ascii="Times New Roman" w:hAnsi="Times New Roman" w:cs="Times New Roman" w:hint="default"/>
      <w:sz w:val="9"/>
      <w:szCs w:val="9"/>
    </w:rPr>
  </w:style>
  <w:style w:type="character" w:customStyle="1" w:styleId="apple-converted-space">
    <w:name w:val="apple-converted-space"/>
    <w:basedOn w:val="DefaultParagraphFont"/>
    <w:rsid w:val="00BB183E"/>
  </w:style>
  <w:style w:type="paragraph" w:styleId="Revision">
    <w:name w:val="Revision"/>
    <w:hidden/>
    <w:uiPriority w:val="99"/>
    <w:semiHidden/>
    <w:rsid w:val="008C1A0E"/>
    <w:rPr>
      <w:lang w:val="en-GB"/>
    </w:rPr>
  </w:style>
  <w:style w:type="character" w:customStyle="1" w:styleId="StyleItalic">
    <w:name w:val="Style Italic"/>
    <w:semiHidden/>
    <w:rsid w:val="001501A4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3B7C-5340-4036-A42A-4EABAB0C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dc:description/>
  <cp:lastModifiedBy>Laurence Berthet</cp:lastModifiedBy>
  <cp:revision>4</cp:revision>
  <cp:lastPrinted>2019-12-05T16:58:00Z</cp:lastPrinted>
  <dcterms:created xsi:type="dcterms:W3CDTF">2019-12-05T11:45:00Z</dcterms:created>
  <dcterms:modified xsi:type="dcterms:W3CDTF">2019-12-05T16:58:00Z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