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064B2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415FAF" w14:textId="77777777" w:rsidR="002D5AAC" w:rsidRDefault="002D5AAC" w:rsidP="00283A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00721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2510E8" w14:textId="77777777" w:rsidR="002D5AAC" w:rsidRDefault="00283A5E" w:rsidP="00283A5E">
            <w:pPr>
              <w:jc w:val="right"/>
            </w:pPr>
            <w:r w:rsidRPr="00283A5E">
              <w:rPr>
                <w:sz w:val="40"/>
              </w:rPr>
              <w:t>ECE</w:t>
            </w:r>
            <w:r>
              <w:t>/ADN/49</w:t>
            </w:r>
          </w:p>
        </w:tc>
      </w:tr>
      <w:tr w:rsidR="002D5AAC" w:rsidRPr="00BF31FD" w14:paraId="1E5A6A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7D095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0BFD96" wp14:editId="6B0C341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DBBB4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AC4B84" w14:textId="77777777" w:rsidR="002D5AAC" w:rsidRDefault="00283A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D9CDB1" w14:textId="77777777" w:rsidR="00283A5E" w:rsidRDefault="00283A5E" w:rsidP="00283A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February 2019</w:t>
            </w:r>
          </w:p>
          <w:p w14:paraId="78B49E65" w14:textId="77777777" w:rsidR="00283A5E" w:rsidRDefault="00283A5E" w:rsidP="00283A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2D7125" w14:textId="77777777" w:rsidR="00283A5E" w:rsidRPr="008D53B6" w:rsidRDefault="00283A5E" w:rsidP="00283A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C55281" w14:textId="77777777" w:rsidR="00283A5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FAE61E" w14:textId="77777777" w:rsidR="00283A5E" w:rsidRPr="00E60819" w:rsidRDefault="00283A5E" w:rsidP="00283A5E">
      <w:pPr>
        <w:spacing w:before="120"/>
        <w:rPr>
          <w:b/>
          <w:szCs w:val="20"/>
        </w:rPr>
      </w:pPr>
      <w:r w:rsidRPr="00E60819">
        <w:rPr>
          <w:b/>
          <w:bCs/>
          <w:szCs w:val="20"/>
        </w:rPr>
        <w:t xml:space="preserve">Административный комитет Европейского </w:t>
      </w:r>
      <w:r w:rsidR="00307E2C" w:rsidRPr="00E60819">
        <w:rPr>
          <w:b/>
          <w:bCs/>
          <w:szCs w:val="20"/>
        </w:rPr>
        <w:br/>
      </w:r>
      <w:r w:rsidRPr="00E60819">
        <w:rPr>
          <w:b/>
          <w:bCs/>
          <w:szCs w:val="20"/>
        </w:rPr>
        <w:t xml:space="preserve">соглашения о международной перевозке </w:t>
      </w:r>
      <w:r w:rsidR="00307E2C" w:rsidRPr="00E60819">
        <w:rPr>
          <w:b/>
          <w:bCs/>
          <w:szCs w:val="20"/>
        </w:rPr>
        <w:br/>
      </w:r>
      <w:r w:rsidRPr="00E60819">
        <w:rPr>
          <w:b/>
          <w:bCs/>
          <w:szCs w:val="20"/>
        </w:rPr>
        <w:t xml:space="preserve">опасных грузов по внутренним водным </w:t>
      </w:r>
      <w:r w:rsidR="00307E2C" w:rsidRPr="00E60819">
        <w:rPr>
          <w:b/>
          <w:bCs/>
          <w:szCs w:val="20"/>
        </w:rPr>
        <w:br/>
      </w:r>
      <w:r w:rsidRPr="00E60819">
        <w:rPr>
          <w:b/>
          <w:bCs/>
          <w:szCs w:val="20"/>
        </w:rPr>
        <w:t>путям (ВОПОГ)</w:t>
      </w:r>
    </w:p>
    <w:p w14:paraId="655B0322" w14:textId="77777777" w:rsidR="00283A5E" w:rsidRPr="00307E2C" w:rsidRDefault="00283A5E" w:rsidP="00283A5E">
      <w:pPr>
        <w:spacing w:before="120"/>
        <w:rPr>
          <w:b/>
          <w:szCs w:val="20"/>
        </w:rPr>
      </w:pPr>
      <w:r w:rsidRPr="00307E2C">
        <w:rPr>
          <w:b/>
          <w:bCs/>
          <w:szCs w:val="20"/>
        </w:rPr>
        <w:t>Двадцать вторая сессия</w:t>
      </w:r>
    </w:p>
    <w:p w14:paraId="6F942151" w14:textId="77777777" w:rsidR="00283A5E" w:rsidRPr="00307E2C" w:rsidRDefault="00283A5E" w:rsidP="00283A5E">
      <w:pPr>
        <w:rPr>
          <w:szCs w:val="20"/>
        </w:rPr>
      </w:pPr>
      <w:r w:rsidRPr="00307E2C">
        <w:rPr>
          <w:szCs w:val="20"/>
        </w:rPr>
        <w:t>Женева, 25 января 2019 года</w:t>
      </w:r>
    </w:p>
    <w:p w14:paraId="20CF04D5" w14:textId="77777777" w:rsidR="00283A5E" w:rsidRPr="00064FF8" w:rsidRDefault="00283A5E" w:rsidP="00283A5E">
      <w:pPr>
        <w:pStyle w:val="HChG"/>
        <w:rPr>
          <w:b w:val="0"/>
          <w:sz w:val="20"/>
        </w:rPr>
      </w:pPr>
      <w:r>
        <w:tab/>
      </w:r>
      <w:r>
        <w:tab/>
      </w:r>
      <w:r>
        <w:rPr>
          <w:bCs/>
        </w:rPr>
        <w:t>Доклад Административного комитета Европейского соглашения о международной перевозке опасных грузов по внутренним водным путям о работе его двадцать второй сессии</w:t>
      </w:r>
      <w:r w:rsidRPr="00283A5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40F92224" w14:textId="77777777" w:rsidR="00283A5E" w:rsidRPr="00064FF8" w:rsidRDefault="00283A5E" w:rsidP="00283A5E">
      <w:pPr>
        <w:suppressAutoHyphens w:val="0"/>
        <w:spacing w:line="240" w:lineRule="auto"/>
        <w:rPr>
          <w:b/>
          <w:sz w:val="28"/>
        </w:rPr>
      </w:pPr>
      <w:r w:rsidRPr="00064FF8">
        <w:rPr>
          <w:b/>
          <w:sz w:val="28"/>
        </w:rPr>
        <w:br w:type="page"/>
      </w:r>
    </w:p>
    <w:p w14:paraId="309F92D9" w14:textId="77777777" w:rsidR="00283A5E" w:rsidRPr="00BC38F6" w:rsidRDefault="00283A5E" w:rsidP="00283A5E">
      <w:pPr>
        <w:spacing w:after="120" w:line="200" w:lineRule="atLeast"/>
        <w:rPr>
          <w:sz w:val="28"/>
          <w:szCs w:val="28"/>
        </w:rPr>
      </w:pPr>
      <w:r w:rsidRPr="00BC38F6">
        <w:rPr>
          <w:sz w:val="28"/>
          <w:szCs w:val="28"/>
        </w:rPr>
        <w:lastRenderedPageBreak/>
        <w:t>Содержание</w:t>
      </w:r>
    </w:p>
    <w:p w14:paraId="74D16B84" w14:textId="77777777" w:rsidR="00283A5E" w:rsidRPr="00592D58" w:rsidRDefault="00283A5E" w:rsidP="00283A5E">
      <w:pPr>
        <w:tabs>
          <w:tab w:val="right" w:pos="8929"/>
          <w:tab w:val="right" w:pos="9638"/>
        </w:tabs>
        <w:spacing w:after="120"/>
        <w:ind w:left="283"/>
        <w:rPr>
          <w:i/>
          <w:iCs/>
        </w:rPr>
      </w:pPr>
      <w:r>
        <w:tab/>
      </w:r>
      <w:r w:rsidRPr="00592D58">
        <w:rPr>
          <w:i/>
          <w:iCs/>
        </w:rPr>
        <w:t>Пункты</w:t>
      </w:r>
      <w:r>
        <w:tab/>
      </w:r>
      <w:r w:rsidRPr="00592D58">
        <w:rPr>
          <w:i/>
          <w:iCs/>
        </w:rPr>
        <w:t>Стр.</w:t>
      </w:r>
    </w:p>
    <w:p w14:paraId="21169B3E" w14:textId="77777777" w:rsidR="00283A5E" w:rsidRPr="00866BD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>
        <w:tab/>
        <w:t>I.</w:t>
      </w:r>
      <w:r>
        <w:tab/>
        <w:t>Участники</w:t>
      </w:r>
      <w:r w:rsidRPr="00283A5E">
        <w:t xml:space="preserve"> </w:t>
      </w:r>
      <w:r>
        <w:tab/>
      </w:r>
      <w:r>
        <w:tab/>
        <w:t>1–4</w:t>
      </w:r>
      <w:r>
        <w:tab/>
      </w:r>
      <w:r w:rsidRPr="0068024C">
        <w:rPr>
          <w:color w:val="000000" w:themeColor="text1"/>
        </w:rPr>
        <w:t>3</w:t>
      </w:r>
    </w:p>
    <w:p w14:paraId="7B4E6FC3" w14:textId="77777777" w:rsidR="00283A5E" w:rsidRPr="00064FF8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>
        <w:tab/>
        <w:t>II.</w:t>
      </w:r>
      <w:r>
        <w:tab/>
        <w:t>Утверждение повестки дня (пункт 1 повестки дня)</w:t>
      </w:r>
      <w:r w:rsidRPr="00283A5E">
        <w:t xml:space="preserve"> </w:t>
      </w:r>
      <w:r>
        <w:tab/>
      </w:r>
      <w:r>
        <w:tab/>
        <w:t>5</w:t>
      </w:r>
      <w:r>
        <w:tab/>
      </w:r>
      <w:r w:rsidRPr="00283A5E">
        <w:t>3</w:t>
      </w:r>
    </w:p>
    <w:p w14:paraId="0B228EAB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>
        <w:tab/>
        <w:t>III.</w:t>
      </w:r>
      <w:r>
        <w:tab/>
        <w:t>Выборы должностных лиц на 2019 год (пункт 2 повестки дня)</w:t>
      </w:r>
      <w:r w:rsidRPr="00283A5E">
        <w:t xml:space="preserve"> </w:t>
      </w:r>
      <w:r>
        <w:tab/>
      </w:r>
      <w:r>
        <w:tab/>
        <w:t>6</w:t>
      </w:r>
      <w:r>
        <w:tab/>
      </w:r>
      <w:r w:rsidRPr="00283A5E">
        <w:t>3</w:t>
      </w:r>
    </w:p>
    <w:p w14:paraId="47C7EF4B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  <w:t>IV.</w:t>
      </w:r>
      <w:r w:rsidRPr="00283A5E">
        <w:tab/>
        <w:t xml:space="preserve">Состояние Европейского соглашения о международной перевозке опасных </w:t>
      </w:r>
      <w:r w:rsidRPr="00283A5E">
        <w:br/>
      </w:r>
      <w:r>
        <w:tab/>
      </w:r>
      <w:r>
        <w:tab/>
      </w:r>
      <w:r w:rsidRPr="00283A5E">
        <w:t xml:space="preserve">грузов по внутренним водным путям (ВОПОГ) </w:t>
      </w:r>
      <w:r w:rsidR="00D24888">
        <w:t xml:space="preserve">(пункт 3 повестки дня) </w:t>
      </w:r>
      <w:r w:rsidRPr="00283A5E">
        <w:tab/>
      </w:r>
      <w:r w:rsidRPr="00283A5E">
        <w:tab/>
        <w:t>7</w:t>
      </w:r>
      <w:r>
        <w:t>–</w:t>
      </w:r>
      <w:r w:rsidRPr="00283A5E">
        <w:t>8</w:t>
      </w:r>
      <w:r w:rsidRPr="00283A5E">
        <w:tab/>
        <w:t>3</w:t>
      </w:r>
    </w:p>
    <w:p w14:paraId="5C33DA6C" w14:textId="77777777" w:rsidR="00283A5E" w:rsidRPr="00BF31FD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  <w:rPr>
          <w:lang w:val="en-US"/>
        </w:rPr>
      </w:pPr>
      <w:r w:rsidRPr="00283A5E">
        <w:tab/>
        <w:t>V.</w:t>
      </w:r>
      <w:r w:rsidRPr="00283A5E">
        <w:tab/>
        <w:t xml:space="preserve">Вопросы, относящиеся к осуществлению ВОПОГ (пункт 4 повестки дня) </w:t>
      </w:r>
      <w:r w:rsidRPr="00283A5E">
        <w:tab/>
      </w:r>
      <w:r w:rsidRPr="00283A5E">
        <w:tab/>
      </w:r>
      <w:r w:rsidR="00BF31FD">
        <w:rPr>
          <w:lang w:val="en-US"/>
        </w:rPr>
        <w:t>9–21</w:t>
      </w:r>
      <w:r w:rsidRPr="00283A5E">
        <w:tab/>
      </w:r>
      <w:r w:rsidR="00BF31FD">
        <w:rPr>
          <w:lang w:val="en-US"/>
        </w:rPr>
        <w:t>4</w:t>
      </w:r>
    </w:p>
    <w:p w14:paraId="4C4F5AB1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</w:r>
      <w:r w:rsidRPr="00283A5E">
        <w:tab/>
        <w:t>A.</w:t>
      </w:r>
      <w:r w:rsidRPr="00283A5E">
        <w:tab/>
        <w:t xml:space="preserve">Классификационные общества </w:t>
      </w:r>
      <w:r w:rsidRPr="00283A5E">
        <w:tab/>
      </w:r>
      <w:r w:rsidRPr="00283A5E">
        <w:tab/>
        <w:t>9</w:t>
      </w:r>
      <w:r>
        <w:t>–</w:t>
      </w:r>
      <w:r w:rsidRPr="00283A5E">
        <w:t>14</w:t>
      </w:r>
      <w:r w:rsidRPr="00283A5E">
        <w:tab/>
        <w:t>4</w:t>
      </w:r>
    </w:p>
    <w:p w14:paraId="1B572300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</w:r>
      <w:r w:rsidRPr="00283A5E">
        <w:tab/>
      </w:r>
      <w:r w:rsidRPr="00283A5E">
        <w:tab/>
        <w:t>1.</w:t>
      </w:r>
      <w:r w:rsidRPr="00283A5E">
        <w:tab/>
        <w:t xml:space="preserve">Соответствие стандарту ISO/IEC 17020:2012 </w:t>
      </w:r>
      <w:r w:rsidRPr="00283A5E">
        <w:tab/>
      </w:r>
      <w:r w:rsidRPr="00283A5E">
        <w:tab/>
        <w:t>9</w:t>
      </w:r>
      <w:r>
        <w:t>–</w:t>
      </w:r>
      <w:r w:rsidRPr="00283A5E">
        <w:t>10</w:t>
      </w:r>
      <w:r w:rsidRPr="00283A5E">
        <w:tab/>
        <w:t>4</w:t>
      </w:r>
    </w:p>
    <w:p w14:paraId="78E683A6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</w:r>
      <w:r w:rsidRPr="00283A5E">
        <w:tab/>
      </w:r>
      <w:r w:rsidRPr="00283A5E">
        <w:tab/>
        <w:t>2.</w:t>
      </w:r>
      <w:r w:rsidRPr="00283A5E">
        <w:tab/>
        <w:t xml:space="preserve">Признание классификационных обществ </w:t>
      </w:r>
      <w:r w:rsidRPr="00283A5E">
        <w:tab/>
      </w:r>
      <w:r w:rsidRPr="00283A5E">
        <w:tab/>
        <w:t>11</w:t>
      </w:r>
      <w:r>
        <w:t>–</w:t>
      </w:r>
      <w:r w:rsidRPr="00283A5E">
        <w:t>14</w:t>
      </w:r>
      <w:r w:rsidRPr="00283A5E">
        <w:tab/>
        <w:t>4</w:t>
      </w:r>
    </w:p>
    <w:p w14:paraId="3E55708A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</w:r>
      <w:r w:rsidRPr="00283A5E">
        <w:tab/>
        <w:t>B.</w:t>
      </w:r>
      <w:r w:rsidRPr="00283A5E">
        <w:tab/>
        <w:t xml:space="preserve">Специальные разрешения, отступления и эквивалентные аналоги </w:t>
      </w:r>
      <w:r w:rsidRPr="00283A5E">
        <w:tab/>
      </w:r>
      <w:r w:rsidRPr="00283A5E">
        <w:tab/>
        <w:t>15−16</w:t>
      </w:r>
      <w:r w:rsidRPr="00283A5E">
        <w:tab/>
        <w:t>4</w:t>
      </w:r>
    </w:p>
    <w:p w14:paraId="6ECB3413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</w:r>
      <w:r w:rsidRPr="00283A5E">
        <w:tab/>
        <w:t>C.</w:t>
      </w:r>
      <w:r w:rsidRPr="00283A5E">
        <w:tab/>
        <w:t xml:space="preserve">Различные уведомления </w:t>
      </w:r>
      <w:r w:rsidRPr="00283A5E">
        <w:tab/>
      </w:r>
      <w:r w:rsidRPr="00283A5E">
        <w:tab/>
        <w:t>17</w:t>
      </w:r>
      <w:r>
        <w:t>–</w:t>
      </w:r>
      <w:r w:rsidRPr="00283A5E">
        <w:t>20</w:t>
      </w:r>
      <w:r w:rsidRPr="00283A5E">
        <w:tab/>
        <w:t>5</w:t>
      </w:r>
    </w:p>
    <w:p w14:paraId="0499A3DC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</w:r>
      <w:r w:rsidRPr="00283A5E">
        <w:tab/>
      </w:r>
      <w:r w:rsidRPr="00283A5E">
        <w:tab/>
        <w:t>1.</w:t>
      </w:r>
      <w:r w:rsidRPr="00283A5E">
        <w:tab/>
        <w:t xml:space="preserve">Статистические данные, касающиеся экзаменов </w:t>
      </w:r>
      <w:r w:rsidRPr="00283A5E">
        <w:tab/>
      </w:r>
      <w:r w:rsidRPr="00283A5E">
        <w:tab/>
        <w:t>17</w:t>
      </w:r>
      <w:r w:rsidRPr="00283A5E">
        <w:tab/>
        <w:t>5</w:t>
      </w:r>
    </w:p>
    <w:p w14:paraId="152FD237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</w:r>
      <w:r w:rsidRPr="00283A5E">
        <w:tab/>
      </w:r>
      <w:r w:rsidRPr="00283A5E">
        <w:tab/>
        <w:t>2.</w:t>
      </w:r>
      <w:r w:rsidRPr="00283A5E">
        <w:tab/>
        <w:t xml:space="preserve">Другие уведомления </w:t>
      </w:r>
      <w:r w:rsidRPr="00283A5E">
        <w:tab/>
      </w:r>
      <w:r w:rsidRPr="00283A5E">
        <w:tab/>
        <w:t>18</w:t>
      </w:r>
      <w:r>
        <w:t>–</w:t>
      </w:r>
      <w:r w:rsidRPr="00283A5E">
        <w:t>20</w:t>
      </w:r>
      <w:r w:rsidRPr="00283A5E">
        <w:tab/>
        <w:t>5</w:t>
      </w:r>
    </w:p>
    <w:p w14:paraId="66A050A9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</w:r>
      <w:r w:rsidRPr="00283A5E">
        <w:tab/>
        <w:t>D.</w:t>
      </w:r>
      <w:r w:rsidRPr="00283A5E">
        <w:tab/>
        <w:t xml:space="preserve">Прочие вопросы </w:t>
      </w:r>
      <w:r w:rsidRPr="00283A5E">
        <w:tab/>
      </w:r>
      <w:r w:rsidRPr="00283A5E">
        <w:tab/>
        <w:t>21</w:t>
      </w:r>
      <w:r w:rsidRPr="00283A5E">
        <w:tab/>
        <w:t>5</w:t>
      </w:r>
    </w:p>
    <w:p w14:paraId="2F434494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  <w:t>VI.</w:t>
      </w:r>
      <w:r w:rsidRPr="00283A5E">
        <w:tab/>
        <w:t xml:space="preserve">Работа Комитета по вопросам безопасности (пункт 5 повестки дня) </w:t>
      </w:r>
      <w:r w:rsidRPr="00283A5E">
        <w:tab/>
      </w:r>
      <w:r w:rsidRPr="00283A5E">
        <w:tab/>
        <w:t>22−23</w:t>
      </w:r>
      <w:r w:rsidRPr="00283A5E">
        <w:tab/>
        <w:t>5</w:t>
      </w:r>
    </w:p>
    <w:p w14:paraId="42AAABCC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  <w:t>VII.</w:t>
      </w:r>
      <w:r w:rsidRPr="00283A5E">
        <w:tab/>
        <w:t xml:space="preserve">Программа работы и расписание совещаний (пункт 6 повестки дня) </w:t>
      </w:r>
      <w:r w:rsidRPr="00283A5E">
        <w:tab/>
      </w:r>
      <w:r w:rsidRPr="00283A5E">
        <w:tab/>
        <w:t>24</w:t>
      </w:r>
      <w:r w:rsidRPr="00283A5E">
        <w:tab/>
        <w:t>6</w:t>
      </w:r>
    </w:p>
    <w:p w14:paraId="288D7645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283A5E">
        <w:tab/>
        <w:t>VIII.</w:t>
      </w:r>
      <w:r w:rsidRPr="00283A5E">
        <w:tab/>
        <w:t xml:space="preserve">Прочие вопросы (пункт 7 повестки дня) </w:t>
      </w:r>
      <w:r w:rsidRPr="00283A5E">
        <w:tab/>
      </w:r>
      <w:r w:rsidRPr="00283A5E">
        <w:tab/>
        <w:t>25</w:t>
      </w:r>
      <w:r>
        <w:t>–</w:t>
      </w:r>
      <w:r w:rsidRPr="00283A5E">
        <w:t>26</w:t>
      </w:r>
      <w:r w:rsidRPr="00283A5E">
        <w:tab/>
        <w:t>6</w:t>
      </w:r>
    </w:p>
    <w:p w14:paraId="55FF01A4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>
        <w:tab/>
      </w:r>
      <w:r>
        <w:tab/>
      </w:r>
      <w:r>
        <w:rPr>
          <w:lang w:val="en-US"/>
        </w:rPr>
        <w:t>A</w:t>
      </w:r>
      <w:r w:rsidRPr="00283A5E">
        <w:t>.</w:t>
      </w:r>
      <w:r w:rsidRPr="00283A5E">
        <w:tab/>
        <w:t xml:space="preserve">Работа Комитета по внутреннему транспорту </w:t>
      </w:r>
      <w:r w:rsidRPr="00283A5E">
        <w:tab/>
      </w:r>
      <w:r w:rsidRPr="00283A5E">
        <w:tab/>
        <w:t>25</w:t>
      </w:r>
      <w:r w:rsidRPr="00283A5E">
        <w:tab/>
        <w:t>6</w:t>
      </w:r>
    </w:p>
    <w:p w14:paraId="32EEE2D8" w14:textId="77777777" w:rsidR="00283A5E" w:rsidRPr="00283A5E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>
        <w:tab/>
      </w:r>
      <w:r>
        <w:tab/>
      </w:r>
      <w:r w:rsidRPr="00283A5E">
        <w:t>B.</w:t>
      </w:r>
      <w:r w:rsidRPr="00283A5E">
        <w:tab/>
        <w:t xml:space="preserve">Издание ВОПОГ 2019 года </w:t>
      </w:r>
      <w:r w:rsidRPr="00283A5E">
        <w:tab/>
      </w:r>
      <w:r w:rsidRPr="00283A5E">
        <w:tab/>
        <w:t>26</w:t>
      </w:r>
      <w:r w:rsidRPr="00283A5E">
        <w:tab/>
        <w:t>6</w:t>
      </w:r>
    </w:p>
    <w:p w14:paraId="11815263" w14:textId="77777777" w:rsidR="00283A5E" w:rsidRPr="00E60819" w:rsidRDefault="00283A5E" w:rsidP="00283A5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  <w:rPr>
          <w:snapToGrid w:val="0"/>
          <w:color w:val="000000" w:themeColor="text1"/>
        </w:rPr>
      </w:pPr>
      <w:r w:rsidRPr="00283A5E">
        <w:tab/>
        <w:t>IX.</w:t>
      </w:r>
      <w:r w:rsidRPr="00283A5E">
        <w:tab/>
        <w:t xml:space="preserve">Утверждение доклада (пункт 8 повестки дня) </w:t>
      </w:r>
      <w:r w:rsidRPr="00283A5E">
        <w:tab/>
      </w:r>
      <w:r w:rsidRPr="0068024C">
        <w:rPr>
          <w:color w:val="000000" w:themeColor="text1"/>
        </w:rPr>
        <w:tab/>
        <w:t>27</w:t>
      </w:r>
      <w:r w:rsidRPr="0068024C">
        <w:rPr>
          <w:color w:val="000000" w:themeColor="text1"/>
        </w:rPr>
        <w:tab/>
      </w:r>
      <w:r w:rsidR="00E60819" w:rsidRPr="00E60819">
        <w:rPr>
          <w:color w:val="000000" w:themeColor="text1"/>
        </w:rPr>
        <w:t>6</w:t>
      </w:r>
    </w:p>
    <w:p w14:paraId="2942523E" w14:textId="77777777" w:rsidR="00283A5E" w:rsidRDefault="00283A5E" w:rsidP="00283A5E">
      <w:pPr>
        <w:pStyle w:val="HChG"/>
        <w:keepNext w:val="0"/>
        <w:keepLines w:val="0"/>
      </w:pPr>
      <w:r>
        <w:tab/>
      </w:r>
    </w:p>
    <w:p w14:paraId="7059E9CA" w14:textId="77777777" w:rsidR="00283A5E" w:rsidRDefault="00283A5E" w:rsidP="00283A5E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446ADF59" w14:textId="77777777" w:rsidR="00283A5E" w:rsidRPr="00064FF8" w:rsidRDefault="00283A5E" w:rsidP="00283A5E">
      <w:pPr>
        <w:pStyle w:val="HChG"/>
        <w:keepNext w:val="0"/>
        <w:keepLines w:val="0"/>
        <w:rPr>
          <w:snapToGrid w:val="0"/>
        </w:rPr>
      </w:pPr>
      <w:r>
        <w:lastRenderedPageBreak/>
        <w:tab/>
      </w:r>
      <w:bookmarkStart w:id="1" w:name="_Hlk5105539"/>
      <w:r>
        <w:t>I.</w:t>
      </w:r>
      <w:r>
        <w:tab/>
      </w:r>
      <w:r>
        <w:rPr>
          <w:bCs/>
        </w:rPr>
        <w:t>Участники</w:t>
      </w:r>
    </w:p>
    <w:p w14:paraId="530721A3" w14:textId="77777777" w:rsidR="00283A5E" w:rsidRPr="00064FF8" w:rsidRDefault="00283A5E" w:rsidP="00283A5E">
      <w:pPr>
        <w:pStyle w:val="SingleTxtG"/>
      </w:pPr>
      <w:r>
        <w:t>1.</w:t>
      </w:r>
      <w:r>
        <w:tab/>
        <w:t xml:space="preserve">Административный комитет Европейского соглашения о международной перевозке опасных грузов по внутренним водным путям (ВОПОГ) провел свою двадцать вторую сессию в Женеве 25 января 2019 года. </w:t>
      </w:r>
    </w:p>
    <w:p w14:paraId="53A24EEB" w14:textId="77777777" w:rsidR="00283A5E" w:rsidRPr="00064FF8" w:rsidRDefault="00283A5E" w:rsidP="00283A5E">
      <w:pPr>
        <w:pStyle w:val="SingleTxtG"/>
      </w:pPr>
      <w:r>
        <w:t>2.</w:t>
      </w:r>
      <w:r>
        <w:tab/>
        <w:t>В работе сессии приняли участие представители следующих Договаривающихся сторон: Австрии, Бельгии, Германии, Люксембурга, Нидерландов, Российской Федерации, Румынии, Франции, Хорватии и Швейцарии.</w:t>
      </w:r>
    </w:p>
    <w:p w14:paraId="14BA6C02" w14:textId="77777777" w:rsidR="00283A5E" w:rsidRPr="00084DAF" w:rsidRDefault="00283A5E" w:rsidP="00283A5E">
      <w:pPr>
        <w:pStyle w:val="SingleTxtG"/>
        <w:rPr>
          <w:snapToGrid w:val="0"/>
        </w:rPr>
      </w:pPr>
      <w:r>
        <w:t>3.</w:t>
      </w:r>
      <w:r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не менее половины Договаривающихся сторон, достигнут.</w:t>
      </w:r>
    </w:p>
    <w:p w14:paraId="4ECE4C03" w14:textId="77777777" w:rsidR="00283A5E" w:rsidRPr="00064FF8" w:rsidRDefault="00283A5E" w:rsidP="00283A5E">
      <w:pPr>
        <w:pStyle w:val="SingleTxtG"/>
        <w:rPr>
          <w:snapToGrid w:val="0"/>
        </w:rPr>
      </w:pPr>
      <w:r>
        <w:t>4.</w:t>
      </w:r>
      <w:r>
        <w:tab/>
        <w:t>В соответствии с пунктом 2 статьи 17 ВОПОГ и решением Комитета (ECE/ADN/2, пункт 8) в качестве наблюдателя на сессии присутствовал представитель Центральной комиссии судоходства по Рейну (ЦКСР).</w:t>
      </w:r>
    </w:p>
    <w:p w14:paraId="5B46ED46" w14:textId="77777777" w:rsidR="00283A5E" w:rsidRPr="00064FF8" w:rsidRDefault="00283A5E" w:rsidP="00283A5E">
      <w:pPr>
        <w:pStyle w:val="HChG"/>
        <w:keepNext w:val="0"/>
        <w:keepLines w:val="0"/>
        <w:rPr>
          <w:snapToGrid w:val="0"/>
        </w:rPr>
      </w:pPr>
      <w:r>
        <w:tab/>
        <w:t>II.</w:t>
      </w:r>
      <w:r>
        <w:tab/>
      </w:r>
      <w:r>
        <w:rPr>
          <w:bCs/>
        </w:rPr>
        <w:t>Утверждение повестки дня (пункт 1 повестки дня)</w:t>
      </w:r>
    </w:p>
    <w:p w14:paraId="4B097CA2" w14:textId="77777777" w:rsidR="00283A5E" w:rsidRPr="00064FF8" w:rsidRDefault="00283A5E" w:rsidP="00283A5E">
      <w:pPr>
        <w:pStyle w:val="SingleTxtG"/>
        <w:rPr>
          <w:snapToGrid w:val="0"/>
        </w:rPr>
      </w:pPr>
      <w:r w:rsidRPr="00064FF8">
        <w:rPr>
          <w:i/>
          <w:iCs/>
        </w:rPr>
        <w:t>Документы:</w:t>
      </w:r>
      <w:r>
        <w:tab/>
      </w:r>
      <w:r>
        <w:tab/>
        <w:t>ECE/ADN/47 и Add.1</w:t>
      </w:r>
    </w:p>
    <w:p w14:paraId="45FF2366" w14:textId="77777777" w:rsidR="00283A5E" w:rsidRPr="00064FF8" w:rsidRDefault="00283A5E" w:rsidP="00283A5E">
      <w:pPr>
        <w:pStyle w:val="SingleTxtG"/>
      </w:pPr>
      <w:r>
        <w:t>5.</w:t>
      </w:r>
      <w:r>
        <w:tab/>
        <w:t>Комитет по вопросам безопасности утвердил подготовленную секретариатом повестку дня с поправками, внесенными в нее с целью учета неофициальных документов INF.1–INF.3.</w:t>
      </w:r>
    </w:p>
    <w:p w14:paraId="67FDE402" w14:textId="77777777" w:rsidR="00283A5E" w:rsidRPr="00064FF8" w:rsidRDefault="00283A5E" w:rsidP="00283A5E">
      <w:pPr>
        <w:pStyle w:val="HChG"/>
        <w:keepNext w:val="0"/>
        <w:keepLines w:val="0"/>
        <w:rPr>
          <w:snapToGrid w:val="0"/>
        </w:rPr>
      </w:pPr>
      <w:r>
        <w:tab/>
        <w:t>III.</w:t>
      </w:r>
      <w:r>
        <w:tab/>
      </w:r>
      <w:r>
        <w:rPr>
          <w:bCs/>
        </w:rPr>
        <w:t xml:space="preserve">Выборы должностных лиц на 2019 год </w:t>
      </w:r>
      <w:r>
        <w:rPr>
          <w:bCs/>
        </w:rPr>
        <w:br/>
        <w:t>(пункт 2 повестки дня)</w:t>
      </w:r>
    </w:p>
    <w:p w14:paraId="12210668" w14:textId="77777777" w:rsidR="00283A5E" w:rsidRPr="00064FF8" w:rsidRDefault="00283A5E" w:rsidP="00283A5E">
      <w:pPr>
        <w:pStyle w:val="SingleTxtG"/>
      </w:pPr>
      <w:r>
        <w:t xml:space="preserve">6. </w:t>
      </w:r>
      <w:r>
        <w:tab/>
        <w:t>По предложению представителей Германии, Швейцарии и Франции</w:t>
      </w:r>
      <w:r w:rsidRPr="00CE2B9E">
        <w:t xml:space="preserve"> </w:t>
      </w:r>
      <w:r>
        <w:t>Административный комитет</w:t>
      </w:r>
      <w:r w:rsidRPr="00CE2B9E">
        <w:t xml:space="preserve"> </w:t>
      </w:r>
      <w:r>
        <w:t>избрал г-на Х. Лангенберга (Нидерланды) Председателем и вновь избрал г-на Б. Биркльхубера (Австрия) заместителем Председателя для своих сессий в 2019 году.</w:t>
      </w:r>
    </w:p>
    <w:p w14:paraId="17FF89EB" w14:textId="77777777" w:rsidR="00283A5E" w:rsidRPr="00064FF8" w:rsidRDefault="00283A5E" w:rsidP="00283A5E">
      <w:pPr>
        <w:pStyle w:val="HChG"/>
        <w:keepNext w:val="0"/>
        <w:keepLines w:val="0"/>
        <w:rPr>
          <w:snapToGrid w:val="0"/>
        </w:rPr>
      </w:pPr>
      <w:r>
        <w:tab/>
        <w:t>IV.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 (пункт 3 повестки дня)</w:t>
      </w:r>
    </w:p>
    <w:p w14:paraId="415AB072" w14:textId="77777777" w:rsidR="00283A5E" w:rsidRPr="00064FF8" w:rsidRDefault="00283A5E" w:rsidP="00283A5E">
      <w:pPr>
        <w:pStyle w:val="SingleTxtG"/>
      </w:pPr>
      <w:r>
        <w:t>7.</w:t>
      </w:r>
      <w:r>
        <w:tab/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</w:t>
      </w:r>
      <w:r w:rsidRPr="00C60483">
        <w:t xml:space="preserve"> </w:t>
      </w:r>
      <w:r>
        <w:t>Словакия, Украина, Франция, Хорватия, Чешская Республика и Швейцария.</w:t>
      </w:r>
    </w:p>
    <w:p w14:paraId="4F2FE878" w14:textId="77777777" w:rsidR="00283A5E" w:rsidRPr="00084DAF" w:rsidRDefault="00283A5E" w:rsidP="00283A5E">
      <w:pPr>
        <w:pStyle w:val="SingleTxtG"/>
      </w:pPr>
      <w:r>
        <w:t>8.</w:t>
      </w:r>
      <w:r>
        <w:tab/>
        <w:t xml:space="preserve">Комитет отметил, что предлагаемые поправки, принятые на его </w:t>
      </w:r>
      <w:r>
        <w:br/>
        <w:t>двух предыдущих сессиях (ECE/ADN/45 и ECE/ADN/45/Add.1), вступили в силу 1</w:t>
      </w:r>
      <w:r w:rsidR="00F80F29">
        <w:t> </w:t>
      </w:r>
      <w:r>
        <w:t xml:space="preserve">января 2019 года (уведомления депозитария C.N.489.2018.TREATIES-XI-D-6 и C.N.583.2018.TREATIES-XI-D-6). Он также отметил, что предлагаемые исправления, содержащиеся в документах ECE/ADN/45/Corr.1, ECE/TRANS/WP.15/AC.2/64/Add.1 (приложение II) и ECE/TRANS/WP.15/AC.2/68 (приложение IV), были внесены </w:t>
      </w:r>
      <w:r w:rsidRPr="00283A5E">
        <w:rPr>
          <w:spacing w:val="-4"/>
        </w:rPr>
        <w:t>(уведомления депозитария C.N.637.2018.TREATIES-XI.D.6 и C.N.636.2018.TREATIES-XI.D.6).</w:t>
      </w:r>
    </w:p>
    <w:p w14:paraId="7BF62260" w14:textId="77777777" w:rsidR="00283A5E" w:rsidRPr="00064FF8" w:rsidRDefault="00283A5E" w:rsidP="00283A5E">
      <w:pPr>
        <w:pStyle w:val="HChG"/>
        <w:spacing w:before="280"/>
        <w:rPr>
          <w:snapToGrid w:val="0"/>
        </w:rPr>
      </w:pPr>
      <w:r>
        <w:lastRenderedPageBreak/>
        <w:tab/>
        <w:t>V.</w:t>
      </w:r>
      <w:r>
        <w:tab/>
      </w:r>
      <w:r>
        <w:rPr>
          <w:bCs/>
        </w:rPr>
        <w:t xml:space="preserve">Вопросы, относящиеся к осуществлению ВОПОГ </w:t>
      </w:r>
      <w:r>
        <w:rPr>
          <w:bCs/>
        </w:rPr>
        <w:br/>
        <w:t>(пункт 4 повестки дня)</w:t>
      </w:r>
    </w:p>
    <w:p w14:paraId="2C91B476" w14:textId="77777777" w:rsidR="00283A5E" w:rsidRPr="00064FF8" w:rsidRDefault="00283A5E" w:rsidP="00283A5E">
      <w:pPr>
        <w:pStyle w:val="H1G"/>
        <w:spacing w:before="280"/>
        <w:rPr>
          <w:snapToGrid w:val="0"/>
        </w:rPr>
      </w:pPr>
      <w:r>
        <w:tab/>
        <w:t>A.</w:t>
      </w:r>
      <w:r>
        <w:tab/>
      </w:r>
      <w:r>
        <w:rPr>
          <w:bCs/>
        </w:rPr>
        <w:t>Классификационные общества</w:t>
      </w:r>
      <w:r>
        <w:t xml:space="preserve"> </w:t>
      </w:r>
    </w:p>
    <w:p w14:paraId="6CC4E8CF" w14:textId="77777777" w:rsidR="00283A5E" w:rsidRPr="00064FF8" w:rsidRDefault="00283A5E" w:rsidP="00283A5E">
      <w:pPr>
        <w:pStyle w:val="H23G"/>
      </w:pPr>
      <w:r>
        <w:tab/>
        <w:t>1.</w:t>
      </w:r>
      <w:r>
        <w:tab/>
      </w:r>
      <w:r>
        <w:rPr>
          <w:bCs/>
        </w:rPr>
        <w:t>Соответствие стандарту ISO/IEC 17020:2012</w:t>
      </w:r>
      <w:r>
        <w:t xml:space="preserve"> </w:t>
      </w:r>
    </w:p>
    <w:p w14:paraId="59243426" w14:textId="77777777" w:rsidR="00283A5E" w:rsidRPr="00064FF8" w:rsidRDefault="00283A5E" w:rsidP="00283A5E">
      <w:pPr>
        <w:tabs>
          <w:tab w:val="left" w:pos="3402"/>
        </w:tabs>
        <w:spacing w:after="240"/>
        <w:ind w:left="567" w:firstLine="567"/>
      </w:pPr>
      <w:r>
        <w:rPr>
          <w:i/>
          <w:iCs/>
        </w:rPr>
        <w:t>Неофициальный документ:</w:t>
      </w:r>
      <w:r>
        <w:t xml:space="preserve"> </w:t>
      </w:r>
      <w:r>
        <w:tab/>
        <w:t>INF.1 (Российская Федерация)</w:t>
      </w:r>
    </w:p>
    <w:p w14:paraId="5CF185D2" w14:textId="77777777" w:rsidR="00283A5E" w:rsidRPr="00064FF8" w:rsidRDefault="00283A5E" w:rsidP="00283A5E">
      <w:pPr>
        <w:pStyle w:val="SingleTxtG"/>
      </w:pPr>
      <w:r>
        <w:t>9.</w:t>
      </w:r>
      <w:r>
        <w:tab/>
        <w:t xml:space="preserve">Административный комитет принял к сведению полученный Российским Речным Регистром сертификат о соответствии требованиям стандарта </w:t>
      </w:r>
      <w:r>
        <w:br/>
        <w:t xml:space="preserve">EN ISO/IEC 17020:2012. </w:t>
      </w:r>
    </w:p>
    <w:p w14:paraId="38A7B855" w14:textId="77777777" w:rsidR="00283A5E" w:rsidRPr="00064FF8" w:rsidRDefault="00283A5E" w:rsidP="00283A5E">
      <w:pPr>
        <w:pStyle w:val="SingleTxtG"/>
      </w:pPr>
      <w:r>
        <w:t>10.</w:t>
      </w:r>
      <w:r>
        <w:tab/>
        <w:t xml:space="preserve">Административный комитет напомнил, что все рекомендованные классификационные общества должны представить доказательства такой сертификации. </w:t>
      </w:r>
    </w:p>
    <w:p w14:paraId="15577610" w14:textId="77777777" w:rsidR="00283A5E" w:rsidRPr="00064FF8" w:rsidRDefault="00283A5E" w:rsidP="00283A5E">
      <w:pPr>
        <w:pStyle w:val="H23G"/>
      </w:pPr>
      <w:r>
        <w:tab/>
        <w:t xml:space="preserve">2. </w:t>
      </w:r>
      <w:r>
        <w:tab/>
        <w:t xml:space="preserve">Признание классификационных обществ </w:t>
      </w:r>
    </w:p>
    <w:p w14:paraId="57590DD7" w14:textId="77777777" w:rsidR="00283A5E" w:rsidRPr="00064FF8" w:rsidRDefault="00283A5E" w:rsidP="00283A5E">
      <w:pPr>
        <w:tabs>
          <w:tab w:val="left" w:pos="3402"/>
        </w:tabs>
        <w:spacing w:after="120"/>
        <w:ind w:left="567" w:firstLine="567"/>
      </w:pPr>
      <w:r>
        <w:rPr>
          <w:i/>
          <w:iCs/>
        </w:rPr>
        <w:t>Неофициальный документ:</w:t>
      </w:r>
      <w:r>
        <w:t xml:space="preserve"> </w:t>
      </w:r>
      <w:r>
        <w:tab/>
        <w:t>INF.3 (Нидерланды)</w:t>
      </w:r>
    </w:p>
    <w:p w14:paraId="0E74DCA2" w14:textId="77777777" w:rsidR="00283A5E" w:rsidRPr="00064FF8" w:rsidRDefault="00283A5E" w:rsidP="00283A5E">
      <w:pPr>
        <w:pStyle w:val="SingleTxtG"/>
      </w:pPr>
      <w:r>
        <w:t>11.</w:t>
      </w:r>
      <w:r>
        <w:tab/>
        <w:t xml:space="preserve">Административный комитет был проинформирован о том, что 14 и 15 ноября 2018 года в Вене состоялось совещание Комитета экспертов для рассмотрения ходатайства Хорватии о включении Хорватского регистра судоходства в список классификационных обществ, рекомендованных для признания, в соответствии с главой 1.15 Правил, прилагаемых к ВОПОГ. </w:t>
      </w:r>
    </w:p>
    <w:p w14:paraId="3440D911" w14:textId="77777777" w:rsidR="00283A5E" w:rsidRPr="00084DAF" w:rsidRDefault="00283A5E" w:rsidP="00283A5E">
      <w:pPr>
        <w:pStyle w:val="SingleTxtG"/>
      </w:pPr>
      <w:r>
        <w:t>12.</w:t>
      </w:r>
      <w:r>
        <w:tab/>
        <w:t xml:space="preserve">Административный комитет принял к сведению данную информацию </w:t>
      </w:r>
      <w:r w:rsidR="00E60819">
        <w:br/>
      </w:r>
      <w:r>
        <w:t xml:space="preserve">и рекомендацию Комитета экспертов, содержащуюся в неофициальном </w:t>
      </w:r>
      <w:r w:rsidR="00E60819">
        <w:br/>
      </w:r>
      <w:r>
        <w:t xml:space="preserve">документе INF.3. В результате проведенного голосования предложение о включении Хорватского регистра судоходства в список классификационных обществ, рекомендованных для признания, было принято большинством присутствующих и участвующих в голосовании членов. </w:t>
      </w:r>
    </w:p>
    <w:p w14:paraId="36D42D14" w14:textId="77777777" w:rsidR="00283A5E" w:rsidRPr="00064FF8" w:rsidRDefault="00283A5E" w:rsidP="00283A5E">
      <w:pPr>
        <w:pStyle w:val="SingleTxtG"/>
      </w:pPr>
      <w:bookmarkStart w:id="2" w:name="_Hlk1028009"/>
      <w:r>
        <w:t>13.</w:t>
      </w:r>
      <w:r>
        <w:tab/>
        <w:t>Некоторые делегации с озабоченностью отметили, что выводы Комитета экспертов были распространены довольно поздно в неофициальном документе, и</w:t>
      </w:r>
      <w:r>
        <w:rPr>
          <w:lang w:val="en-US"/>
        </w:rPr>
        <w:t> </w:t>
      </w:r>
      <w:r>
        <w:t>выразили пожелание, чтобы в будущем такого рода информация представлялась в официальном документе. Административный комитет принял к сведению эту просьбу.</w:t>
      </w:r>
    </w:p>
    <w:bookmarkEnd w:id="2"/>
    <w:p w14:paraId="04D2322F" w14:textId="77777777" w:rsidR="00283A5E" w:rsidRPr="00064FF8" w:rsidRDefault="00283A5E" w:rsidP="00283A5E">
      <w:pPr>
        <w:pStyle w:val="SingleTxtG"/>
      </w:pPr>
      <w:r>
        <w:t>14.</w:t>
      </w:r>
      <w:r>
        <w:tab/>
        <w:t>Было отмечено, что списки рекомендованных и признанных классификационных обществ размещены на веб-сайте секретариата по следующему адресу www.unece.org/trans/danger/publi/adn/adnclassifications.html.</w:t>
      </w:r>
    </w:p>
    <w:p w14:paraId="0EDBE75B" w14:textId="77777777" w:rsidR="00283A5E" w:rsidRPr="00064FF8" w:rsidRDefault="00283A5E" w:rsidP="00283A5E">
      <w:pPr>
        <w:pStyle w:val="H1G"/>
        <w:rPr>
          <w:snapToGrid w:val="0"/>
        </w:rPr>
      </w:pPr>
      <w:r>
        <w:tab/>
        <w:t>B.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p w14:paraId="25473CF7" w14:textId="77777777" w:rsidR="00283A5E" w:rsidRPr="00064FF8" w:rsidRDefault="00283A5E" w:rsidP="00283A5E">
      <w:pPr>
        <w:pStyle w:val="SingleTxtG"/>
        <w:rPr>
          <w:snapToGrid w:val="0"/>
        </w:rPr>
      </w:pPr>
      <w:r>
        <w:t>15.</w:t>
      </w:r>
      <w:r>
        <w:tab/>
        <w:t xml:space="preserve">Административный комитет не получал никаких запросов на специальные разрешения, отступления и эквивалентные аналоги для рассмотрения на текущей сессии. </w:t>
      </w:r>
    </w:p>
    <w:p w14:paraId="38FA9E55" w14:textId="77777777" w:rsidR="00283A5E" w:rsidRPr="00064FF8" w:rsidRDefault="00283A5E" w:rsidP="00283A5E">
      <w:pPr>
        <w:pStyle w:val="SingleTxtG"/>
        <w:rPr>
          <w:snapToGrid w:val="0"/>
        </w:rPr>
      </w:pPr>
      <w:r>
        <w:t>16.</w:t>
      </w:r>
      <w:r>
        <w:tab/>
        <w:t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веб-сайте секретариата по следующему адресу http://www.unece.org/trans/danger/danger.html.</w:t>
      </w:r>
    </w:p>
    <w:p w14:paraId="0198EB1D" w14:textId="77777777" w:rsidR="00283A5E" w:rsidRDefault="00283A5E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14:paraId="62806EE8" w14:textId="77777777" w:rsidR="00283A5E" w:rsidRPr="00064FF8" w:rsidRDefault="00283A5E" w:rsidP="00283A5E">
      <w:pPr>
        <w:pStyle w:val="H1G"/>
      </w:pPr>
      <w:r>
        <w:lastRenderedPageBreak/>
        <w:tab/>
        <w:t>C.</w:t>
      </w:r>
      <w:r>
        <w:tab/>
      </w:r>
      <w:r>
        <w:rPr>
          <w:bCs/>
        </w:rPr>
        <w:t>Различные уведомления</w:t>
      </w:r>
    </w:p>
    <w:p w14:paraId="742B9D09" w14:textId="77777777" w:rsidR="00283A5E" w:rsidRPr="00064FF8" w:rsidRDefault="00283A5E" w:rsidP="00283A5E">
      <w:pPr>
        <w:pStyle w:val="H23G"/>
      </w:pPr>
      <w:r>
        <w:tab/>
        <w:t>1.</w:t>
      </w:r>
      <w:r>
        <w:tab/>
      </w:r>
      <w:r>
        <w:rPr>
          <w:bCs/>
        </w:rPr>
        <w:t>Статистические данные, касающиеся экзаменов</w:t>
      </w:r>
    </w:p>
    <w:p w14:paraId="48345702" w14:textId="77777777" w:rsidR="00283A5E" w:rsidRPr="00064FF8" w:rsidRDefault="00283A5E" w:rsidP="00283A5E">
      <w:pPr>
        <w:tabs>
          <w:tab w:val="left" w:pos="1134"/>
          <w:tab w:val="left" w:pos="3402"/>
        </w:tabs>
        <w:spacing w:after="240"/>
        <w:ind w:left="567"/>
      </w:pPr>
      <w:r>
        <w:rPr>
          <w:i/>
          <w:iCs/>
        </w:rPr>
        <w:tab/>
      </w:r>
      <w:r w:rsidRPr="00283A5E">
        <w:rPr>
          <w:i/>
          <w:iCs/>
        </w:rPr>
        <w:t>Д</w:t>
      </w:r>
      <w:r w:rsidRPr="00283A5E">
        <w:rPr>
          <w:rStyle w:val="SingleTxtGChar"/>
          <w:i/>
        </w:rPr>
        <w:t xml:space="preserve">окумент: </w:t>
      </w:r>
      <w:r w:rsidRPr="00283A5E">
        <w:rPr>
          <w:rStyle w:val="SingleTxtGChar"/>
        </w:rPr>
        <w:tab/>
      </w:r>
      <w:r>
        <w:rPr>
          <w:rStyle w:val="SingleTxtGChar"/>
        </w:rPr>
        <w:tab/>
      </w:r>
      <w:r w:rsidRPr="00283A5E">
        <w:rPr>
          <w:rStyle w:val="SingleTxtGChar"/>
        </w:rPr>
        <w:tab/>
        <w:t>ECE/ADN/2019/1 (Чешская Республика)</w:t>
      </w:r>
      <w:r>
        <w:rPr>
          <w:rStyle w:val="SingleTxtGChar"/>
        </w:rPr>
        <w:br/>
      </w:r>
      <w:r w:rsidRPr="00283A5E">
        <w:rPr>
          <w:rStyle w:val="SingleTxtGChar"/>
        </w:rPr>
        <w:tab/>
      </w:r>
      <w:r w:rsidRPr="00283A5E">
        <w:rPr>
          <w:rStyle w:val="SingleTxtGChar"/>
          <w:i/>
        </w:rPr>
        <w:t>Н</w:t>
      </w:r>
      <w:r w:rsidRPr="00283A5E">
        <w:rPr>
          <w:i/>
          <w:iCs/>
        </w:rPr>
        <w:t>еофициальный документ:</w:t>
      </w:r>
      <w:r w:rsidRPr="00283A5E">
        <w:rPr>
          <w:i/>
        </w:rPr>
        <w:t xml:space="preserve"> </w:t>
      </w:r>
      <w:r>
        <w:tab/>
        <w:t>INF.2 (Нидерланды)</w:t>
      </w:r>
    </w:p>
    <w:p w14:paraId="1AFAC191" w14:textId="77777777" w:rsidR="00283A5E" w:rsidRPr="00064FF8" w:rsidRDefault="00283A5E" w:rsidP="00283A5E">
      <w:pPr>
        <w:pStyle w:val="SingleTxtG"/>
        <w:rPr>
          <w:snapToGrid w:val="0"/>
        </w:rPr>
      </w:pPr>
      <w:r>
        <w:t>17.</w:t>
      </w:r>
      <w:r>
        <w:tab/>
        <w:t>Административный комитет принял к сведению статистические данные об экзаменах, представленные Чешской Республикой и Нидерландами.</w:t>
      </w:r>
    </w:p>
    <w:p w14:paraId="20E0A95A" w14:textId="77777777" w:rsidR="00283A5E" w:rsidRPr="00064FF8" w:rsidRDefault="00283A5E" w:rsidP="00283A5E">
      <w:pPr>
        <w:pStyle w:val="H23G"/>
      </w:pPr>
      <w:r>
        <w:tab/>
        <w:t>2.</w:t>
      </w:r>
      <w:r>
        <w:tab/>
      </w:r>
      <w:r>
        <w:rPr>
          <w:bCs/>
        </w:rPr>
        <w:t>Другие уведомления</w:t>
      </w:r>
      <w:r>
        <w:t xml:space="preserve"> </w:t>
      </w:r>
    </w:p>
    <w:p w14:paraId="65CD94B8" w14:textId="77777777" w:rsidR="00283A5E" w:rsidRPr="00064FF8" w:rsidRDefault="00283A5E" w:rsidP="00283A5E">
      <w:pPr>
        <w:pStyle w:val="SingleTxtG"/>
        <w:rPr>
          <w:snapToGrid w:val="0"/>
        </w:rPr>
      </w:pPr>
      <w:r>
        <w:t>18.</w:t>
      </w:r>
      <w:r>
        <w:tab/>
        <w:t xml:space="preserve">Административный 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список, </w:t>
      </w:r>
      <w:r w:rsidR="00E60819">
        <w:br/>
      </w:r>
      <w:r>
        <w:t>в соответствии с пунктом 1.15.2.4 прилагаемых Правил, если они еще не сделали этого.</w:t>
      </w:r>
    </w:p>
    <w:p w14:paraId="1ACF4B6F" w14:textId="77777777" w:rsidR="00283A5E" w:rsidRPr="00064FF8" w:rsidRDefault="00283A5E" w:rsidP="00283A5E">
      <w:pPr>
        <w:pStyle w:val="SingleTxtG"/>
        <w:rPr>
          <w:snapToGrid w:val="0"/>
        </w:rPr>
      </w:pPr>
      <w:r>
        <w:t>19.</w:t>
      </w:r>
      <w:r>
        <w:tab/>
        <w:t>Участникам напомнили, что в соответствии с пунктом 1.16.4.3 Правил, прилагаемых к ВОПОГ, Административный комитет должен вести обновляемый список назначенных органов по освидетельствованию. С информацией, полученной на данный момент, можно ознакомиться на веб-сайте секретариата по адресу http://www.unece.org/trans/danger/danger.html.</w:t>
      </w:r>
    </w:p>
    <w:p w14:paraId="1D8DAD14" w14:textId="77777777" w:rsidR="00283A5E" w:rsidRPr="00064FF8" w:rsidRDefault="00283A5E" w:rsidP="00283A5E">
      <w:pPr>
        <w:pStyle w:val="SingleTxtG"/>
      </w:pPr>
      <w:r>
        <w:t>20.</w:t>
      </w:r>
      <w:r>
        <w:tab/>
        <w:t>Участникам напомнили, что с образцами сертификатов экспертов, полученными секретариатом, можно ознакомиться на веб-сайте ЕЭК ООН по следующему адресу: http://www.unece.org/trans/danger/publi/adn/model_expert_ certificates.html. Договаривающимся сторонам, которые еще не сделали этого, было предложено направить в секретариат свои образцы свидетельств экспертов и статистические данные об экзаменах по ВОПОГ.</w:t>
      </w:r>
    </w:p>
    <w:p w14:paraId="5F35A43E" w14:textId="77777777" w:rsidR="00283A5E" w:rsidRPr="00064FF8" w:rsidRDefault="00283A5E" w:rsidP="00283A5E">
      <w:pPr>
        <w:pStyle w:val="H1G"/>
        <w:rPr>
          <w:snapToGrid w:val="0"/>
        </w:rPr>
      </w:pPr>
      <w:r>
        <w:tab/>
        <w:t>D.</w:t>
      </w:r>
      <w:r>
        <w:tab/>
      </w:r>
      <w:r>
        <w:rPr>
          <w:bCs/>
        </w:rPr>
        <w:t>Прочие вопросы</w:t>
      </w:r>
    </w:p>
    <w:p w14:paraId="27EABF68" w14:textId="77777777" w:rsidR="00283A5E" w:rsidRPr="00064FF8" w:rsidRDefault="00283A5E" w:rsidP="00283A5E">
      <w:pPr>
        <w:pStyle w:val="SingleTxtG"/>
      </w:pPr>
      <w:r>
        <w:t>21.</w:t>
      </w:r>
      <w:r>
        <w:tab/>
        <w:t>В рамках этого пункта никакие другие вопросы не обсуждались.</w:t>
      </w:r>
    </w:p>
    <w:p w14:paraId="73BDCD4C" w14:textId="77777777" w:rsidR="00283A5E" w:rsidRPr="00064FF8" w:rsidRDefault="00283A5E" w:rsidP="00283A5E">
      <w:pPr>
        <w:pStyle w:val="HChG"/>
        <w:rPr>
          <w:snapToGrid w:val="0"/>
        </w:rPr>
      </w:pPr>
      <w:r>
        <w:tab/>
        <w:t>VI.</w:t>
      </w:r>
      <w:r>
        <w:tab/>
      </w:r>
      <w:r>
        <w:rPr>
          <w:bCs/>
        </w:rPr>
        <w:t xml:space="preserve">Работа Комитета по вопросам безопасности </w:t>
      </w:r>
      <w:r>
        <w:rPr>
          <w:bCs/>
        </w:rPr>
        <w:br/>
        <w:t>(пункт 5 повестки дня)</w:t>
      </w:r>
    </w:p>
    <w:p w14:paraId="5379D89D" w14:textId="77777777" w:rsidR="00283A5E" w:rsidRPr="00084DAF" w:rsidRDefault="00283A5E" w:rsidP="00283A5E">
      <w:pPr>
        <w:pStyle w:val="SingleTxtG"/>
      </w:pPr>
      <w:r>
        <w:t>22.</w:t>
      </w:r>
      <w:r>
        <w:tab/>
        <w:t>Административный комитет принял к сведению результаты работы Комитета по вопросам безопасности, изложенные в докладе о работе его тридцать четвертой сессии, который был одобрен им на основе проекта доклада, подготовленного секретариатом (ECE/TRANS/WP.15/AC.2/2019/CRP.1 и Add.1–5 и ECE/TRANS/</w:t>
      </w:r>
      <w:r>
        <w:br/>
        <w:t xml:space="preserve">WP.15/AC.2/2019/CRP.2 и Add.1) и утвержденного в ходе чтения доклада (ECE/TRANS/WP.15/AC.2/70). </w:t>
      </w:r>
    </w:p>
    <w:p w14:paraId="0477F08E" w14:textId="77777777" w:rsidR="00283A5E" w:rsidRPr="00064FF8" w:rsidRDefault="00283A5E" w:rsidP="00283A5E">
      <w:pPr>
        <w:pStyle w:val="SingleTxtG"/>
      </w:pPr>
      <w:r>
        <w:t>23.</w:t>
      </w:r>
      <w:r>
        <w:tab/>
        <w:t xml:space="preserve">Он также одобрил предлагаемые поправки к Правилам, прилагаемым к ВОПОГ, для включения в сводный проект поправок, которые он должен будет рассмотреть на своей двадцать четвертой сессии в январе 2020 года с целью официального утверждения и последующей передачи Договаривающимся сторонам для принятия и введения в действие 1 января 2021 года в том виде, в котором они содержатся в приложении I к указанному докладу. Он также одобрил исправления к изданию ВОПОГ 2019 года (не требующие принятия Договаривающимися сторонами), перечисленные в приложении II, а также предлагаемые исправления к Правилам, прилагаемым к ВОПОГ, перечисленные в приложении III (требующие принятия Договаривающимися сторонами), и просил секретариат организовать их сообщение Договаривающимся сторонам, с тем чтобы тексты могли быть исправлены как можно скорее в соответствии с обычной процедурой внесения исправлений. </w:t>
      </w:r>
    </w:p>
    <w:p w14:paraId="0854322F" w14:textId="77777777" w:rsidR="00283A5E" w:rsidRPr="00064FF8" w:rsidRDefault="00283A5E" w:rsidP="00283A5E">
      <w:pPr>
        <w:pStyle w:val="HChG"/>
        <w:rPr>
          <w:snapToGrid w:val="0"/>
        </w:rPr>
      </w:pPr>
      <w:r>
        <w:lastRenderedPageBreak/>
        <w:tab/>
        <w:t>VII.</w:t>
      </w:r>
      <w:r>
        <w:tab/>
      </w:r>
      <w:r>
        <w:rPr>
          <w:bCs/>
        </w:rPr>
        <w:t xml:space="preserve">Программа работы и расписание совещаний </w:t>
      </w:r>
      <w:r>
        <w:rPr>
          <w:bCs/>
        </w:rPr>
        <w:br/>
        <w:t>(пункт 6 повестки дня)</w:t>
      </w:r>
    </w:p>
    <w:p w14:paraId="2115EA33" w14:textId="77777777" w:rsidR="00283A5E" w:rsidRPr="00064FF8" w:rsidRDefault="00283A5E" w:rsidP="00283A5E">
      <w:pPr>
        <w:pStyle w:val="SingleTxtG"/>
      </w:pPr>
      <w:r>
        <w:t>24.</w:t>
      </w:r>
      <w:r>
        <w:tab/>
        <w:t>Административный комитет постановил провести свою следующую сессию 30</w:t>
      </w:r>
      <w:r>
        <w:rPr>
          <w:lang w:val="en-US"/>
        </w:rPr>
        <w:t> </w:t>
      </w:r>
      <w:r>
        <w:t>августа 2019 года (с 12 ч 00 мин до 13 ч 00 мин) и отметил, что крайним сроком представления документов является 31 мая 2019 года.</w:t>
      </w:r>
    </w:p>
    <w:p w14:paraId="60C6780C" w14:textId="77777777" w:rsidR="00283A5E" w:rsidRPr="00064FF8" w:rsidRDefault="00283A5E" w:rsidP="00283A5E">
      <w:pPr>
        <w:pStyle w:val="HChG"/>
        <w:rPr>
          <w:snapToGrid w:val="0"/>
        </w:rPr>
      </w:pPr>
      <w:r>
        <w:tab/>
        <w:t>VIII.</w:t>
      </w:r>
      <w:r>
        <w:tab/>
      </w:r>
      <w:r>
        <w:rPr>
          <w:bCs/>
        </w:rPr>
        <w:t>Прочие вопросы (пункт 7 повестки дня)</w:t>
      </w:r>
    </w:p>
    <w:p w14:paraId="38F8562D" w14:textId="77777777" w:rsidR="00283A5E" w:rsidRPr="00064FF8" w:rsidRDefault="00283A5E" w:rsidP="00283A5E">
      <w:pPr>
        <w:pStyle w:val="H1G"/>
      </w:pPr>
      <w:r>
        <w:tab/>
        <w:t>A.</w:t>
      </w:r>
      <w:r>
        <w:tab/>
      </w:r>
      <w:r>
        <w:tab/>
      </w:r>
      <w:r>
        <w:rPr>
          <w:bCs/>
        </w:rPr>
        <w:t>Работа Комитета по внутреннему транспорту</w:t>
      </w:r>
      <w:r>
        <w:t xml:space="preserve"> </w:t>
      </w:r>
    </w:p>
    <w:p w14:paraId="2A0ED2D1" w14:textId="77777777" w:rsidR="00283A5E" w:rsidRPr="00E60819" w:rsidRDefault="00283A5E" w:rsidP="00283A5E">
      <w:pPr>
        <w:pStyle w:val="SingleTxtG"/>
      </w:pPr>
      <w:bookmarkStart w:id="3" w:name="_Hlk535760431"/>
      <w:r>
        <w:t>25.</w:t>
      </w:r>
      <w:r>
        <w:tab/>
        <w:t xml:space="preserve">Административный комитет был проинформирован о том, что восемьдесят первая сессия Комитета по внутреннему транспорту будет проведена в Женеве </w:t>
      </w:r>
      <w:r>
        <w:br/>
        <w:t>19–22 февраля 2019 года. Было отмечено, что в дополнение к вопросам, касающимся его работы и работы его вспомогательных органов, Комитет будет иметь возможность рассмотреть и принять свою стратегию и план действий на период до 2030 года и пересмотреть свой круг ведения. Аннотированная предварительная повестка дня (ECE/TRANS/287/Add.1), а также документация для указанной сессии размещены на веб-сайте секретариата ЕЭК ООН</w:t>
      </w:r>
      <w:r>
        <w:rPr>
          <w:rStyle w:val="FootnoteReference"/>
        </w:rPr>
        <w:footnoteReference w:id="2"/>
      </w:r>
      <w:r w:rsidR="00E60819" w:rsidRPr="00E60819">
        <w:t>.</w:t>
      </w:r>
    </w:p>
    <w:bookmarkEnd w:id="3"/>
    <w:p w14:paraId="15BA66EF" w14:textId="77777777" w:rsidR="00283A5E" w:rsidRPr="00064FF8" w:rsidRDefault="00283A5E" w:rsidP="00283A5E">
      <w:pPr>
        <w:pStyle w:val="H1G"/>
      </w:pPr>
      <w:r>
        <w:tab/>
        <w:t>B.</w:t>
      </w:r>
      <w:r>
        <w:tab/>
      </w:r>
      <w:r>
        <w:rPr>
          <w:bCs/>
        </w:rPr>
        <w:t>Издание ВОПОГ 2019 года</w:t>
      </w:r>
    </w:p>
    <w:p w14:paraId="2B0B8B7C" w14:textId="77777777" w:rsidR="00283A5E" w:rsidRPr="00283A5E" w:rsidRDefault="00283A5E" w:rsidP="00283A5E">
      <w:pPr>
        <w:pStyle w:val="SingleTxtG"/>
      </w:pPr>
      <w:r>
        <w:t>26.</w:t>
      </w:r>
      <w:r>
        <w:tab/>
        <w:t xml:space="preserve">Административный комитет с удовлетворением отметил, что секретариат опубликовал издание ВОПОГ 2019 года и что электронные версии имеются на </w:t>
      </w:r>
      <w:r>
        <w:br/>
        <w:t>веб-сайте</w:t>
      </w:r>
      <w:r w:rsidRPr="000F3715">
        <w:rPr>
          <w:rStyle w:val="FootnoteReference"/>
        </w:rPr>
        <w:footnoteReference w:id="3"/>
      </w:r>
      <w:r w:rsidRPr="00283A5E">
        <w:t>.</w:t>
      </w:r>
    </w:p>
    <w:p w14:paraId="74F2D169" w14:textId="77777777" w:rsidR="00283A5E" w:rsidRPr="00064FF8" w:rsidRDefault="00283A5E" w:rsidP="00283A5E">
      <w:pPr>
        <w:pStyle w:val="HChG"/>
        <w:rPr>
          <w:snapToGrid w:val="0"/>
        </w:rPr>
      </w:pPr>
      <w:r>
        <w:tab/>
        <w:t>IX.</w:t>
      </w:r>
      <w:r>
        <w:tab/>
      </w:r>
      <w:r>
        <w:rPr>
          <w:bCs/>
        </w:rPr>
        <w:t>Утверждение доклада (пункт 8 повестки дня)</w:t>
      </w:r>
    </w:p>
    <w:p w14:paraId="2258A048" w14:textId="77777777" w:rsidR="00283A5E" w:rsidRPr="00084DAF" w:rsidRDefault="00283A5E" w:rsidP="00283A5E">
      <w:pPr>
        <w:pStyle w:val="SingleTxtG"/>
        <w:rPr>
          <w:snapToGrid w:val="0"/>
        </w:rPr>
      </w:pPr>
      <w:r>
        <w:t>27.</w:t>
      </w:r>
      <w:r>
        <w:tab/>
        <w:t>Административный комитет утвердил доклад о работе своей двадцать второй сессии на основе проекта, подготовленного секретариатом и разосланного делегациям для одобрения по электронной почте после сессии.</w:t>
      </w:r>
    </w:p>
    <w:p w14:paraId="3D09BCCD" w14:textId="77777777" w:rsidR="00283A5E" w:rsidRPr="00084DAF" w:rsidRDefault="00283A5E" w:rsidP="00283A5E">
      <w:pPr>
        <w:pStyle w:val="SingleTxtG"/>
        <w:spacing w:before="240" w:after="0"/>
        <w:jc w:val="center"/>
        <w:rPr>
          <w:snapToGrid w:val="0"/>
          <w:u w:val="single"/>
        </w:rPr>
      </w:pPr>
      <w:r w:rsidRPr="00084DAF">
        <w:rPr>
          <w:snapToGrid w:val="0"/>
          <w:u w:val="single"/>
        </w:rPr>
        <w:tab/>
      </w:r>
      <w:r w:rsidRPr="00084DAF">
        <w:rPr>
          <w:snapToGrid w:val="0"/>
          <w:u w:val="single"/>
        </w:rPr>
        <w:tab/>
      </w:r>
      <w:r w:rsidRPr="00084DAF">
        <w:rPr>
          <w:snapToGrid w:val="0"/>
          <w:u w:val="single"/>
        </w:rPr>
        <w:tab/>
      </w:r>
      <w:r w:rsidRPr="00084DAF">
        <w:rPr>
          <w:snapToGrid w:val="0"/>
          <w:u w:val="single"/>
        </w:rPr>
        <w:tab/>
      </w:r>
    </w:p>
    <w:bookmarkEnd w:id="1"/>
    <w:p w14:paraId="399CEBB9" w14:textId="77777777" w:rsidR="00E12C5F" w:rsidRPr="008D53B6" w:rsidRDefault="00E12C5F" w:rsidP="00D9145B"/>
    <w:sectPr w:rsidR="00E12C5F" w:rsidRPr="008D53B6" w:rsidSect="00283A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79DE" w14:textId="77777777" w:rsidR="00712B72" w:rsidRPr="00A312BC" w:rsidRDefault="00712B72" w:rsidP="00A312BC"/>
  </w:endnote>
  <w:endnote w:type="continuationSeparator" w:id="0">
    <w:p w14:paraId="6A11FFDD" w14:textId="77777777" w:rsidR="00712B72" w:rsidRPr="00A312BC" w:rsidRDefault="00712B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84B9" w14:textId="77777777" w:rsidR="00283A5E" w:rsidRPr="00283A5E" w:rsidRDefault="00283A5E">
    <w:pPr>
      <w:pStyle w:val="Footer"/>
    </w:pPr>
    <w:r w:rsidRPr="00283A5E">
      <w:rPr>
        <w:b/>
        <w:sz w:val="18"/>
      </w:rPr>
      <w:fldChar w:fldCharType="begin"/>
    </w:r>
    <w:r w:rsidRPr="00283A5E">
      <w:rPr>
        <w:b/>
        <w:sz w:val="18"/>
      </w:rPr>
      <w:instrText xml:space="preserve"> PAGE  \* MERGEFORMAT </w:instrText>
    </w:r>
    <w:r w:rsidRPr="00283A5E">
      <w:rPr>
        <w:b/>
        <w:sz w:val="18"/>
      </w:rPr>
      <w:fldChar w:fldCharType="separate"/>
    </w:r>
    <w:r w:rsidRPr="00283A5E">
      <w:rPr>
        <w:b/>
        <w:noProof/>
        <w:sz w:val="18"/>
      </w:rPr>
      <w:t>2</w:t>
    </w:r>
    <w:r w:rsidRPr="00283A5E">
      <w:rPr>
        <w:b/>
        <w:sz w:val="18"/>
      </w:rPr>
      <w:fldChar w:fldCharType="end"/>
    </w:r>
    <w:r>
      <w:rPr>
        <w:b/>
        <w:sz w:val="18"/>
      </w:rPr>
      <w:tab/>
    </w:r>
    <w:r>
      <w:t>GE.19-02366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021F" w14:textId="77777777" w:rsidR="00283A5E" w:rsidRPr="00283A5E" w:rsidRDefault="00283A5E" w:rsidP="00283A5E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GE.19-02366</w:t>
    </w:r>
    <w:r>
      <w:tab/>
    </w:r>
    <w:r w:rsidRPr="00283A5E">
      <w:rPr>
        <w:b/>
        <w:sz w:val="18"/>
      </w:rPr>
      <w:fldChar w:fldCharType="begin"/>
    </w:r>
    <w:r w:rsidRPr="00283A5E">
      <w:rPr>
        <w:b/>
        <w:sz w:val="18"/>
      </w:rPr>
      <w:instrText xml:space="preserve"> PAGE  \* MERGEFORMAT </w:instrText>
    </w:r>
    <w:r w:rsidRPr="00283A5E">
      <w:rPr>
        <w:b/>
        <w:sz w:val="18"/>
      </w:rPr>
      <w:fldChar w:fldCharType="separate"/>
    </w:r>
    <w:r w:rsidRPr="00283A5E">
      <w:rPr>
        <w:b/>
        <w:noProof/>
        <w:sz w:val="18"/>
      </w:rPr>
      <w:t>3</w:t>
    </w:r>
    <w:r w:rsidRPr="00283A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777F" w14:textId="77777777" w:rsidR="00042B72" w:rsidRPr="00283A5E" w:rsidRDefault="00283A5E" w:rsidP="00283A5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715A75" wp14:editId="74A7EA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02366  (</w:t>
    </w:r>
    <w:proofErr w:type="gramEnd"/>
    <w:r>
      <w:t>R)</w:t>
    </w:r>
    <w:r>
      <w:rPr>
        <w:lang w:val="en-US"/>
      </w:rPr>
      <w:t xml:space="preserve">  010419  0</w:t>
    </w:r>
    <w:r w:rsidR="00BF31FD">
      <w:rPr>
        <w:lang w:val="en-US"/>
      </w:rPr>
      <w:t>8</w:t>
    </w:r>
    <w:r>
      <w:rPr>
        <w:lang w:val="en-US"/>
      </w:rPr>
      <w:t>0419</w:t>
    </w:r>
    <w:r>
      <w:br/>
    </w:r>
    <w:r w:rsidRPr="00283A5E">
      <w:rPr>
        <w:rFonts w:ascii="C39T30Lfz" w:hAnsi="C39T30Lfz"/>
        <w:kern w:val="14"/>
        <w:sz w:val="56"/>
      </w:rPr>
      <w:t></w:t>
    </w:r>
    <w:r w:rsidRPr="00283A5E">
      <w:rPr>
        <w:rFonts w:ascii="C39T30Lfz" w:hAnsi="C39T30Lfz"/>
        <w:kern w:val="14"/>
        <w:sz w:val="56"/>
      </w:rPr>
      <w:t></w:t>
    </w:r>
    <w:r w:rsidRPr="00283A5E">
      <w:rPr>
        <w:rFonts w:ascii="C39T30Lfz" w:hAnsi="C39T30Lfz"/>
        <w:kern w:val="14"/>
        <w:sz w:val="56"/>
      </w:rPr>
      <w:t></w:t>
    </w:r>
    <w:r w:rsidRPr="00283A5E">
      <w:rPr>
        <w:rFonts w:ascii="C39T30Lfz" w:hAnsi="C39T30Lfz"/>
        <w:kern w:val="14"/>
        <w:sz w:val="56"/>
      </w:rPr>
      <w:t></w:t>
    </w:r>
    <w:r w:rsidRPr="00283A5E">
      <w:rPr>
        <w:rFonts w:ascii="C39T30Lfz" w:hAnsi="C39T30Lfz"/>
        <w:kern w:val="14"/>
        <w:sz w:val="56"/>
      </w:rPr>
      <w:t></w:t>
    </w:r>
    <w:r w:rsidRPr="00283A5E">
      <w:rPr>
        <w:rFonts w:ascii="C39T30Lfz" w:hAnsi="C39T30Lfz"/>
        <w:kern w:val="14"/>
        <w:sz w:val="56"/>
      </w:rPr>
      <w:t></w:t>
    </w:r>
    <w:r w:rsidRPr="00283A5E">
      <w:rPr>
        <w:rFonts w:ascii="C39T30Lfz" w:hAnsi="C39T30Lfz"/>
        <w:kern w:val="14"/>
        <w:sz w:val="56"/>
      </w:rPr>
      <w:t></w:t>
    </w:r>
    <w:r w:rsidRPr="00283A5E">
      <w:rPr>
        <w:rFonts w:ascii="C39T30Lfz" w:hAnsi="C39T30Lfz"/>
        <w:kern w:val="14"/>
        <w:sz w:val="56"/>
      </w:rPr>
      <w:t></w:t>
    </w:r>
    <w:r w:rsidRPr="00283A5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D78E10" wp14:editId="3071E6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ADN/4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E9522" w14:textId="77777777" w:rsidR="00712B72" w:rsidRPr="001075E9" w:rsidRDefault="00712B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1E8398" w14:textId="77777777" w:rsidR="00712B72" w:rsidRDefault="00712B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AD9BDB" w14:textId="77777777" w:rsidR="00283A5E" w:rsidRPr="00064FF8" w:rsidRDefault="00283A5E" w:rsidP="00283A5E">
      <w:pPr>
        <w:pStyle w:val="FootnoteText"/>
        <w:spacing w:line="200" w:lineRule="exact"/>
      </w:pPr>
      <w:r>
        <w:tab/>
      </w:r>
      <w:r w:rsidRPr="00283A5E">
        <w:rPr>
          <w:sz w:val="20"/>
        </w:rPr>
        <w:t>*</w:t>
      </w:r>
      <w:r>
        <w:tab/>
        <w:t>Распространен на немецком языке Центральной комиссией судоходства по Рейну под условным обозначением CCNR/ZKR/ADN/49.</w:t>
      </w:r>
    </w:p>
  </w:footnote>
  <w:footnote w:id="2">
    <w:p w14:paraId="4B40E711" w14:textId="77777777" w:rsidR="00283A5E" w:rsidRPr="00E60819" w:rsidRDefault="00283A5E" w:rsidP="00283A5E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http://www.unece.org/index.php?id=49440</w:t>
      </w:r>
      <w:r w:rsidR="00E60819" w:rsidRPr="00E60819">
        <w:t>.</w:t>
      </w:r>
    </w:p>
  </w:footnote>
  <w:footnote w:id="3">
    <w:p w14:paraId="13ED4E18" w14:textId="77777777" w:rsidR="00283A5E" w:rsidRPr="00E60819" w:rsidRDefault="00283A5E" w:rsidP="00283A5E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http://www.unece.org/trans/danger/publi/adn/adn2017/19files_e.html</w:t>
      </w:r>
      <w:r w:rsidR="00E60819" w:rsidRPr="00E6081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AE39" w14:textId="3D6AC056" w:rsidR="00283A5E" w:rsidRPr="00283A5E" w:rsidRDefault="00B276BC">
    <w:pPr>
      <w:pStyle w:val="Header"/>
    </w:pPr>
    <w:fldSimple w:instr=" TITLE  \* MERGEFORMAT ">
      <w:r w:rsidR="005C0C4E">
        <w:t>ECE/ADN/49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A48E" w14:textId="0C9B50BB" w:rsidR="00283A5E" w:rsidRPr="00283A5E" w:rsidRDefault="00B276BC" w:rsidP="00283A5E">
    <w:pPr>
      <w:pStyle w:val="Header"/>
      <w:jc w:val="right"/>
    </w:pPr>
    <w:fldSimple w:instr=" TITLE  \* MERGEFORMAT ">
      <w:r w:rsidR="005C0C4E">
        <w:t>ECE/ADN/49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4961A95"/>
    <w:multiLevelType w:val="hybridMultilevel"/>
    <w:tmpl w:val="E152BEA8"/>
    <w:lvl w:ilvl="0" w:tplc="97644B8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97644B80">
        <w:start w:val="1"/>
        <w:numFmt w:val="upperLetter"/>
        <w:lvlText w:val="%1."/>
        <w:lvlJc w:val="left"/>
        <w:pPr>
          <w:ind w:left="150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7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A5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E2C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0C4E"/>
    <w:rsid w:val="005D7914"/>
    <w:rsid w:val="005E2B41"/>
    <w:rsid w:val="005E5656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2B72"/>
    <w:rsid w:val="00734ACB"/>
    <w:rsid w:val="00757357"/>
    <w:rsid w:val="0077370D"/>
    <w:rsid w:val="00792497"/>
    <w:rsid w:val="007B4A8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76BC"/>
    <w:rsid w:val="00B354D4"/>
    <w:rsid w:val="00B36DF7"/>
    <w:rsid w:val="00B539E7"/>
    <w:rsid w:val="00B62458"/>
    <w:rsid w:val="00BC18B2"/>
    <w:rsid w:val="00BD33EE"/>
    <w:rsid w:val="00BE1CC7"/>
    <w:rsid w:val="00BF31FD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488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0819"/>
    <w:rsid w:val="00E73F76"/>
    <w:rsid w:val="00EA2C9F"/>
    <w:rsid w:val="00EA420E"/>
    <w:rsid w:val="00ED0BDA"/>
    <w:rsid w:val="00EE142A"/>
    <w:rsid w:val="00EF1360"/>
    <w:rsid w:val="00EF3220"/>
    <w:rsid w:val="00F2523A"/>
    <w:rsid w:val="00F331F8"/>
    <w:rsid w:val="00F43903"/>
    <w:rsid w:val="00F80F2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C6B8C6"/>
  <w15:docId w15:val="{CD91F8D4-38DD-4835-A371-99C71A1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83A5E"/>
    <w:rPr>
      <w:lang w:val="ru-RU" w:eastAsia="en-US"/>
    </w:rPr>
  </w:style>
  <w:style w:type="character" w:customStyle="1" w:styleId="HChGChar">
    <w:name w:val="_ H _Ch_G Char"/>
    <w:link w:val="HChG"/>
    <w:rsid w:val="00283A5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83A5E"/>
    <w:rPr>
      <w:b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83A5E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3B56-74DF-4E95-9E1A-3AB62A99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ECE/ADN/49</vt:lpstr>
      <vt:lpstr>ECE/ADN/49</vt:lpstr>
      <vt:lpstr>A/</vt:lpstr>
    </vt:vector>
  </TitlesOfParts>
  <Company>DCM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ECE/ADN/49</dc:title>
  <dc:subject/>
  <dc:creator>Ekaterina SALYNSKAYA</dc:creator>
  <cp:keywords/>
  <cp:lastModifiedBy>Marie-Claude Collet</cp:lastModifiedBy>
  <cp:revision>3</cp:revision>
  <cp:lastPrinted>2019-05-21T12:35:00Z</cp:lastPrinted>
  <dcterms:created xsi:type="dcterms:W3CDTF">2019-05-21T12:35:00Z</dcterms:created>
  <dcterms:modified xsi:type="dcterms:W3CDTF">2019-05-21T12:35:00Z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