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CD6A05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16A05C" w14:textId="77777777" w:rsidR="002D5AAC" w:rsidRDefault="002D5AAC" w:rsidP="001879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12A73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A6A361" w14:textId="77777777" w:rsidR="002D5AAC" w:rsidRDefault="0018790C" w:rsidP="0018790C">
            <w:pPr>
              <w:jc w:val="right"/>
            </w:pPr>
            <w:r w:rsidRPr="0018790C">
              <w:rPr>
                <w:sz w:val="40"/>
              </w:rPr>
              <w:t>ECE</w:t>
            </w:r>
            <w:r>
              <w:t>/TRANS/WP.15/2019/12</w:t>
            </w:r>
          </w:p>
        </w:tc>
      </w:tr>
      <w:tr w:rsidR="002D5AAC" w:rsidRPr="0018790C" w14:paraId="103BBA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D3381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B33CE4A" wp14:editId="0D7DF3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1B096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442F06" w14:textId="77777777" w:rsidR="002D5AAC" w:rsidRDefault="0018790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CCD006" w14:textId="77777777" w:rsidR="0018790C" w:rsidRDefault="0018790C" w:rsidP="001879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2019</w:t>
            </w:r>
          </w:p>
          <w:p w14:paraId="78553DA8" w14:textId="77777777" w:rsidR="0018790C" w:rsidRDefault="0018790C" w:rsidP="001879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2B612C" w14:textId="77777777" w:rsidR="0018790C" w:rsidRPr="008D53B6" w:rsidRDefault="0018790C" w:rsidP="001879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74D1F7" w14:textId="77777777" w:rsidR="0018790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A7D223" w14:textId="77777777" w:rsidR="003A13C5" w:rsidRPr="00DC53DA" w:rsidRDefault="003A13C5" w:rsidP="003A13C5">
      <w:pPr>
        <w:spacing w:before="120"/>
        <w:rPr>
          <w:sz w:val="28"/>
          <w:szCs w:val="28"/>
        </w:rPr>
      </w:pPr>
      <w:r w:rsidRPr="00DC53DA">
        <w:rPr>
          <w:sz w:val="28"/>
          <w:szCs w:val="28"/>
        </w:rPr>
        <w:t>Комитет по внутреннему транспорту</w:t>
      </w:r>
    </w:p>
    <w:p w14:paraId="3B3567A6" w14:textId="77777777" w:rsidR="003A13C5" w:rsidRPr="00DC53DA" w:rsidRDefault="003A13C5" w:rsidP="003A13C5">
      <w:pPr>
        <w:spacing w:before="120"/>
        <w:rPr>
          <w:b/>
          <w:sz w:val="24"/>
          <w:szCs w:val="24"/>
        </w:rPr>
      </w:pPr>
      <w:r w:rsidRPr="00DC53DA">
        <w:rPr>
          <w:b/>
          <w:bCs/>
          <w:sz w:val="24"/>
          <w:szCs w:val="24"/>
        </w:rPr>
        <w:t>Рабочая группа по перевозкам опасных грузов</w:t>
      </w:r>
    </w:p>
    <w:p w14:paraId="0AD62A78" w14:textId="77777777" w:rsidR="003A13C5" w:rsidRPr="00DC53DA" w:rsidRDefault="003A13C5" w:rsidP="003A13C5">
      <w:pPr>
        <w:spacing w:before="120"/>
        <w:rPr>
          <w:rFonts w:eastAsia="SimSun"/>
          <w:b/>
          <w:bCs/>
        </w:rPr>
      </w:pPr>
      <w:r w:rsidRPr="00DC53DA">
        <w:rPr>
          <w:b/>
          <w:bCs/>
        </w:rPr>
        <w:t>106-я сессия</w:t>
      </w:r>
    </w:p>
    <w:p w14:paraId="5527E4EE" w14:textId="77777777" w:rsidR="003A13C5" w:rsidRPr="00DC53DA" w:rsidRDefault="003A13C5" w:rsidP="003A13C5">
      <w:pPr>
        <w:rPr>
          <w:rFonts w:eastAsia="SimSun"/>
        </w:rPr>
      </w:pPr>
      <w:r>
        <w:t xml:space="preserve">Женева, 13–17 мая 2019 года </w:t>
      </w:r>
    </w:p>
    <w:p w14:paraId="76866629" w14:textId="77777777" w:rsidR="003A13C5" w:rsidRPr="00DC53DA" w:rsidRDefault="003A13C5" w:rsidP="003A13C5">
      <w:r>
        <w:t>Пункт 6 b) предварительной повестки дня</w:t>
      </w:r>
    </w:p>
    <w:p w14:paraId="1D0A1BB9" w14:textId="77777777" w:rsidR="003A13C5" w:rsidRPr="00DC53DA" w:rsidRDefault="003A13C5" w:rsidP="003A13C5">
      <w:pPr>
        <w:rPr>
          <w:b/>
          <w:bCs/>
        </w:rPr>
      </w:pPr>
      <w:r>
        <w:rPr>
          <w:b/>
          <w:bCs/>
        </w:rPr>
        <w:t>Предложения о внесении поправок</w:t>
      </w:r>
      <w:r w:rsidR="00062D4C">
        <w:rPr>
          <w:b/>
          <w:bCs/>
        </w:rPr>
        <w:br/>
      </w:r>
      <w:r>
        <w:rPr>
          <w:b/>
          <w:bCs/>
        </w:rPr>
        <w:t>в приложения А и В к ДОПОГ</w:t>
      </w:r>
    </w:p>
    <w:p w14:paraId="27D6402E" w14:textId="77777777" w:rsidR="003A13C5" w:rsidRPr="00DC53DA" w:rsidRDefault="003A13C5" w:rsidP="003A13C5">
      <w:pPr>
        <w:rPr>
          <w:b/>
        </w:rPr>
      </w:pPr>
      <w:r>
        <w:rPr>
          <w:b/>
          <w:bCs/>
        </w:rPr>
        <w:t>различные предложения</w:t>
      </w:r>
    </w:p>
    <w:p w14:paraId="6168F27C" w14:textId="77777777" w:rsidR="003A13C5" w:rsidRPr="00DC53DA" w:rsidRDefault="003A13C5" w:rsidP="003A13C5">
      <w:pPr>
        <w:pStyle w:val="HChG"/>
        <w:rPr>
          <w:sz w:val="20"/>
        </w:rPr>
      </w:pPr>
      <w:r>
        <w:tab/>
      </w:r>
      <w:r>
        <w:tab/>
        <w:t>Глава 8.5 Дополнительные требования S1 (6), S16 и S21</w:t>
      </w:r>
    </w:p>
    <w:p w14:paraId="122B6DB8" w14:textId="77777777" w:rsidR="003A13C5" w:rsidRDefault="003A13C5" w:rsidP="003A13C5">
      <w:pPr>
        <w:pStyle w:val="H1G"/>
        <w:rPr>
          <w:b w:val="0"/>
          <w:position w:val="6"/>
          <w:szCs w:val="18"/>
        </w:rPr>
      </w:pPr>
      <w:r>
        <w:tab/>
      </w:r>
      <w:r>
        <w:tab/>
      </w:r>
      <w:r>
        <w:rPr>
          <w:bCs/>
        </w:rPr>
        <w:t>Передано правительством Швеции</w:t>
      </w:r>
      <w:r w:rsidRPr="003A13C5">
        <w:rPr>
          <w:rStyle w:val="FootnoteReference"/>
          <w:b w:val="0"/>
          <w:position w:val="6"/>
          <w:szCs w:val="18"/>
          <w:vertAlign w:val="baseline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3551"/>
        <w:gridCol w:w="6077"/>
      </w:tblGrid>
      <w:tr w:rsidR="003A13C5" w:rsidRPr="003A13C5" w14:paraId="1B50EBB6" w14:textId="77777777" w:rsidTr="003A13C5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271CEA30" w14:textId="77777777" w:rsidR="003A13C5" w:rsidRPr="003A13C5" w:rsidRDefault="003A13C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A13C5">
              <w:rPr>
                <w:rFonts w:cs="Times New Roman"/>
              </w:rPr>
              <w:tab/>
            </w:r>
            <w:r w:rsidRPr="003A13C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A13C5" w:rsidRPr="003A13C5" w14:paraId="311A9B26" w14:textId="77777777" w:rsidTr="003A13C5">
        <w:trPr>
          <w:jc w:val="center"/>
        </w:trPr>
        <w:tc>
          <w:tcPr>
            <w:tcW w:w="3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6F6868" w14:textId="77777777" w:rsidR="003A13C5" w:rsidRPr="003A13C5" w:rsidRDefault="003A13C5" w:rsidP="003A13C5">
            <w:pPr>
              <w:pStyle w:val="SingleTxtG"/>
              <w:ind w:right="57"/>
            </w:pPr>
            <w:r w:rsidRPr="00DC53DA">
              <w:rPr>
                <w:b/>
                <w:bCs/>
              </w:rPr>
              <w:t>Существо предложения: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05159A" w14:textId="77777777" w:rsidR="003A13C5" w:rsidRPr="003A13C5" w:rsidRDefault="003A13C5" w:rsidP="003A13C5">
            <w:pPr>
              <w:ind w:right="1134"/>
              <w:jc w:val="both"/>
              <w:rPr>
                <w:rFonts w:cs="Times New Roman"/>
              </w:rPr>
            </w:pPr>
            <w:r>
              <w:t>Уточнить</w:t>
            </w:r>
            <w:r w:rsidRPr="00DC53DA">
              <w:t xml:space="preserve"> </w:t>
            </w:r>
            <w:r>
              <w:t>положение</w:t>
            </w:r>
            <w:r w:rsidRPr="00DC53DA">
              <w:t xml:space="preserve"> </w:t>
            </w:r>
            <w:r>
              <w:t>о</w:t>
            </w:r>
            <w:r w:rsidRPr="00DC53DA">
              <w:t xml:space="preserve"> </w:t>
            </w:r>
            <w:r>
              <w:t>наблюдении</w:t>
            </w:r>
            <w:r w:rsidRPr="00DC53DA">
              <w:t xml:space="preserve">, </w:t>
            </w:r>
            <w:r>
              <w:t>содержащееся</w:t>
            </w:r>
            <w:r>
              <w:br/>
              <w:t>в</w:t>
            </w:r>
            <w:r w:rsidRPr="00DC53DA">
              <w:t xml:space="preserve"> </w:t>
            </w:r>
            <w:r>
              <w:t xml:space="preserve">дополнительных </w:t>
            </w:r>
            <w:r w:rsidRPr="003A13C5">
              <w:rPr>
                <w:rFonts w:cs="Times New Roman"/>
              </w:rPr>
              <w:t>требованиях</w:t>
            </w:r>
            <w:r>
              <w:t xml:space="preserve"> </w:t>
            </w:r>
            <w:r w:rsidRPr="00DC53DA">
              <w:t xml:space="preserve">S1 (6), S16 </w:t>
            </w:r>
            <w:r>
              <w:t>и</w:t>
            </w:r>
            <w:r w:rsidRPr="00DC53DA">
              <w:t xml:space="preserve"> S21</w:t>
            </w:r>
            <w:r>
              <w:br/>
              <w:t>главы</w:t>
            </w:r>
            <w:r w:rsidRPr="00DC53DA">
              <w:t xml:space="preserve"> 8.5.</w:t>
            </w:r>
          </w:p>
        </w:tc>
      </w:tr>
      <w:tr w:rsidR="003A13C5" w:rsidRPr="003A13C5" w14:paraId="4719BEFB" w14:textId="77777777" w:rsidTr="003A13C5">
        <w:trPr>
          <w:jc w:val="center"/>
        </w:trPr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64BED15A" w14:textId="77777777" w:rsidR="003A13C5" w:rsidRPr="003A13C5" w:rsidRDefault="003A13C5" w:rsidP="003A13C5">
            <w:pPr>
              <w:pStyle w:val="SingleTxtG"/>
              <w:ind w:right="57"/>
            </w:pPr>
            <w:r w:rsidRPr="00DC53DA">
              <w:rPr>
                <w:b/>
                <w:bCs/>
              </w:rPr>
              <w:t>Предлагаемое решение: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</w:tcPr>
          <w:p w14:paraId="07724DA7" w14:textId="77777777" w:rsidR="003A13C5" w:rsidRPr="003A13C5" w:rsidRDefault="003A13C5" w:rsidP="00850215">
            <w:pPr>
              <w:rPr>
                <w:rFonts w:cs="Times New Roman"/>
              </w:rPr>
            </w:pPr>
            <w:r>
              <w:t>Рассмотреть предложения.</w:t>
            </w:r>
          </w:p>
        </w:tc>
      </w:tr>
      <w:tr w:rsidR="003A13C5" w:rsidRPr="003A13C5" w14:paraId="7081044A" w14:textId="77777777" w:rsidTr="003A13C5">
        <w:trPr>
          <w:jc w:val="center"/>
        </w:trPr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41C08FAE" w14:textId="77777777" w:rsidR="003A13C5" w:rsidRPr="003A13C5" w:rsidRDefault="003A13C5" w:rsidP="003A13C5">
            <w:pPr>
              <w:pStyle w:val="SingleTxtG"/>
              <w:ind w:right="57"/>
            </w:pPr>
            <w:r w:rsidRPr="00DC53DA">
              <w:rPr>
                <w:b/>
                <w:bCs/>
              </w:rPr>
              <w:t>Справочные документы: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</w:tcPr>
          <w:p w14:paraId="1354E0A7" w14:textId="77777777" w:rsidR="003A13C5" w:rsidRDefault="003A13C5" w:rsidP="003A13C5">
            <w:pPr>
              <w:pStyle w:val="SingleTxtG"/>
              <w:spacing w:after="0"/>
              <w:ind w:left="0"/>
            </w:pPr>
            <w:r>
              <w:t xml:space="preserve">INF.7, </w:t>
            </w:r>
            <w:r w:rsidRPr="003A13C5">
              <w:t>представленный</w:t>
            </w:r>
            <w:r>
              <w:t xml:space="preserve"> на 103-й сессии WP.15,</w:t>
            </w:r>
            <w:r>
              <w:br/>
              <w:t xml:space="preserve">ECE/TRANS/WP.15/239 </w:t>
            </w:r>
            <w:r w:rsidRPr="003A13C5">
              <w:t>(доклад о работе 103-й сессии),</w:t>
            </w:r>
            <w:r>
              <w:t xml:space="preserve"> пункты 61–65,</w:t>
            </w:r>
          </w:p>
          <w:p w14:paraId="3A3B235C" w14:textId="77777777" w:rsidR="003A13C5" w:rsidRDefault="003A13C5" w:rsidP="003A13C5">
            <w:pPr>
              <w:pStyle w:val="SingleTxtG"/>
              <w:spacing w:after="0"/>
              <w:ind w:left="0"/>
            </w:pPr>
            <w:r w:rsidRPr="00180824">
              <w:rPr>
                <w:lang w:val="en-US"/>
              </w:rPr>
              <w:t>INF</w:t>
            </w:r>
            <w:r w:rsidRPr="00180824">
              <w:t xml:space="preserve">.16, </w:t>
            </w:r>
            <w:r>
              <w:t>представленный</w:t>
            </w:r>
            <w:r w:rsidRPr="00180824">
              <w:t xml:space="preserve"> </w:t>
            </w:r>
            <w:r>
              <w:t>на</w:t>
            </w:r>
            <w:r w:rsidRPr="00180824">
              <w:t xml:space="preserve"> 104</w:t>
            </w:r>
            <w:r w:rsidR="00065C78">
              <w:t>-</w:t>
            </w:r>
            <w:r>
              <w:t>й</w:t>
            </w:r>
            <w:r w:rsidRPr="00180824">
              <w:t xml:space="preserve"> </w:t>
            </w:r>
            <w:r>
              <w:t>сессии WP.15</w:t>
            </w:r>
            <w:r w:rsidRPr="00180824">
              <w:t>,</w:t>
            </w:r>
          </w:p>
          <w:p w14:paraId="09C85F36" w14:textId="77777777" w:rsidR="003A13C5" w:rsidRDefault="003A13C5" w:rsidP="003A13C5">
            <w:pPr>
              <w:pStyle w:val="SingleTxtG"/>
              <w:spacing w:after="0"/>
              <w:ind w:left="0"/>
            </w:pPr>
            <w:r>
              <w:t xml:space="preserve">ECE/TRANS/WP.15/242 </w:t>
            </w:r>
            <w:r w:rsidRPr="003A13C5">
              <w:t xml:space="preserve">(доклад о работе 104-й сессии), </w:t>
            </w:r>
            <w:r>
              <w:t>пункты 55–57,</w:t>
            </w:r>
          </w:p>
          <w:p w14:paraId="66F94579" w14:textId="77777777" w:rsidR="003A13C5" w:rsidRDefault="003A13C5" w:rsidP="003A13C5">
            <w:pPr>
              <w:pStyle w:val="SingleTxtG"/>
              <w:spacing w:after="0"/>
              <w:ind w:left="0"/>
            </w:pPr>
            <w:r>
              <w:t>INF.14, представленный на 105-й сессии WP.15, и</w:t>
            </w:r>
          </w:p>
          <w:p w14:paraId="03EB2F44" w14:textId="77777777" w:rsidR="003A13C5" w:rsidRPr="003A13C5" w:rsidRDefault="003A13C5" w:rsidP="003A13C5">
            <w:pPr>
              <w:pStyle w:val="SingleTxtG"/>
              <w:ind w:left="0"/>
            </w:pPr>
            <w:r>
              <w:rPr>
                <w:rFonts w:eastAsia="Arial"/>
              </w:rPr>
              <w:t>ECE</w:t>
            </w:r>
            <w:r w:rsidRPr="00180824">
              <w:rPr>
                <w:rFonts w:eastAsia="Arial"/>
              </w:rPr>
              <w:t>/</w:t>
            </w:r>
            <w:r>
              <w:rPr>
                <w:rFonts w:eastAsia="Arial"/>
              </w:rPr>
              <w:t>TRANS</w:t>
            </w:r>
            <w:r w:rsidRPr="00180824">
              <w:rPr>
                <w:rFonts w:eastAsia="Arial"/>
              </w:rPr>
              <w:t>/</w:t>
            </w:r>
            <w:r>
              <w:rPr>
                <w:rFonts w:eastAsia="Arial"/>
              </w:rPr>
              <w:t>WP</w:t>
            </w:r>
            <w:r w:rsidRPr="00180824">
              <w:rPr>
                <w:rFonts w:eastAsia="Arial"/>
              </w:rPr>
              <w:t xml:space="preserve">.15/244 </w:t>
            </w:r>
            <w:r w:rsidRPr="003A13C5">
              <w:t>(доклад о работе 105-й сессии)</w:t>
            </w:r>
            <w:r w:rsidRPr="003A13C5">
              <w:rPr>
                <w:spacing w:val="-2"/>
              </w:rPr>
              <w:t>,</w:t>
            </w:r>
            <w:r>
              <w:t xml:space="preserve"> пункты 65–68</w:t>
            </w:r>
            <w:r w:rsidRPr="00180824">
              <w:rPr>
                <w:rFonts w:eastAsia="Arial"/>
              </w:rPr>
              <w:t>.</w:t>
            </w:r>
          </w:p>
        </w:tc>
      </w:tr>
      <w:tr w:rsidR="003A13C5" w:rsidRPr="003A13C5" w14:paraId="1507F8EF" w14:textId="77777777" w:rsidTr="003A13C5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208E7AC1" w14:textId="77777777" w:rsidR="003A13C5" w:rsidRPr="003A13C5" w:rsidRDefault="003A13C5" w:rsidP="00850215">
            <w:pPr>
              <w:rPr>
                <w:rFonts w:cs="Times New Roman"/>
              </w:rPr>
            </w:pPr>
          </w:p>
        </w:tc>
      </w:tr>
    </w:tbl>
    <w:p w14:paraId="6DE5B2DA" w14:textId="77777777" w:rsidR="003A13C5" w:rsidRPr="00DC53DA" w:rsidRDefault="003A13C5" w:rsidP="003A13C5">
      <w:pPr>
        <w:pStyle w:val="HChG"/>
      </w:pPr>
      <w:r w:rsidRPr="00180824">
        <w:tab/>
      </w:r>
      <w:r w:rsidRPr="00180824">
        <w:tab/>
      </w:r>
      <w:r>
        <w:tab/>
      </w:r>
      <w:r>
        <w:rPr>
          <w:bCs/>
        </w:rPr>
        <w:t>Введение</w:t>
      </w:r>
    </w:p>
    <w:p w14:paraId="200B40B8" w14:textId="77777777" w:rsidR="003A13C5" w:rsidRPr="00DC53DA" w:rsidRDefault="003A13C5" w:rsidP="003A13C5">
      <w:pPr>
        <w:pStyle w:val="SingleTxtG"/>
        <w:rPr>
          <w:rStyle w:val="SingleTxtGChar"/>
        </w:rPr>
      </w:pPr>
      <w:r>
        <w:t>1.</w:t>
      </w:r>
      <w:r>
        <w:tab/>
        <w:t xml:space="preserve">В ходе нескольких сессий Рабочей группы Швеция поднимала вопросы относительно наблюдения за транспортными средствами. Они касались главы 8.5 и того, что имеется в виду, когда в дополнительных требованиях S1 (6), S16 и S21 </w:t>
      </w:r>
      <w:r>
        <w:lastRenderedPageBreak/>
        <w:t>говорится, что транспортное средство должно «постоянно находиться под наблюдением».</w:t>
      </w:r>
    </w:p>
    <w:p w14:paraId="6ABE9F7E" w14:textId="77777777" w:rsidR="003A13C5" w:rsidRPr="00DC53DA" w:rsidRDefault="003A13C5" w:rsidP="003A13C5">
      <w:pPr>
        <w:pStyle w:val="SingleTxtG"/>
        <w:rPr>
          <w:rStyle w:val="SingleTxtGChar"/>
        </w:rPr>
      </w:pPr>
      <w:r>
        <w:t>2.</w:t>
      </w:r>
      <w:r>
        <w:tab/>
        <w:t>Летом 2018 года Швеция разослала вопросник для сбора информации о конкретной ситуации в каждой Договаривающейся стороне. Результаты этой работы легли в основу обсуждений на 105-й сессии Рабочей группы. Несмотря на то что многие страны проявили заинтересованность в уточнении этих положений, обсуждение показало, что данный вопрос является непростым, вероятно в силу ряда сопутствующих факторов, которые необходимо принимать во внимание и которые также различаются в разных странах.</w:t>
      </w:r>
    </w:p>
    <w:p w14:paraId="2DF99E02" w14:textId="77777777" w:rsidR="003A13C5" w:rsidRPr="00954D6D" w:rsidRDefault="003A13C5" w:rsidP="003A13C5">
      <w:pPr>
        <w:pStyle w:val="SingleTxtG"/>
        <w:rPr>
          <w:rStyle w:val="SingleTxtGChar"/>
        </w:rPr>
      </w:pPr>
      <w:r>
        <w:t>3.</w:t>
      </w:r>
      <w:r>
        <w:tab/>
        <w:t>Тем не менее Швеция считает, что должно быть ясно, каким образом следует применять указанные положения ДОПОГ. Неясность положений будет приводить не только к их неодинаковому применению разными Договаривающимися сторонами, но во многих случаях к тому, что они вообще не будут применяться. Подобная ситуация является неприемлемой, и нам следует прояснить, какие меры предполагается принимать в контексте наблюдения за транспортными средствами.</w:t>
      </w:r>
    </w:p>
    <w:p w14:paraId="5C2F8885" w14:textId="77777777" w:rsidR="003A13C5" w:rsidRPr="00C319E9" w:rsidRDefault="003A13C5" w:rsidP="003A13C5">
      <w:pPr>
        <w:pStyle w:val="HChG"/>
      </w:pPr>
      <w:r>
        <w:tab/>
      </w:r>
      <w:r>
        <w:tab/>
      </w:r>
      <w:r>
        <w:rPr>
          <w:bCs/>
        </w:rPr>
        <w:t>Справочная информация</w:t>
      </w:r>
      <w:r>
        <w:t xml:space="preserve"> </w:t>
      </w:r>
    </w:p>
    <w:p w14:paraId="26952F55" w14:textId="77777777" w:rsidR="003A13C5" w:rsidRPr="00C319E9" w:rsidRDefault="003A13C5" w:rsidP="003A13C5">
      <w:pPr>
        <w:pStyle w:val="H1G"/>
        <w:rPr>
          <w:rStyle w:val="SingleTxtGChar"/>
        </w:rPr>
      </w:pPr>
      <w:r>
        <w:tab/>
      </w:r>
      <w:r>
        <w:tab/>
        <w:t>Глава 8.4</w:t>
      </w:r>
    </w:p>
    <w:p w14:paraId="4445A1A0" w14:textId="77777777" w:rsidR="003A13C5" w:rsidRPr="00CA3D9D" w:rsidRDefault="003A13C5" w:rsidP="00CA3D9D">
      <w:pPr>
        <w:pStyle w:val="SingleTxtG"/>
      </w:pPr>
      <w:r>
        <w:t>4.</w:t>
      </w:r>
      <w:r>
        <w:tab/>
        <w:t xml:space="preserve">Насколько мы понимаем, глава 8.4 в первую очередь посвящена вопросу о наблюдении в контексте безопасности. В тексте в целом описываются меры, направленные на снижение риска дорожно-транспортных происшествий. Хотя мы находим эти положения довольно расплывчатыми, мы не можем понять, каким образом можно было бы ввести более точные или жесткие требования. Причина заключается в нынешней ситуации, связанной с весьма ограниченным числом безопасных и/или надежных мест стоянки, </w:t>
      </w:r>
      <w:r w:rsidR="00CA3D9D" w:rsidRPr="00CA3D9D">
        <w:t>–</w:t>
      </w:r>
      <w:r>
        <w:t xml:space="preserve"> ситуации, которая выглядят примерно одинаково в большинстве Договаривающихся сторон, включая Швецию.</w:t>
      </w:r>
    </w:p>
    <w:p w14:paraId="3E56577C" w14:textId="77777777" w:rsidR="003A13C5" w:rsidRPr="00DC53DA" w:rsidRDefault="003A13C5" w:rsidP="003A13C5">
      <w:pPr>
        <w:pStyle w:val="H1G"/>
        <w:rPr>
          <w:rStyle w:val="SingleTxtGChar"/>
          <w:b w:val="0"/>
        </w:rPr>
      </w:pPr>
      <w:r>
        <w:tab/>
      </w:r>
      <w:r>
        <w:tab/>
        <w:t>Глава 8.5</w:t>
      </w:r>
    </w:p>
    <w:p w14:paraId="1166FA27" w14:textId="77777777" w:rsidR="003A13C5" w:rsidRPr="00CA3D9D" w:rsidRDefault="003A13C5" w:rsidP="00CA3D9D">
      <w:pPr>
        <w:pStyle w:val="SingleTxtG"/>
      </w:pPr>
      <w:r>
        <w:t>5.</w:t>
      </w:r>
      <w:r>
        <w:tab/>
        <w:t>С учетом ответов на вопросник и обсуждений, состоявшихся на последнем совещании WP.15, мы дополнительно рассмотрели текст</w:t>
      </w:r>
      <w:r w:rsidRPr="000B5FBD">
        <w:t xml:space="preserve"> </w:t>
      </w:r>
      <w:r>
        <w:t>дополнительных требований</w:t>
      </w:r>
      <w:r w:rsidR="00DE67AC">
        <w:t> </w:t>
      </w:r>
      <w:r>
        <w:t>S1 (6), S16 и S21. В первом предложении этих дополнительных требований содержится четкая ссылка на главу 8.4 (см. воспроизводимый ниже текст), и, следовательно, это предложение в основном относится к наблюдению в контексте общей безопасности.</w:t>
      </w:r>
    </w:p>
    <w:p w14:paraId="3697764C" w14:textId="77777777" w:rsidR="003A13C5" w:rsidRPr="00CA3D9D" w:rsidRDefault="003A13C5" w:rsidP="00CA3D9D">
      <w:pPr>
        <w:pStyle w:val="SingleTxtG"/>
      </w:pPr>
      <w:r>
        <w:t>6.</w:t>
      </w:r>
      <w:r>
        <w:tab/>
        <w:t>В последующем тексте во всех трех положениях S содержатся требования в отношении наблюдения, связанные главным образом с обеспечением безопасности в плане охраны. Ниже приводится выдержка из главы 8.5:</w:t>
      </w:r>
    </w:p>
    <w:p w14:paraId="6BA20A10" w14:textId="77777777" w:rsidR="003A13C5" w:rsidRDefault="003A13C5" w:rsidP="00DE67AC">
      <w:pPr>
        <w:tabs>
          <w:tab w:val="left" w:pos="1985"/>
        </w:tabs>
        <w:spacing w:after="200"/>
        <w:ind w:left="1985" w:right="1134" w:hanging="851"/>
        <w:jc w:val="both"/>
        <w:rPr>
          <w:i/>
          <w:iCs/>
        </w:rPr>
      </w:pPr>
      <w:r w:rsidRPr="00DE67AC">
        <w:rPr>
          <w:bCs/>
        </w:rPr>
        <w:t>«</w:t>
      </w:r>
      <w:r>
        <w:rPr>
          <w:b/>
          <w:bCs/>
        </w:rPr>
        <w:t>S1 (6)</w:t>
      </w:r>
      <w:r>
        <w:tab/>
      </w:r>
      <w:r>
        <w:rPr>
          <w:i/>
          <w:iCs/>
        </w:rPr>
        <w:t>Требования главы 8.4 применяются только в том случае, если в одном транспортном средстве перевозятся вещества и изделия класса 1 с общей массой нетто взрывчатых веществ свыше указанных ниже предельных значений:</w:t>
      </w:r>
    </w:p>
    <w:p w14:paraId="4268FA74" w14:textId="77777777" w:rsidR="003A13C5" w:rsidRDefault="003A13C5" w:rsidP="00CC4D81">
      <w:pPr>
        <w:tabs>
          <w:tab w:val="left" w:pos="-1227"/>
          <w:tab w:val="left" w:pos="-720"/>
          <w:tab w:val="left" w:pos="1134"/>
          <w:tab w:val="left" w:pos="2552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00"/>
        <w:ind w:left="1985" w:right="1134"/>
      </w:pPr>
      <w:r>
        <w:rPr>
          <w:i/>
          <w:iCs/>
        </w:rPr>
        <w:t>...</w:t>
      </w:r>
    </w:p>
    <w:p w14:paraId="505D0AAF" w14:textId="77777777" w:rsidR="003A13C5" w:rsidRPr="00DC53DA" w:rsidRDefault="003A13C5" w:rsidP="00DE67AC">
      <w:pPr>
        <w:tabs>
          <w:tab w:val="left" w:pos="-1227"/>
          <w:tab w:val="left" w:pos="-720"/>
          <w:tab w:val="left" w:pos="1134"/>
          <w:tab w:val="left" w:pos="2552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00"/>
        <w:ind w:left="1985" w:right="1134"/>
        <w:jc w:val="both"/>
        <w:rPr>
          <w:i/>
        </w:rPr>
      </w:pPr>
      <w:r>
        <w:rPr>
          <w:i/>
          <w:iCs/>
        </w:rPr>
        <w:t>Кроме того, за этими веществами и изделиями должно осуществляться постоянное наблюдение, с тем чтобы предотвратить любое злонамеренное действие и предупредить водителя и компетентные органы об опасности в случае потери груза или пожара.</w:t>
      </w:r>
    </w:p>
    <w:p w14:paraId="1C6FAD8C" w14:textId="77777777" w:rsidR="003A13C5" w:rsidRPr="00DC53DA" w:rsidRDefault="003A13C5" w:rsidP="00DE67AC">
      <w:pPr>
        <w:tabs>
          <w:tab w:val="left" w:pos="-1227"/>
          <w:tab w:val="left" w:pos="-720"/>
          <w:tab w:val="left" w:pos="1134"/>
          <w:tab w:val="left" w:pos="2552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00"/>
        <w:ind w:left="1985" w:right="1134"/>
        <w:jc w:val="both"/>
      </w:pPr>
      <w:r>
        <w:rPr>
          <w:i/>
          <w:iCs/>
        </w:rPr>
        <w:t>Эти требования не распространяются на порожнюю неочищенную тару.».</w:t>
      </w:r>
    </w:p>
    <w:p w14:paraId="0361A2C3" w14:textId="77777777" w:rsidR="003A13C5" w:rsidRPr="00DC53DA" w:rsidRDefault="003A13C5" w:rsidP="00DE67AC">
      <w:pPr>
        <w:tabs>
          <w:tab w:val="left" w:pos="1985"/>
        </w:tabs>
        <w:spacing w:after="200"/>
        <w:ind w:left="1985" w:right="1134" w:hanging="851"/>
        <w:jc w:val="both"/>
        <w:rPr>
          <w:i/>
        </w:rPr>
      </w:pPr>
      <w:bookmarkStart w:id="0" w:name="_GoBack"/>
      <w:bookmarkEnd w:id="0"/>
      <w:r w:rsidRPr="00DE67AC">
        <w:rPr>
          <w:bCs/>
        </w:rPr>
        <w:t>«</w:t>
      </w:r>
      <w:r>
        <w:rPr>
          <w:b/>
          <w:bCs/>
        </w:rPr>
        <w:t>S16:</w:t>
      </w:r>
      <w:r>
        <w:tab/>
      </w:r>
      <w:r>
        <w:rPr>
          <w:i/>
          <w:iCs/>
        </w:rPr>
        <w:t>Положения главы 8.4, касающиеся наблюдения за транспортными средствами, применяются в том случае, если общая масса этих веществ в транспортном средстве превышает 500 кг.</w:t>
      </w:r>
    </w:p>
    <w:p w14:paraId="53ADD094" w14:textId="77777777" w:rsidR="003A13C5" w:rsidRPr="00DC53DA" w:rsidRDefault="003A13C5" w:rsidP="00DE67AC">
      <w:pPr>
        <w:tabs>
          <w:tab w:val="left" w:pos="-1227"/>
          <w:tab w:val="left" w:pos="-720"/>
          <w:tab w:val="left" w:pos="1134"/>
          <w:tab w:val="left" w:pos="2552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00"/>
        <w:ind w:left="1985" w:right="1134"/>
        <w:jc w:val="both"/>
        <w:rPr>
          <w:b/>
        </w:rPr>
      </w:pPr>
      <w:r>
        <w:rPr>
          <w:i/>
          <w:iCs/>
        </w:rPr>
        <w:t>Кроме того, транспортные средства, перевозящие более 500 кг этих веществ, должны постоянно находиться под наблюдением, с тем чтобы можно было предотвратить любые злонамеренные действия и предупредить водителя и компетентные органы в случае потери груза или пожара.».</w:t>
      </w:r>
    </w:p>
    <w:p w14:paraId="4E27B161" w14:textId="77777777" w:rsidR="003A13C5" w:rsidRPr="00DC53DA" w:rsidRDefault="003A13C5" w:rsidP="00DE67AC">
      <w:pPr>
        <w:tabs>
          <w:tab w:val="left" w:pos="1985"/>
        </w:tabs>
        <w:spacing w:after="200"/>
        <w:ind w:left="1985" w:right="1134" w:hanging="851"/>
        <w:jc w:val="both"/>
        <w:rPr>
          <w:i/>
        </w:rPr>
      </w:pPr>
      <w:r w:rsidRPr="00DE67AC">
        <w:rPr>
          <w:bCs/>
        </w:rPr>
        <w:t>«</w:t>
      </w:r>
      <w:r>
        <w:rPr>
          <w:b/>
          <w:bCs/>
        </w:rPr>
        <w:t>S21:</w:t>
      </w:r>
      <w:r>
        <w:tab/>
      </w:r>
      <w:r>
        <w:rPr>
          <w:i/>
          <w:iCs/>
        </w:rPr>
        <w:t>Положения главы 8.4, касающиеся наблюдения за транспортными средствами, применяются ко всем материалам, независимо от их массы.</w:t>
      </w:r>
      <w:r>
        <w:t xml:space="preserve"> </w:t>
      </w:r>
      <w:r>
        <w:rPr>
          <w:i/>
          <w:iCs/>
        </w:rPr>
        <w:t>Кроме того, эти грузы должны постоянно находиться под наблюдением, с тем чтобы предотвратить любые злонамеренные действия и предупредить водителя и компетентные органы в случае потери груза или пожара. Однако положения главы 8.4 применять не обязательно в том случае, если:</w:t>
      </w:r>
    </w:p>
    <w:p w14:paraId="63CCBA7E" w14:textId="77777777" w:rsidR="003A13C5" w:rsidRPr="00DC53DA" w:rsidRDefault="003A13C5" w:rsidP="00DE67AC">
      <w:pPr>
        <w:tabs>
          <w:tab w:val="left" w:pos="1985"/>
        </w:tabs>
        <w:spacing w:after="200"/>
        <w:ind w:left="1985" w:right="1134" w:hanging="851"/>
        <w:jc w:val="both"/>
        <w:rPr>
          <w:i/>
        </w:rPr>
      </w:pPr>
      <w:r w:rsidRPr="00B0377E">
        <w:rPr>
          <w:i/>
          <w:iCs/>
        </w:rPr>
        <w:t>a)</w:t>
      </w:r>
      <w:r w:rsidRPr="00B0377E">
        <w:rPr>
          <w:i/>
          <w:iCs/>
        </w:rPr>
        <w:tab/>
      </w:r>
      <w:r>
        <w:rPr>
          <w:i/>
          <w:iCs/>
        </w:rPr>
        <w:t>загруженное грузовое отделение заперто или перевозимые упаковки иным образом защищены от несанкционированной разгрузки; и</w:t>
      </w:r>
    </w:p>
    <w:p w14:paraId="401B4EF6" w14:textId="77777777" w:rsidR="003A13C5" w:rsidRPr="00DC53DA" w:rsidRDefault="003A13C5" w:rsidP="00DE67AC">
      <w:pPr>
        <w:tabs>
          <w:tab w:val="left" w:pos="1985"/>
        </w:tabs>
        <w:spacing w:after="200"/>
        <w:ind w:left="1985" w:right="1134" w:hanging="851"/>
        <w:jc w:val="both"/>
        <w:rPr>
          <w:i/>
        </w:rPr>
      </w:pPr>
      <w:r w:rsidRPr="00B0377E">
        <w:rPr>
          <w:i/>
          <w:iCs/>
        </w:rPr>
        <w:t>b)</w:t>
      </w:r>
      <w:r>
        <w:tab/>
      </w:r>
      <w:r>
        <w:rPr>
          <w:i/>
          <w:iCs/>
        </w:rPr>
        <w:t>уровень излучения в любой доступной точке на внешней поверхности транспортного средства не превышает 5 мкЗв/ч.».</w:t>
      </w:r>
    </w:p>
    <w:p w14:paraId="72B10F60" w14:textId="77777777" w:rsidR="003A13C5" w:rsidRPr="00DC53DA" w:rsidRDefault="003A13C5" w:rsidP="003A13C5">
      <w:pPr>
        <w:pStyle w:val="SingleTxtG"/>
        <w:rPr>
          <w:rStyle w:val="SingleTxtGChar"/>
        </w:rPr>
      </w:pPr>
      <w:r>
        <w:t>7.</w:t>
      </w:r>
      <w:r>
        <w:tab/>
        <w:t>Мы отмечаем, что в тексте положения S21 дважды упоминается глава 8.4, что делает данное положение довольно запутанным. Швеция считает, что текст, касающийся главы 8.4, следует консолидировать, с тем чтобы легче было следовать логике положения S (см. раздел «Предложения»).</w:t>
      </w:r>
    </w:p>
    <w:p w14:paraId="0DA7D82E" w14:textId="77777777" w:rsidR="003A13C5" w:rsidRPr="00DC53DA" w:rsidRDefault="003A13C5" w:rsidP="003A13C5">
      <w:pPr>
        <w:pStyle w:val="SingleTxtG"/>
        <w:rPr>
          <w:rStyle w:val="SingleTxtGChar"/>
          <w:b/>
        </w:rPr>
      </w:pPr>
      <w:r>
        <w:tab/>
      </w:r>
      <w:r>
        <w:rPr>
          <w:b/>
          <w:bCs/>
        </w:rPr>
        <w:t>Глава 8.5 в сравнении с главой 1.10</w:t>
      </w:r>
    </w:p>
    <w:p w14:paraId="7B1D0B63" w14:textId="77777777" w:rsidR="003A13C5" w:rsidRPr="00CC4D81" w:rsidRDefault="003A13C5" w:rsidP="00CC4D81">
      <w:pPr>
        <w:pStyle w:val="SingleTxtG"/>
      </w:pPr>
      <w:r>
        <w:t>8.</w:t>
      </w:r>
      <w:r>
        <w:tab/>
        <w:t>Как разъяснялось выше, Швеция истолковывает дополнительные требования</w:t>
      </w:r>
      <w:r w:rsidR="00DE67AC">
        <w:t> </w:t>
      </w:r>
      <w:r>
        <w:t>S1</w:t>
      </w:r>
      <w:r w:rsidR="00DE67AC">
        <w:t> </w:t>
      </w:r>
      <w:r>
        <w:t xml:space="preserve">(6), S16 и S21 как содержащие два «отдельных» положения, касающихся наблюдения; одно из них связано главным образом с общей безопасностью, а другое </w:t>
      </w:r>
      <w:r w:rsidR="00CC4D81" w:rsidRPr="00CC4D81">
        <w:t>–</w:t>
      </w:r>
      <w:r w:rsidR="00DE67AC">
        <w:t xml:space="preserve"> </w:t>
      </w:r>
      <w:r>
        <w:t>с обеспечением безопасности в плане охраны. По нашему мнению, это имеет смысл, поскольку ДОПОГ изначально было нацелено на обеспечение безопасности во время перевозки, а положения об охране были введены гораздо позже.</w:t>
      </w:r>
    </w:p>
    <w:p w14:paraId="244ADB63" w14:textId="77777777" w:rsidR="003A13C5" w:rsidRPr="00DC53DA" w:rsidRDefault="003A13C5" w:rsidP="003A13C5">
      <w:pPr>
        <w:pStyle w:val="SingleTxtG"/>
        <w:tabs>
          <w:tab w:val="left" w:pos="1530"/>
        </w:tabs>
        <w:jc w:val="left"/>
        <w:rPr>
          <w:rStyle w:val="SingleTxtGChar"/>
        </w:rPr>
      </w:pPr>
      <w:r>
        <w:t>9.</w:t>
      </w:r>
      <w:r>
        <w:tab/>
        <w:t>Сравнение предельных значений, указанных в положениях S1 (6), S16 и S21,</w:t>
      </w:r>
      <w:r w:rsidR="00DE67AC">
        <w:br/>
      </w:r>
      <w:r>
        <w:t>с предельными значениями, указанными в таблице 1.10.3.1.2, показывает, что они во многих случаях согласованы, но не полностью:</w:t>
      </w:r>
    </w:p>
    <w:tbl>
      <w:tblPr>
        <w:tblStyle w:val="TableGrid"/>
        <w:tblW w:w="7428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821"/>
        <w:gridCol w:w="2303"/>
        <w:gridCol w:w="2304"/>
      </w:tblGrid>
      <w:tr w:rsidR="003A13C5" w14:paraId="4CCF17D6" w14:textId="77777777" w:rsidTr="00356164">
        <w:tc>
          <w:tcPr>
            <w:tcW w:w="2821" w:type="dxa"/>
            <w:tcBorders>
              <w:right w:val="nil"/>
            </w:tcBorders>
            <w:shd w:val="clear" w:color="auto" w:fill="auto"/>
          </w:tcPr>
          <w:p w14:paraId="66CF39B5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14:paraId="36E5BF4E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rPr>
                <w:rStyle w:val="SingleTxtGChar"/>
                <w:sz w:val="18"/>
                <w:szCs w:val="18"/>
              </w:rPr>
            </w:pPr>
            <w:r w:rsidRPr="00CC4D81">
              <w:rPr>
                <w:b/>
                <w:bCs/>
                <w:sz w:val="18"/>
                <w:szCs w:val="18"/>
              </w:rPr>
              <w:t>S1</w:t>
            </w:r>
            <w:r w:rsidR="00DE67AC">
              <w:rPr>
                <w:b/>
                <w:bCs/>
                <w:sz w:val="18"/>
                <w:szCs w:val="18"/>
              </w:rPr>
              <w:t> </w:t>
            </w:r>
            <w:r w:rsidRPr="00CC4D81">
              <w:rPr>
                <w:b/>
                <w:bCs/>
                <w:sz w:val="18"/>
                <w:szCs w:val="18"/>
              </w:rPr>
              <w:t>(6) применяется от</w:t>
            </w:r>
          </w:p>
        </w:tc>
        <w:tc>
          <w:tcPr>
            <w:tcW w:w="2304" w:type="dxa"/>
            <w:shd w:val="clear" w:color="auto" w:fill="auto"/>
          </w:tcPr>
          <w:p w14:paraId="26E8D20E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b/>
                <w:bCs/>
                <w:sz w:val="18"/>
                <w:szCs w:val="18"/>
              </w:rPr>
              <w:t>1.10.3 применяется от</w:t>
            </w:r>
          </w:p>
        </w:tc>
      </w:tr>
      <w:tr w:rsidR="003A13C5" w14:paraId="3227F789" w14:textId="77777777" w:rsidTr="00356164">
        <w:tc>
          <w:tcPr>
            <w:tcW w:w="2821" w:type="dxa"/>
          </w:tcPr>
          <w:p w14:paraId="3FD241C9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Подкласс 1.1</w:t>
            </w:r>
          </w:p>
        </w:tc>
        <w:tc>
          <w:tcPr>
            <w:tcW w:w="2303" w:type="dxa"/>
            <w:shd w:val="clear" w:color="auto" w:fill="auto"/>
          </w:tcPr>
          <w:p w14:paraId="00329C15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0 кг</w:t>
            </w:r>
          </w:p>
        </w:tc>
        <w:tc>
          <w:tcPr>
            <w:tcW w:w="2304" w:type="dxa"/>
            <w:shd w:val="clear" w:color="auto" w:fill="auto"/>
          </w:tcPr>
          <w:p w14:paraId="309A7FDC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0 кг</w:t>
            </w:r>
          </w:p>
        </w:tc>
      </w:tr>
      <w:tr w:rsidR="003A13C5" w14:paraId="56C8DE7B" w14:textId="77777777" w:rsidTr="00356164">
        <w:tc>
          <w:tcPr>
            <w:tcW w:w="2821" w:type="dxa"/>
          </w:tcPr>
          <w:p w14:paraId="4250181D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Подкласс 1.2</w:t>
            </w:r>
          </w:p>
        </w:tc>
        <w:tc>
          <w:tcPr>
            <w:tcW w:w="2303" w:type="dxa"/>
            <w:shd w:val="clear" w:color="auto" w:fill="auto"/>
          </w:tcPr>
          <w:p w14:paraId="15B9E61B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0 кг</w:t>
            </w:r>
          </w:p>
        </w:tc>
        <w:tc>
          <w:tcPr>
            <w:tcW w:w="2304" w:type="dxa"/>
            <w:shd w:val="clear" w:color="auto" w:fill="auto"/>
          </w:tcPr>
          <w:p w14:paraId="17BD5DEC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0 кг</w:t>
            </w:r>
          </w:p>
        </w:tc>
      </w:tr>
      <w:tr w:rsidR="003A13C5" w14:paraId="35AFE28F" w14:textId="77777777" w:rsidTr="00356164">
        <w:tc>
          <w:tcPr>
            <w:tcW w:w="2821" w:type="dxa"/>
          </w:tcPr>
          <w:p w14:paraId="730BF3EA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Подкласс 1.3</w:t>
            </w:r>
          </w:p>
        </w:tc>
        <w:tc>
          <w:tcPr>
            <w:tcW w:w="2303" w:type="dxa"/>
            <w:shd w:val="clear" w:color="auto" w:fill="auto"/>
          </w:tcPr>
          <w:p w14:paraId="2C99530B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50 кг</w:t>
            </w:r>
          </w:p>
        </w:tc>
        <w:tc>
          <w:tcPr>
            <w:tcW w:w="2304" w:type="dxa"/>
            <w:shd w:val="clear" w:color="auto" w:fill="auto"/>
          </w:tcPr>
          <w:p w14:paraId="11138A5E" w14:textId="77777777" w:rsidR="003A13C5" w:rsidRPr="00CC4D81" w:rsidRDefault="003A13C5" w:rsidP="00CC4D81">
            <w:pPr>
              <w:autoSpaceDE w:val="0"/>
              <w:autoSpaceDN w:val="0"/>
              <w:ind w:left="57" w:right="57"/>
              <w:rPr>
                <w:rStyle w:val="SingleTxtGChar"/>
                <w:rFonts w:asciiTheme="minorHAnsi" w:hAnsiTheme="minorHAnsi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Неприменимо*</w:t>
            </w:r>
          </w:p>
        </w:tc>
      </w:tr>
      <w:tr w:rsidR="003A13C5" w14:paraId="5EBB40AC" w14:textId="77777777" w:rsidTr="00356164">
        <w:tc>
          <w:tcPr>
            <w:tcW w:w="2821" w:type="dxa"/>
          </w:tcPr>
          <w:p w14:paraId="37935A72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Подкласс 1.4</w:t>
            </w:r>
          </w:p>
        </w:tc>
        <w:tc>
          <w:tcPr>
            <w:tcW w:w="2303" w:type="dxa"/>
            <w:shd w:val="clear" w:color="auto" w:fill="auto"/>
          </w:tcPr>
          <w:p w14:paraId="2B01A0BB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50 кг</w:t>
            </w:r>
          </w:p>
        </w:tc>
        <w:tc>
          <w:tcPr>
            <w:tcW w:w="2304" w:type="dxa"/>
            <w:shd w:val="clear" w:color="auto" w:fill="auto"/>
          </w:tcPr>
          <w:p w14:paraId="787FED30" w14:textId="77777777" w:rsidR="003A13C5" w:rsidRPr="00CC4D81" w:rsidRDefault="003A13C5" w:rsidP="00CC4D81">
            <w:pPr>
              <w:autoSpaceDE w:val="0"/>
              <w:autoSpaceDN w:val="0"/>
              <w:ind w:left="57" w:right="57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Неприменимо*</w:t>
            </w:r>
          </w:p>
        </w:tc>
      </w:tr>
      <w:tr w:rsidR="003A13C5" w14:paraId="6DCCF6EA" w14:textId="77777777" w:rsidTr="00356164">
        <w:tc>
          <w:tcPr>
            <w:tcW w:w="2821" w:type="dxa"/>
          </w:tcPr>
          <w:p w14:paraId="50ACF899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Подкласс 1.5</w:t>
            </w:r>
          </w:p>
        </w:tc>
        <w:tc>
          <w:tcPr>
            <w:tcW w:w="2303" w:type="dxa"/>
            <w:shd w:val="clear" w:color="auto" w:fill="auto"/>
          </w:tcPr>
          <w:p w14:paraId="16C9F7ED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0 кг</w:t>
            </w:r>
          </w:p>
        </w:tc>
        <w:tc>
          <w:tcPr>
            <w:tcW w:w="2304" w:type="dxa"/>
            <w:shd w:val="clear" w:color="auto" w:fill="auto"/>
          </w:tcPr>
          <w:p w14:paraId="5D38F99D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0 кг</w:t>
            </w:r>
          </w:p>
        </w:tc>
      </w:tr>
      <w:tr w:rsidR="003A13C5" w:rsidRPr="0060470B" w14:paraId="33F85610" w14:textId="77777777" w:rsidTr="00356164">
        <w:tc>
          <w:tcPr>
            <w:tcW w:w="2821" w:type="dxa"/>
          </w:tcPr>
          <w:p w14:paraId="6B296B03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Подкласс 1.6</w:t>
            </w:r>
          </w:p>
        </w:tc>
        <w:tc>
          <w:tcPr>
            <w:tcW w:w="2303" w:type="dxa"/>
            <w:shd w:val="clear" w:color="auto" w:fill="auto"/>
          </w:tcPr>
          <w:p w14:paraId="2EFB439C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50 кг</w:t>
            </w:r>
          </w:p>
        </w:tc>
        <w:tc>
          <w:tcPr>
            <w:tcW w:w="2304" w:type="dxa"/>
            <w:shd w:val="clear" w:color="auto" w:fill="auto"/>
          </w:tcPr>
          <w:p w14:paraId="785D7256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0 кг с 2021 года**</w:t>
            </w:r>
          </w:p>
        </w:tc>
      </w:tr>
      <w:tr w:rsidR="003A13C5" w14:paraId="0D4DC69D" w14:textId="77777777" w:rsidTr="00356164">
        <w:tc>
          <w:tcPr>
            <w:tcW w:w="2821" w:type="dxa"/>
          </w:tcPr>
          <w:p w14:paraId="590A715D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Вещества и изделия подкласса 1.4, относящиеся к № ООН 0104, 0237, 0255, 0267, 0289, 0361, 0365, 0366, 0440, 0441, 0455, 0456 и 0500</w:t>
            </w:r>
          </w:p>
        </w:tc>
        <w:tc>
          <w:tcPr>
            <w:tcW w:w="2303" w:type="dxa"/>
            <w:shd w:val="clear" w:color="auto" w:fill="auto"/>
          </w:tcPr>
          <w:p w14:paraId="00ABD68E" w14:textId="77777777" w:rsidR="003A13C5" w:rsidRPr="00CC4D81" w:rsidRDefault="003A13C5" w:rsidP="00CC4D81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sz w:val="18"/>
                <w:szCs w:val="18"/>
              </w:rPr>
            </w:pPr>
            <w:r w:rsidRPr="00CC4D81">
              <w:rPr>
                <w:sz w:val="18"/>
                <w:szCs w:val="18"/>
              </w:rPr>
              <w:t>0 кг</w:t>
            </w:r>
          </w:p>
        </w:tc>
        <w:tc>
          <w:tcPr>
            <w:tcW w:w="2304" w:type="dxa"/>
            <w:shd w:val="clear" w:color="auto" w:fill="auto"/>
          </w:tcPr>
          <w:p w14:paraId="5B52A9ED" w14:textId="77777777" w:rsidR="003A13C5" w:rsidRPr="00CC4D81" w:rsidRDefault="00CC4D81" w:rsidP="00CC4D81">
            <w:pPr>
              <w:pStyle w:val="SingleTxtG"/>
              <w:tabs>
                <w:tab w:val="left" w:pos="1701"/>
              </w:tabs>
              <w:ind w:left="57" w:right="57"/>
              <w:rPr>
                <w:rStyle w:val="SingleTxtGChar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 </w:t>
            </w:r>
            <w:r w:rsidR="003A13C5" w:rsidRPr="00CC4D81">
              <w:rPr>
                <w:sz w:val="18"/>
                <w:szCs w:val="18"/>
              </w:rPr>
              <w:t>кг</w:t>
            </w:r>
          </w:p>
        </w:tc>
      </w:tr>
    </w:tbl>
    <w:p w14:paraId="7BC927FC" w14:textId="77777777" w:rsidR="003A13C5" w:rsidRPr="00CC4D81" w:rsidRDefault="00CC4D81" w:rsidP="00DE67AC">
      <w:pPr>
        <w:pStyle w:val="SingleTxtG"/>
        <w:tabs>
          <w:tab w:val="left" w:pos="1701"/>
        </w:tabs>
        <w:spacing w:before="120" w:line="220" w:lineRule="exact"/>
        <w:ind w:firstLine="170"/>
        <w:jc w:val="left"/>
        <w:rPr>
          <w:rStyle w:val="SingleTxtGChar"/>
          <w:rFonts w:eastAsiaTheme="minorHAnsi"/>
          <w:sz w:val="18"/>
          <w:szCs w:val="18"/>
        </w:rPr>
      </w:pPr>
      <w:r w:rsidRPr="00CC4D81">
        <w:rPr>
          <w:sz w:val="18"/>
          <w:szCs w:val="18"/>
        </w:rPr>
        <w:t>*</w:t>
      </w:r>
      <w:r>
        <w:rPr>
          <w:sz w:val="18"/>
          <w:szCs w:val="18"/>
          <w:lang w:val="en-US"/>
        </w:rPr>
        <w:t>  </w:t>
      </w:r>
      <w:r w:rsidR="003A13C5" w:rsidRPr="00CC4D81">
        <w:rPr>
          <w:sz w:val="18"/>
          <w:szCs w:val="18"/>
        </w:rPr>
        <w:t>Вопрос о включении подклассов/конкретного номера ООН в перечень грузов повышенной опасности обсуждался Подкомитетом по ПОГ. На настоящий момент никакого решения</w:t>
      </w:r>
      <w:r w:rsidR="000D243E">
        <w:rPr>
          <w:sz w:val="18"/>
          <w:szCs w:val="18"/>
        </w:rPr>
        <w:br/>
      </w:r>
      <w:r w:rsidR="003A13C5" w:rsidRPr="00CC4D81">
        <w:rPr>
          <w:sz w:val="18"/>
          <w:szCs w:val="18"/>
        </w:rPr>
        <w:t>не принято.</w:t>
      </w:r>
    </w:p>
    <w:p w14:paraId="6F0FDC2A" w14:textId="77777777" w:rsidR="003A13C5" w:rsidRPr="00DC53DA" w:rsidRDefault="003A13C5" w:rsidP="00356164">
      <w:pPr>
        <w:pStyle w:val="SingleTxtG"/>
        <w:tabs>
          <w:tab w:val="left" w:pos="1701"/>
        </w:tabs>
        <w:spacing w:after="240" w:line="220" w:lineRule="exact"/>
        <w:ind w:firstLine="170"/>
        <w:jc w:val="left"/>
        <w:rPr>
          <w:rStyle w:val="SingleTxtGChar"/>
        </w:rPr>
      </w:pPr>
      <w:r w:rsidRPr="00CC4D81">
        <w:rPr>
          <w:sz w:val="18"/>
          <w:szCs w:val="18"/>
        </w:rPr>
        <w:t>**</w:t>
      </w:r>
      <w:r w:rsidR="00CC4D81">
        <w:rPr>
          <w:sz w:val="18"/>
          <w:szCs w:val="18"/>
          <w:lang w:val="en-US"/>
        </w:rPr>
        <w:t>  </w:t>
      </w:r>
      <w:r w:rsidRPr="00CC4D81">
        <w:rPr>
          <w:sz w:val="18"/>
          <w:szCs w:val="18"/>
        </w:rPr>
        <w:t xml:space="preserve">См. доклад Подкомитета по ПОГ </w:t>
      </w:r>
      <w:hyperlink r:id="rId8" w:history="1">
        <w:r w:rsidR="00356164" w:rsidRPr="00A52AC1">
          <w:rPr>
            <w:rStyle w:val="Hyperlink"/>
            <w:sz w:val="18"/>
            <w:szCs w:val="18"/>
          </w:rPr>
          <w:t>https://www.unece.org/fileadmin/DAM/trans/doc/2017/ dgac10c3/ST-SG-AC10-C3-104e.pdf</w:t>
        </w:r>
      </w:hyperlink>
      <w:r w:rsidRPr="00CC4D81">
        <w:rPr>
          <w:sz w:val="18"/>
          <w:szCs w:val="18"/>
        </w:rPr>
        <w:t>, раздел IV F.</w:t>
      </w:r>
    </w:p>
    <w:tbl>
      <w:tblPr>
        <w:tblStyle w:val="TableGrid"/>
        <w:tblW w:w="0" w:type="auto"/>
        <w:tblInd w:w="1139" w:type="dxa"/>
        <w:tblLayout w:type="fixed"/>
        <w:tblLook w:val="04A0" w:firstRow="1" w:lastRow="0" w:firstColumn="1" w:lastColumn="0" w:noHBand="0" w:noVBand="1"/>
      </w:tblPr>
      <w:tblGrid>
        <w:gridCol w:w="2776"/>
        <w:gridCol w:w="2034"/>
        <w:gridCol w:w="2635"/>
      </w:tblGrid>
      <w:tr w:rsidR="003A13C5" w14:paraId="73279007" w14:textId="77777777" w:rsidTr="00356164">
        <w:tc>
          <w:tcPr>
            <w:tcW w:w="2776" w:type="dxa"/>
            <w:tcBorders>
              <w:right w:val="nil"/>
            </w:tcBorders>
            <w:shd w:val="clear" w:color="auto" w:fill="auto"/>
          </w:tcPr>
          <w:p w14:paraId="4E7E2D92" w14:textId="77777777" w:rsidR="003A13C5" w:rsidRPr="00DC53DA" w:rsidRDefault="003A13C5" w:rsidP="00356164">
            <w:pPr>
              <w:pStyle w:val="SingleTxtG"/>
              <w:ind w:left="57" w:right="57"/>
              <w:jc w:val="left"/>
              <w:rPr>
                <w:rStyle w:val="SingleTxtGChar"/>
              </w:rPr>
            </w:pP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14:paraId="59A70CAF" w14:textId="77777777" w:rsidR="003A13C5" w:rsidRDefault="003A13C5" w:rsidP="00356164">
            <w:pPr>
              <w:pStyle w:val="SingleTxtG"/>
              <w:ind w:left="57" w:right="57"/>
              <w:jc w:val="left"/>
              <w:rPr>
                <w:rStyle w:val="SingleTxtGChar"/>
              </w:rPr>
            </w:pPr>
            <w:r>
              <w:rPr>
                <w:b/>
                <w:bCs/>
              </w:rPr>
              <w:t>S16 применяется от</w:t>
            </w:r>
          </w:p>
        </w:tc>
        <w:tc>
          <w:tcPr>
            <w:tcW w:w="2635" w:type="dxa"/>
            <w:shd w:val="clear" w:color="auto" w:fill="auto"/>
          </w:tcPr>
          <w:p w14:paraId="789E7CD3" w14:textId="77777777" w:rsidR="003A13C5" w:rsidRDefault="003A13C5" w:rsidP="00356164">
            <w:pPr>
              <w:pStyle w:val="SingleTxtG"/>
              <w:tabs>
                <w:tab w:val="left" w:pos="1954"/>
              </w:tabs>
              <w:ind w:left="57" w:right="57"/>
              <w:jc w:val="left"/>
              <w:rPr>
                <w:rStyle w:val="SingleTxtGChar"/>
              </w:rPr>
            </w:pPr>
            <w:r w:rsidRPr="00C34FE0">
              <w:rPr>
                <w:b/>
                <w:bCs/>
              </w:rPr>
              <w:t>1.10.3</w:t>
            </w:r>
            <w:r>
              <w:t xml:space="preserve"> </w:t>
            </w:r>
            <w:r>
              <w:rPr>
                <w:b/>
                <w:bCs/>
              </w:rPr>
              <w:t>применяется от</w:t>
            </w:r>
          </w:p>
        </w:tc>
      </w:tr>
      <w:tr w:rsidR="003A13C5" w14:paraId="16FA747D" w14:textId="77777777" w:rsidTr="00356164">
        <w:tc>
          <w:tcPr>
            <w:tcW w:w="2776" w:type="dxa"/>
          </w:tcPr>
          <w:p w14:paraId="4FCD539A" w14:textId="77777777" w:rsidR="003A13C5" w:rsidRDefault="003A13C5" w:rsidP="00356164">
            <w:pPr>
              <w:pStyle w:val="SingleTxtG"/>
              <w:ind w:left="57" w:right="57"/>
              <w:jc w:val="left"/>
              <w:rPr>
                <w:rStyle w:val="SingleTxtGChar"/>
              </w:rPr>
            </w:pPr>
            <w:r>
              <w:t>№ ООН 3111 и № ООН 3112</w:t>
            </w:r>
            <w:r w:rsidR="00356164">
              <w:br/>
            </w:r>
            <w:r>
              <w:t>(класс 5.2)</w:t>
            </w:r>
          </w:p>
        </w:tc>
        <w:tc>
          <w:tcPr>
            <w:tcW w:w="2034" w:type="dxa"/>
            <w:shd w:val="clear" w:color="auto" w:fill="auto"/>
          </w:tcPr>
          <w:p w14:paraId="130D2CEA" w14:textId="77777777" w:rsidR="003A13C5" w:rsidRDefault="003A13C5" w:rsidP="00356164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</w:rPr>
            </w:pPr>
            <w:r>
              <w:t>500 кг</w:t>
            </w:r>
          </w:p>
        </w:tc>
        <w:tc>
          <w:tcPr>
            <w:tcW w:w="2635" w:type="dxa"/>
            <w:shd w:val="clear" w:color="auto" w:fill="auto"/>
          </w:tcPr>
          <w:p w14:paraId="7B80CB0C" w14:textId="77777777" w:rsidR="003A13C5" w:rsidRDefault="003A13C5" w:rsidP="00356164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</w:rPr>
            </w:pPr>
            <w:r>
              <w:t>Неприменимо</w:t>
            </w:r>
          </w:p>
        </w:tc>
      </w:tr>
      <w:tr w:rsidR="003A13C5" w14:paraId="74D061CF" w14:textId="77777777" w:rsidTr="00356164">
        <w:tc>
          <w:tcPr>
            <w:tcW w:w="2776" w:type="dxa"/>
          </w:tcPr>
          <w:p w14:paraId="21538CE5" w14:textId="77777777" w:rsidR="003A13C5" w:rsidRDefault="003A13C5" w:rsidP="00356164">
            <w:pPr>
              <w:pStyle w:val="SingleTxtG"/>
              <w:ind w:left="57" w:right="57"/>
              <w:jc w:val="left"/>
              <w:rPr>
                <w:rStyle w:val="SingleTxtGChar"/>
              </w:rPr>
            </w:pPr>
            <w:r>
              <w:t>№ ООН 3231 и № ООН 3232</w:t>
            </w:r>
            <w:r w:rsidR="00356164">
              <w:br/>
            </w:r>
            <w:r>
              <w:t>(класс 4.1)</w:t>
            </w:r>
          </w:p>
        </w:tc>
        <w:tc>
          <w:tcPr>
            <w:tcW w:w="2034" w:type="dxa"/>
            <w:shd w:val="clear" w:color="auto" w:fill="auto"/>
          </w:tcPr>
          <w:p w14:paraId="1D50EA7C" w14:textId="77777777" w:rsidR="003A13C5" w:rsidRDefault="003A13C5" w:rsidP="00356164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</w:rPr>
            </w:pPr>
            <w:r>
              <w:t>500 кг</w:t>
            </w:r>
          </w:p>
        </w:tc>
        <w:tc>
          <w:tcPr>
            <w:tcW w:w="2635" w:type="dxa"/>
            <w:shd w:val="clear" w:color="auto" w:fill="auto"/>
          </w:tcPr>
          <w:p w14:paraId="444060DA" w14:textId="77777777" w:rsidR="003A13C5" w:rsidRDefault="003A13C5" w:rsidP="00356164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</w:rPr>
            </w:pPr>
            <w:r>
              <w:t>Неприменимо</w:t>
            </w:r>
          </w:p>
        </w:tc>
      </w:tr>
      <w:tr w:rsidR="00DE67AC" w14:paraId="70EEBCB7" w14:textId="77777777" w:rsidTr="00C85AA0">
        <w:tc>
          <w:tcPr>
            <w:tcW w:w="7445" w:type="dxa"/>
            <w:gridSpan w:val="3"/>
          </w:tcPr>
          <w:p w14:paraId="79454180" w14:textId="77777777" w:rsidR="00DE67AC" w:rsidRDefault="00DE67AC" w:rsidP="00356164">
            <w:pPr>
              <w:pStyle w:val="SingleTxtG"/>
              <w:tabs>
                <w:tab w:val="left" w:pos="1701"/>
              </w:tabs>
              <w:ind w:left="57" w:right="57"/>
              <w:jc w:val="left"/>
            </w:pPr>
            <w:r w:rsidRPr="00356164">
              <w:rPr>
                <w:i/>
                <w:iCs/>
                <w:sz w:val="18"/>
                <w:szCs w:val="18"/>
              </w:rPr>
              <w:t>Примечание</w:t>
            </w:r>
            <w:r w:rsidRPr="0035616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  </w:t>
            </w:r>
            <w:r w:rsidRPr="00356164">
              <w:rPr>
                <w:sz w:val="18"/>
                <w:szCs w:val="18"/>
              </w:rPr>
              <w:t>Положения отличаются друг от друга. Если это будет сочтено необходимым, данный вопрос можно было бы рассмотреть в рамках отдельного предложения.</w:t>
            </w:r>
          </w:p>
        </w:tc>
      </w:tr>
    </w:tbl>
    <w:p w14:paraId="11CAA401" w14:textId="77777777" w:rsidR="003A13C5" w:rsidRPr="00DE67AC" w:rsidRDefault="003A13C5" w:rsidP="00DE67AC">
      <w:pPr>
        <w:pStyle w:val="SingleTxtG"/>
        <w:spacing w:after="0"/>
      </w:pP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181"/>
        <w:gridCol w:w="4327"/>
      </w:tblGrid>
      <w:tr w:rsidR="003A13C5" w:rsidRPr="00C319E9" w14:paraId="4A027753" w14:textId="77777777" w:rsidTr="00A11487">
        <w:tc>
          <w:tcPr>
            <w:tcW w:w="7508" w:type="dxa"/>
            <w:gridSpan w:val="2"/>
          </w:tcPr>
          <w:p w14:paraId="26028704" w14:textId="77777777" w:rsidR="003A13C5" w:rsidRPr="00DC53DA" w:rsidRDefault="003A13C5" w:rsidP="00356164">
            <w:pPr>
              <w:pStyle w:val="SingleTxtG"/>
              <w:tabs>
                <w:tab w:val="left" w:pos="1701"/>
              </w:tabs>
              <w:ind w:left="57" w:right="57"/>
              <w:jc w:val="center"/>
              <w:rPr>
                <w:rStyle w:val="SingleTxtGChar"/>
                <w:b/>
              </w:rPr>
            </w:pPr>
            <w:r>
              <w:rPr>
                <w:b/>
                <w:bCs/>
              </w:rPr>
              <w:t>S21 в сравнении с разделом 1.10.3</w:t>
            </w:r>
          </w:p>
        </w:tc>
      </w:tr>
      <w:tr w:rsidR="003A13C5" w:rsidRPr="00C319E9" w14:paraId="23FC2836" w14:textId="77777777" w:rsidTr="00A11487">
        <w:tc>
          <w:tcPr>
            <w:tcW w:w="3181" w:type="dxa"/>
            <w:shd w:val="clear" w:color="auto" w:fill="auto"/>
          </w:tcPr>
          <w:p w14:paraId="5BA880F2" w14:textId="77777777" w:rsidR="003A13C5" w:rsidRPr="00DC53DA" w:rsidRDefault="003A13C5" w:rsidP="00356164">
            <w:pPr>
              <w:pStyle w:val="SingleTxtG"/>
              <w:tabs>
                <w:tab w:val="left" w:pos="1701"/>
              </w:tabs>
              <w:ind w:left="57" w:right="57"/>
              <w:jc w:val="left"/>
              <w:rPr>
                <w:rStyle w:val="SingleTxtGChar"/>
                <w:b/>
              </w:rPr>
            </w:pPr>
            <w:r>
              <w:t xml:space="preserve">S21 применяется ко всем материалам класса 7, независимо от их массы. </w:t>
            </w:r>
          </w:p>
        </w:tc>
        <w:tc>
          <w:tcPr>
            <w:tcW w:w="4327" w:type="dxa"/>
            <w:shd w:val="clear" w:color="auto" w:fill="auto"/>
          </w:tcPr>
          <w:p w14:paraId="6A679CED" w14:textId="77777777" w:rsidR="003A13C5" w:rsidRPr="00DC53DA" w:rsidRDefault="003A13C5" w:rsidP="00356164">
            <w:pPr>
              <w:pStyle w:val="SingleTxtG"/>
              <w:tabs>
                <w:tab w:val="left" w:pos="1701"/>
              </w:tabs>
              <w:ind w:left="57" w:right="57"/>
              <w:rPr>
                <w:rStyle w:val="SingleTxtGChar"/>
                <w:b/>
              </w:rPr>
            </w:pPr>
            <w:r>
              <w:t>Положения по грузам повышенной опасности, содержащиеся в разделе 1.10.3, применяются</w:t>
            </w:r>
            <w:r w:rsidR="00356164">
              <w:br/>
            </w:r>
            <w:r>
              <w:t>к радиоактивным материалам, у которых удельная активность превышает значение, указанное в разделе 1.10.3.</w:t>
            </w:r>
          </w:p>
        </w:tc>
      </w:tr>
      <w:tr w:rsidR="00DE67AC" w:rsidRPr="00C319E9" w14:paraId="4B3DA624" w14:textId="77777777" w:rsidTr="00AF5423">
        <w:tc>
          <w:tcPr>
            <w:tcW w:w="7508" w:type="dxa"/>
            <w:gridSpan w:val="2"/>
            <w:shd w:val="clear" w:color="auto" w:fill="auto"/>
          </w:tcPr>
          <w:p w14:paraId="1B9F599D" w14:textId="77777777" w:rsidR="00DE67AC" w:rsidRDefault="00DE67AC" w:rsidP="000D243E">
            <w:pPr>
              <w:pStyle w:val="SingleTxtG"/>
              <w:tabs>
                <w:tab w:val="left" w:pos="1701"/>
              </w:tabs>
              <w:ind w:left="57" w:right="57"/>
              <w:jc w:val="left"/>
            </w:pPr>
            <w:r w:rsidRPr="00356164">
              <w:rPr>
                <w:i/>
                <w:iCs/>
                <w:sz w:val="18"/>
                <w:szCs w:val="18"/>
              </w:rPr>
              <w:t>Примечание</w:t>
            </w:r>
            <w:r w:rsidRPr="00356164">
              <w:rPr>
                <w:sz w:val="18"/>
                <w:szCs w:val="18"/>
              </w:rPr>
              <w:t>:</w:t>
            </w:r>
            <w:r w:rsidRPr="00356164">
              <w:rPr>
                <w:sz w:val="18"/>
                <w:szCs w:val="18"/>
                <w:lang w:val="en-US"/>
              </w:rPr>
              <w:t>  </w:t>
            </w:r>
            <w:r w:rsidRPr="00356164">
              <w:rPr>
                <w:sz w:val="18"/>
                <w:szCs w:val="18"/>
              </w:rPr>
              <w:t>Мы не видим каких-либо реальных несоответствий между этими двумя положениями.</w:t>
            </w:r>
          </w:p>
        </w:tc>
      </w:tr>
    </w:tbl>
    <w:p w14:paraId="171B7F35" w14:textId="77777777" w:rsidR="003A13C5" w:rsidRPr="00CA3D9D" w:rsidRDefault="003A13C5" w:rsidP="00DE67AC">
      <w:pPr>
        <w:pStyle w:val="SingleTxtG"/>
        <w:spacing w:before="120"/>
      </w:pPr>
      <w:r>
        <w:t>10.</w:t>
      </w:r>
      <w:r>
        <w:tab/>
        <w:t xml:space="preserve">Как показано выше, существуют некоторые различия между предельными значениями, указанными в главе 8.5, и предельными значениями, указанными в разделе 1.10.3. Несомненно, это можно было бы обсудить, однако мы бы предпочли, чтобы этот вопрос рассматривался отдельно, отчасти для того, чтобы эта уже ведущаяся работа продвигалась вперед, и отчасти потому, что это касается главы 1.10, обсуждение которой первоначально должно состояться в Подкомитете по ПОГ. Вместо этого мы предлагаем внести поправки, которые не будут зависеть от любых дальнейших поправок к перечню, приведенному в разделе 1.10.3. </w:t>
      </w:r>
    </w:p>
    <w:p w14:paraId="14EBDCB6" w14:textId="77777777" w:rsidR="003A13C5" w:rsidRPr="00DC53DA" w:rsidRDefault="003A13C5" w:rsidP="003A13C5">
      <w:pPr>
        <w:pStyle w:val="H1G"/>
        <w:rPr>
          <w:rStyle w:val="SingleTxtGChar"/>
          <w:b w:val="0"/>
        </w:rPr>
      </w:pPr>
      <w:r>
        <w:tab/>
      </w:r>
      <w:r>
        <w:tab/>
        <w:t>Резюме</w:t>
      </w:r>
    </w:p>
    <w:p w14:paraId="377EFE65" w14:textId="77777777" w:rsidR="003A13C5" w:rsidRPr="00CA3D9D" w:rsidRDefault="003A13C5" w:rsidP="00CA3D9D">
      <w:pPr>
        <w:pStyle w:val="SingleTxtG"/>
      </w:pPr>
      <w:r>
        <w:t>11.</w:t>
      </w:r>
      <w:r>
        <w:tab/>
        <w:t xml:space="preserve">Предыдущие обсуждения вместе с результатами опроса показывают, что было бы проблематично определить, что подразумевается под «наблюдением», посредством указания определенных мер в положениях S1 (6), S16 и S21. По этой причине мы считаем, что более подходящим решением было бы положение, которое можно было бы адаптировать к специфическим условиям конкретной перевозки. </w:t>
      </w:r>
    </w:p>
    <w:p w14:paraId="1DF23F16" w14:textId="77777777" w:rsidR="003A13C5" w:rsidRPr="00CA3D9D" w:rsidRDefault="003A13C5" w:rsidP="00CA3D9D">
      <w:pPr>
        <w:pStyle w:val="SingleTxtG"/>
      </w:pPr>
      <w:r>
        <w:t>12.</w:t>
      </w:r>
      <w:r>
        <w:tab/>
        <w:t>Цель положений главы 1.10 заключается в том, чтобы требовать принятия мер безопасности и предосторожности с целью сведения к минимуму случаев хищения или неправильного применения опасных грузов, в результате чего может возникнуть угроза здоровью и жизни людей, имуществу или окружающей среде. Положение, касающееся планов обеспечения безопасности, предусматривает, в частности, следующее:</w:t>
      </w:r>
    </w:p>
    <w:p w14:paraId="716AF306" w14:textId="77777777" w:rsidR="003A13C5" w:rsidRPr="00DC53DA" w:rsidRDefault="003A13C5" w:rsidP="00DE67AC">
      <w:pPr>
        <w:pStyle w:val="SingleTxtG"/>
        <w:tabs>
          <w:tab w:val="left" w:pos="1701"/>
        </w:tabs>
        <w:rPr>
          <w:rStyle w:val="SingleTxtGChar"/>
        </w:rPr>
      </w:pPr>
      <w:r>
        <w:t>«</w:t>
      </w:r>
      <w:r w:rsidRPr="009F20A5">
        <w:rPr>
          <w:rStyle w:val="SingleTxtGChar"/>
        </w:rPr>
        <w:t xml:space="preserve">1.10.3.2 </w:t>
      </w:r>
      <w:r>
        <w:rPr>
          <w:i/>
          <w:iCs/>
        </w:rPr>
        <w:t>План обеспечения безопасности должен включать по меньшей мере следующие элементы:</w:t>
      </w:r>
    </w:p>
    <w:p w14:paraId="2EFA2AB0" w14:textId="77777777" w:rsidR="003A13C5" w:rsidRPr="00DC53DA" w:rsidRDefault="003A13C5" w:rsidP="00DE67AC">
      <w:pPr>
        <w:pStyle w:val="SingleTxtG"/>
        <w:tabs>
          <w:tab w:val="left" w:pos="1701"/>
        </w:tabs>
        <w:ind w:left="1689" w:hanging="555"/>
      </w:pPr>
      <w:r>
        <w:t>c)</w:t>
      </w:r>
      <w:r>
        <w:tab/>
      </w:r>
      <w:r>
        <w:rPr>
          <w:i/>
          <w:iCs/>
        </w:rPr>
        <w:t>оценку текущих операций и обусловленных ими рисков, связанных</w:t>
      </w:r>
      <w:r w:rsidR="00DE67AC">
        <w:rPr>
          <w:i/>
          <w:iCs/>
        </w:rPr>
        <w:br/>
      </w:r>
      <w:r>
        <w:rPr>
          <w:i/>
          <w:iCs/>
        </w:rPr>
        <w:t xml:space="preserve">с безопасностью, </w:t>
      </w:r>
      <w:r>
        <w:rPr>
          <w:i/>
          <w:iCs/>
          <w:u w:val="single"/>
        </w:rPr>
        <w:t>включая любые остановки, требуемые в соответствии</w:t>
      </w:r>
      <w:r w:rsidR="00DE67AC">
        <w:rPr>
          <w:i/>
          <w:iCs/>
          <w:u w:val="single"/>
        </w:rPr>
        <w:br/>
      </w:r>
      <w:r>
        <w:rPr>
          <w:i/>
          <w:iCs/>
          <w:u w:val="single"/>
        </w:rPr>
        <w:t>с условиями перевозки</w:t>
      </w:r>
      <w:r w:rsidRPr="00DE67AC">
        <w:rPr>
          <w:i/>
          <w:iCs/>
        </w:rPr>
        <w:t>,</w:t>
      </w:r>
      <w:r>
        <w:rPr>
          <w:i/>
          <w:iCs/>
        </w:rPr>
        <w:t xml:space="preserve"> нахождение опасных грузов в транспортном средстве, цистерне или контейнере до, во время и после рейса и промежуточное временное складирование опасных грузов в процессе смены вида транспорта или перегрузки, в зависимости от конкретной ситуации;».</w:t>
      </w:r>
    </w:p>
    <w:p w14:paraId="4E445F01" w14:textId="77777777" w:rsidR="003A13C5" w:rsidRPr="00CA3D9D" w:rsidRDefault="003A13C5" w:rsidP="00CA3D9D">
      <w:pPr>
        <w:pStyle w:val="SingleTxtG"/>
      </w:pPr>
      <w:r>
        <w:t>13.</w:t>
      </w:r>
      <w:r>
        <w:tab/>
        <w:t>На основе обсуждений и фактов, выявленных в ходе этой работы, а также вышеупомянутой аргументации Швеция предлагает включить ссылку на планы обеспечения безопасности, предусмотренные в подразделе 1.10.3.2,</w:t>
      </w:r>
      <w:r w:rsidR="00CA3D9D">
        <w:br/>
      </w:r>
      <w:r>
        <w:t xml:space="preserve">в соответствующие части положений S главы 8.5. </w:t>
      </w:r>
    </w:p>
    <w:p w14:paraId="2FFD84A1" w14:textId="77777777" w:rsidR="003A13C5" w:rsidRPr="00DC53DA" w:rsidRDefault="003A13C5" w:rsidP="003A13C5">
      <w:pPr>
        <w:pStyle w:val="HChG"/>
      </w:pPr>
      <w:r>
        <w:tab/>
      </w:r>
      <w:r>
        <w:tab/>
      </w:r>
      <w:r>
        <w:rPr>
          <w:bCs/>
        </w:rPr>
        <w:t>Предложения</w:t>
      </w:r>
    </w:p>
    <w:p w14:paraId="2BD5D11B" w14:textId="77777777" w:rsidR="003A13C5" w:rsidRPr="00DC53DA" w:rsidRDefault="003A13C5" w:rsidP="00CA3D9D">
      <w:pPr>
        <w:pStyle w:val="SingleTxtG"/>
      </w:pPr>
      <w:r>
        <w:t>14.</w:t>
      </w:r>
      <w:r>
        <w:tab/>
        <w:t>Изменить текст дополнительного требования S1 (6) главы 8.5 следующим образом (изменения подчеркнуты):</w:t>
      </w:r>
    </w:p>
    <w:p w14:paraId="44C3D0A0" w14:textId="77777777" w:rsidR="003A13C5" w:rsidRPr="00DC53DA" w:rsidRDefault="003A13C5" w:rsidP="00DE67AC">
      <w:pPr>
        <w:tabs>
          <w:tab w:val="left" w:pos="1722"/>
        </w:tabs>
        <w:spacing w:before="120" w:after="120"/>
        <w:ind w:left="1134"/>
        <w:rPr>
          <w:b/>
          <w:i/>
        </w:rPr>
      </w:pPr>
      <w:r w:rsidRPr="00DE67AC">
        <w:rPr>
          <w:bCs/>
          <w:spacing w:val="-8"/>
        </w:rPr>
        <w:t>«</w:t>
      </w:r>
      <w:r w:rsidRPr="00DE67AC">
        <w:rPr>
          <w:b/>
          <w:bCs/>
          <w:spacing w:val="-8"/>
        </w:rPr>
        <w:t>S1 (6)</w:t>
      </w:r>
      <w:r w:rsidRPr="00DE67AC">
        <w:rPr>
          <w:b/>
          <w:bCs/>
          <w:spacing w:val="-8"/>
        </w:rPr>
        <w:tab/>
      </w:r>
      <w:r>
        <w:rPr>
          <w:b/>
          <w:bCs/>
          <w:i/>
          <w:iCs/>
        </w:rPr>
        <w:t>Наблюдение за транспортными средствами</w:t>
      </w:r>
    </w:p>
    <w:p w14:paraId="27275F78" w14:textId="77777777" w:rsidR="003A13C5" w:rsidRPr="00DC53DA" w:rsidRDefault="003A13C5" w:rsidP="00356164">
      <w:pPr>
        <w:tabs>
          <w:tab w:val="left" w:pos="-1227"/>
          <w:tab w:val="left" w:pos="-720"/>
          <w:tab w:val="left" w:pos="1985"/>
          <w:tab w:val="left" w:pos="2552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00"/>
        <w:ind w:left="1701" w:right="1134"/>
        <w:jc w:val="both"/>
      </w:pPr>
      <w:r>
        <w:t>Требования главы 8.4 применяются только в том случае, если в одном транспортном средстве перевозятся вещества и изделия класса 1 с общей массой нетто взрывчатых веществ свыше указанных ниже предельных значений:</w:t>
      </w:r>
    </w:p>
    <w:tbl>
      <w:tblPr>
        <w:tblW w:w="6859" w:type="dxa"/>
        <w:tblInd w:w="1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3"/>
        <w:gridCol w:w="1246"/>
      </w:tblGrid>
      <w:tr w:rsidR="003A13C5" w:rsidRPr="00041B7F" w14:paraId="12BD5B43" w14:textId="77777777" w:rsidTr="007605CF">
        <w:trPr>
          <w:cantSplit/>
        </w:trPr>
        <w:tc>
          <w:tcPr>
            <w:tcW w:w="5613" w:type="dxa"/>
          </w:tcPr>
          <w:p w14:paraId="2C86542A" w14:textId="77777777" w:rsidR="003A13C5" w:rsidRPr="00041B7F" w:rsidRDefault="003A13C5" w:rsidP="00A11487">
            <w:pPr>
              <w:keepNext/>
              <w:keepLines/>
              <w:tabs>
                <w:tab w:val="left" w:pos="1418"/>
              </w:tabs>
              <w:jc w:val="both"/>
            </w:pPr>
            <w:r>
              <w:t>Подкласс 1.1:</w:t>
            </w:r>
          </w:p>
        </w:tc>
        <w:tc>
          <w:tcPr>
            <w:tcW w:w="1246" w:type="dxa"/>
            <w:vAlign w:val="bottom"/>
          </w:tcPr>
          <w:p w14:paraId="3857935E" w14:textId="77777777" w:rsidR="003A13C5" w:rsidRPr="00041B7F" w:rsidRDefault="003A13C5" w:rsidP="00DE67AC">
            <w:pPr>
              <w:keepNext/>
              <w:keepLines/>
              <w:tabs>
                <w:tab w:val="left" w:pos="1418"/>
              </w:tabs>
              <w:jc w:val="right"/>
            </w:pPr>
            <w:r>
              <w:t>0 кг</w:t>
            </w:r>
          </w:p>
        </w:tc>
      </w:tr>
      <w:tr w:rsidR="003A13C5" w:rsidRPr="00041B7F" w14:paraId="6A5A7219" w14:textId="77777777" w:rsidTr="007605CF">
        <w:trPr>
          <w:cantSplit/>
        </w:trPr>
        <w:tc>
          <w:tcPr>
            <w:tcW w:w="5613" w:type="dxa"/>
          </w:tcPr>
          <w:p w14:paraId="0562D237" w14:textId="77777777" w:rsidR="003A13C5" w:rsidRPr="00041B7F" w:rsidRDefault="003A13C5" w:rsidP="00A11487">
            <w:pPr>
              <w:keepNext/>
              <w:keepLines/>
              <w:tabs>
                <w:tab w:val="left" w:pos="1418"/>
              </w:tabs>
              <w:jc w:val="both"/>
            </w:pPr>
            <w:r>
              <w:t>Подкласс 1.2:</w:t>
            </w:r>
          </w:p>
        </w:tc>
        <w:tc>
          <w:tcPr>
            <w:tcW w:w="1246" w:type="dxa"/>
            <w:vAlign w:val="bottom"/>
          </w:tcPr>
          <w:p w14:paraId="3B273649" w14:textId="77777777" w:rsidR="003A13C5" w:rsidRPr="00041B7F" w:rsidRDefault="003A13C5" w:rsidP="00DE67AC">
            <w:pPr>
              <w:keepNext/>
              <w:keepLines/>
              <w:tabs>
                <w:tab w:val="left" w:pos="1418"/>
              </w:tabs>
              <w:jc w:val="right"/>
            </w:pPr>
            <w:r>
              <w:t>0 кг</w:t>
            </w:r>
          </w:p>
        </w:tc>
      </w:tr>
      <w:tr w:rsidR="003A13C5" w:rsidRPr="00041B7F" w14:paraId="0C0DDFC3" w14:textId="77777777" w:rsidTr="007605CF">
        <w:trPr>
          <w:cantSplit/>
        </w:trPr>
        <w:tc>
          <w:tcPr>
            <w:tcW w:w="5613" w:type="dxa"/>
          </w:tcPr>
          <w:p w14:paraId="2AD81248" w14:textId="77777777" w:rsidR="003A13C5" w:rsidRPr="00041B7F" w:rsidRDefault="003A13C5" w:rsidP="00A11487">
            <w:pPr>
              <w:keepNext/>
              <w:keepLines/>
              <w:tabs>
                <w:tab w:val="left" w:pos="1418"/>
              </w:tabs>
              <w:jc w:val="both"/>
            </w:pPr>
            <w:r>
              <w:t>Подкласс 1.3, группа совместимости C:</w:t>
            </w:r>
          </w:p>
        </w:tc>
        <w:tc>
          <w:tcPr>
            <w:tcW w:w="1246" w:type="dxa"/>
            <w:vAlign w:val="bottom"/>
          </w:tcPr>
          <w:p w14:paraId="3E422EE5" w14:textId="77777777" w:rsidR="003A13C5" w:rsidRPr="00041B7F" w:rsidRDefault="003A13C5" w:rsidP="00DE67AC">
            <w:pPr>
              <w:keepNext/>
              <w:keepLines/>
              <w:tabs>
                <w:tab w:val="left" w:pos="1418"/>
              </w:tabs>
              <w:jc w:val="right"/>
              <w:rPr>
                <w:bCs/>
              </w:rPr>
            </w:pPr>
            <w:r>
              <w:t>0 кг</w:t>
            </w:r>
          </w:p>
        </w:tc>
      </w:tr>
      <w:tr w:rsidR="003A13C5" w:rsidRPr="00981F8E" w14:paraId="0BC78D50" w14:textId="77777777" w:rsidTr="007605CF">
        <w:trPr>
          <w:cantSplit/>
        </w:trPr>
        <w:tc>
          <w:tcPr>
            <w:tcW w:w="5613" w:type="dxa"/>
          </w:tcPr>
          <w:p w14:paraId="0B4DE3C8" w14:textId="77777777" w:rsidR="003A13C5" w:rsidRPr="00DC53DA" w:rsidRDefault="003A13C5" w:rsidP="00A11487">
            <w:pPr>
              <w:keepNext/>
              <w:keepLines/>
              <w:tabs>
                <w:tab w:val="left" w:pos="1418"/>
              </w:tabs>
              <w:jc w:val="both"/>
            </w:pPr>
            <w:r>
              <w:t>Подкласс 1.3, кроме группы совместимости C:</w:t>
            </w:r>
          </w:p>
        </w:tc>
        <w:tc>
          <w:tcPr>
            <w:tcW w:w="1246" w:type="dxa"/>
            <w:vAlign w:val="bottom"/>
          </w:tcPr>
          <w:p w14:paraId="46281C04" w14:textId="77777777" w:rsidR="003A13C5" w:rsidRPr="00981F8E" w:rsidRDefault="003A13C5" w:rsidP="00DE67AC">
            <w:pPr>
              <w:keepNext/>
              <w:keepLines/>
              <w:tabs>
                <w:tab w:val="left" w:pos="1418"/>
              </w:tabs>
              <w:jc w:val="right"/>
              <w:rPr>
                <w:bCs/>
              </w:rPr>
            </w:pPr>
            <w:r>
              <w:t>50 кг</w:t>
            </w:r>
          </w:p>
        </w:tc>
      </w:tr>
      <w:tr w:rsidR="003A13C5" w:rsidRPr="00981F8E" w14:paraId="3CCBBF67" w14:textId="77777777" w:rsidTr="007605CF">
        <w:trPr>
          <w:cantSplit/>
        </w:trPr>
        <w:tc>
          <w:tcPr>
            <w:tcW w:w="5613" w:type="dxa"/>
          </w:tcPr>
          <w:p w14:paraId="0184F0F6" w14:textId="77777777" w:rsidR="003A13C5" w:rsidRPr="00981F8E" w:rsidRDefault="003A13C5" w:rsidP="00A11487">
            <w:pPr>
              <w:keepNext/>
              <w:keepLines/>
              <w:tabs>
                <w:tab w:val="left" w:pos="1418"/>
              </w:tabs>
              <w:jc w:val="both"/>
            </w:pPr>
            <w:r>
              <w:t>Подкласс 1.4, кроме перечисленных ниже:</w:t>
            </w:r>
          </w:p>
        </w:tc>
        <w:tc>
          <w:tcPr>
            <w:tcW w:w="1246" w:type="dxa"/>
            <w:vAlign w:val="bottom"/>
          </w:tcPr>
          <w:p w14:paraId="641CB800" w14:textId="77777777" w:rsidR="003A13C5" w:rsidRPr="00981F8E" w:rsidRDefault="003A13C5" w:rsidP="00DE67AC">
            <w:pPr>
              <w:keepNext/>
              <w:keepLines/>
              <w:tabs>
                <w:tab w:val="left" w:pos="1418"/>
              </w:tabs>
              <w:jc w:val="right"/>
            </w:pPr>
            <w:r>
              <w:t>50 кг</w:t>
            </w:r>
          </w:p>
        </w:tc>
      </w:tr>
      <w:tr w:rsidR="003A13C5" w:rsidRPr="00981F8E" w14:paraId="0E56AADA" w14:textId="77777777" w:rsidTr="007605CF">
        <w:trPr>
          <w:cantSplit/>
        </w:trPr>
        <w:tc>
          <w:tcPr>
            <w:tcW w:w="5613" w:type="dxa"/>
          </w:tcPr>
          <w:p w14:paraId="6F7AAAD5" w14:textId="77777777" w:rsidR="003A13C5" w:rsidRPr="00981F8E" w:rsidRDefault="003A13C5" w:rsidP="00A11487">
            <w:pPr>
              <w:keepNext/>
              <w:keepLines/>
              <w:tabs>
                <w:tab w:val="left" w:pos="1418"/>
              </w:tabs>
              <w:jc w:val="both"/>
            </w:pPr>
            <w:r>
              <w:t>Подкласс 1.5:</w:t>
            </w:r>
          </w:p>
        </w:tc>
        <w:tc>
          <w:tcPr>
            <w:tcW w:w="1246" w:type="dxa"/>
            <w:vAlign w:val="bottom"/>
          </w:tcPr>
          <w:p w14:paraId="4FF8941B" w14:textId="77777777" w:rsidR="003A13C5" w:rsidRPr="00981F8E" w:rsidRDefault="003A13C5" w:rsidP="00DE67AC">
            <w:pPr>
              <w:keepNext/>
              <w:keepLines/>
              <w:tabs>
                <w:tab w:val="left" w:pos="1418"/>
              </w:tabs>
              <w:jc w:val="right"/>
            </w:pPr>
            <w:r>
              <w:t>0 кг</w:t>
            </w:r>
          </w:p>
        </w:tc>
      </w:tr>
      <w:tr w:rsidR="003A13C5" w:rsidRPr="00041B7F" w14:paraId="22FF3F17" w14:textId="77777777" w:rsidTr="007605CF">
        <w:trPr>
          <w:cantSplit/>
        </w:trPr>
        <w:tc>
          <w:tcPr>
            <w:tcW w:w="5613" w:type="dxa"/>
          </w:tcPr>
          <w:p w14:paraId="2DE514E9" w14:textId="77777777" w:rsidR="003A13C5" w:rsidRPr="00981F8E" w:rsidRDefault="003A13C5" w:rsidP="00A11487">
            <w:pPr>
              <w:keepNext/>
              <w:keepLines/>
              <w:tabs>
                <w:tab w:val="left" w:pos="1418"/>
              </w:tabs>
              <w:jc w:val="both"/>
            </w:pPr>
            <w:r>
              <w:t>Подкласс 1.6:</w:t>
            </w:r>
          </w:p>
        </w:tc>
        <w:tc>
          <w:tcPr>
            <w:tcW w:w="1246" w:type="dxa"/>
            <w:vAlign w:val="bottom"/>
          </w:tcPr>
          <w:p w14:paraId="485FEC76" w14:textId="77777777" w:rsidR="003A13C5" w:rsidRPr="00981F8E" w:rsidRDefault="003A13C5" w:rsidP="00DE67AC">
            <w:pPr>
              <w:keepNext/>
              <w:keepLines/>
              <w:tabs>
                <w:tab w:val="left" w:pos="1418"/>
              </w:tabs>
              <w:jc w:val="right"/>
            </w:pPr>
            <w:r>
              <w:t>50 кг</w:t>
            </w:r>
          </w:p>
        </w:tc>
      </w:tr>
      <w:tr w:rsidR="003A13C5" w:rsidRPr="00041B7F" w14:paraId="18AA7BEE" w14:textId="77777777" w:rsidTr="007605CF">
        <w:trPr>
          <w:cantSplit/>
        </w:trPr>
        <w:tc>
          <w:tcPr>
            <w:tcW w:w="5613" w:type="dxa"/>
          </w:tcPr>
          <w:p w14:paraId="35240F20" w14:textId="77777777" w:rsidR="003A13C5" w:rsidRPr="00DC53DA" w:rsidRDefault="003A13C5" w:rsidP="00A11487">
            <w:pPr>
              <w:keepNext/>
              <w:keepLines/>
              <w:tabs>
                <w:tab w:val="left" w:pos="1418"/>
              </w:tabs>
              <w:jc w:val="both"/>
            </w:pPr>
            <w:r>
              <w:t>Вещества и изделия подкласса 1.4, относящиеся к № ООН 0104, 0237, 0255, 0267, 0289, 0361, 0365, 0366, 0440, 0441, 0455, 0456 и 0500:</w:t>
            </w:r>
          </w:p>
        </w:tc>
        <w:tc>
          <w:tcPr>
            <w:tcW w:w="1246" w:type="dxa"/>
            <w:vAlign w:val="bottom"/>
          </w:tcPr>
          <w:p w14:paraId="43651A30" w14:textId="77777777" w:rsidR="003A13C5" w:rsidRPr="00041B7F" w:rsidRDefault="003A13C5" w:rsidP="00DE67AC">
            <w:pPr>
              <w:keepNext/>
              <w:keepLines/>
              <w:tabs>
                <w:tab w:val="left" w:pos="1418"/>
              </w:tabs>
              <w:jc w:val="right"/>
            </w:pPr>
            <w:r>
              <w:t>0 кг</w:t>
            </w:r>
          </w:p>
        </w:tc>
      </w:tr>
    </w:tbl>
    <w:p w14:paraId="5F6120CB" w14:textId="77777777" w:rsidR="003A13C5" w:rsidRPr="00954D6D" w:rsidRDefault="003A13C5" w:rsidP="00356164">
      <w:pPr>
        <w:tabs>
          <w:tab w:val="left" w:pos="-1227"/>
          <w:tab w:val="left" w:pos="-720"/>
          <w:tab w:val="left" w:pos="1985"/>
          <w:tab w:val="left" w:pos="2552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00"/>
        <w:ind w:left="1701" w:right="1134"/>
        <w:jc w:val="both"/>
      </w:pPr>
      <w:r>
        <w:t>В случае смешанных партий грузов наименьшее предельное значение, применяемое к любым перевозимым веществам или изделиям, используется для всей партии грузов в целом.</w:t>
      </w:r>
    </w:p>
    <w:p w14:paraId="2C33E297" w14:textId="6B251FC7" w:rsidR="003A13C5" w:rsidRPr="007C5150" w:rsidRDefault="003A13C5" w:rsidP="00356164">
      <w:pPr>
        <w:tabs>
          <w:tab w:val="left" w:pos="-1227"/>
          <w:tab w:val="left" w:pos="-720"/>
          <w:tab w:val="left" w:pos="1985"/>
          <w:tab w:val="left" w:pos="2552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00"/>
        <w:ind w:left="1701" w:right="1134"/>
        <w:jc w:val="both"/>
      </w:pPr>
      <w:r w:rsidRPr="007C5150">
        <w:t>Кроме того, за этими веществами и изделиями</w:t>
      </w:r>
      <w:r w:rsidRPr="007C5150">
        <w:rPr>
          <w:u w:val="single"/>
        </w:rPr>
        <w:t>, когда на них распространяются положения раздела 1.10.3,</w:t>
      </w:r>
      <w:r>
        <w:t xml:space="preserve"> </w:t>
      </w:r>
      <w:r w:rsidRPr="007C5150">
        <w:t>должно осуществляться постоянное наблюдение</w:t>
      </w:r>
      <w:r w:rsidR="00E16664">
        <w:br/>
      </w:r>
      <w:r w:rsidRPr="007C5150">
        <w:rPr>
          <w:u w:val="single"/>
        </w:rPr>
        <w:t>в соответствии с планом обеспечения безопасности, предусмотренным</w:t>
      </w:r>
      <w:r w:rsidR="00E16664">
        <w:rPr>
          <w:u w:val="single"/>
        </w:rPr>
        <w:br/>
      </w:r>
      <w:r w:rsidRPr="007C5150">
        <w:rPr>
          <w:u w:val="single"/>
        </w:rPr>
        <w:t>в подразделе 1.10.3.2</w:t>
      </w:r>
      <w:r>
        <w:t>,</w:t>
      </w:r>
      <w:r w:rsidRPr="007C5150">
        <w:t xml:space="preserve"> с тем чтобы предотвратить любое злонамеренное действие и предупредить водителя и компетентные органы об опасности в случае потери груза или пожара.</w:t>
      </w:r>
    </w:p>
    <w:p w14:paraId="5D888256" w14:textId="77777777" w:rsidR="003A13C5" w:rsidRPr="00DC53DA" w:rsidRDefault="003A13C5" w:rsidP="00356164">
      <w:pPr>
        <w:tabs>
          <w:tab w:val="left" w:pos="-1227"/>
          <w:tab w:val="left" w:pos="-720"/>
          <w:tab w:val="left" w:pos="1985"/>
          <w:tab w:val="left" w:pos="2552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00"/>
        <w:ind w:left="1701" w:right="1134"/>
        <w:jc w:val="both"/>
      </w:pPr>
      <w:r>
        <w:t>Эти требования не распространяются на порожнюю неочищенную тару.».</w:t>
      </w:r>
    </w:p>
    <w:p w14:paraId="58FD0205" w14:textId="77777777" w:rsidR="003A13C5" w:rsidRPr="00DC53DA" w:rsidRDefault="003A13C5" w:rsidP="000D243E">
      <w:pPr>
        <w:pStyle w:val="SingleTxtG"/>
      </w:pPr>
      <w:r>
        <w:t>15.</w:t>
      </w:r>
      <w:r>
        <w:tab/>
        <w:t>Изменить текст дополнительного требования S16 главы 8.5 следующим образом (изменения зачеркнуты/подчеркнуты):</w:t>
      </w:r>
    </w:p>
    <w:p w14:paraId="7D435F6A" w14:textId="77777777" w:rsidR="003A13C5" w:rsidRPr="00DC53DA" w:rsidRDefault="003A13C5" w:rsidP="000D243E">
      <w:pPr>
        <w:spacing w:after="120"/>
        <w:ind w:left="1707" w:right="1134" w:hanging="573"/>
        <w:jc w:val="both"/>
      </w:pPr>
      <w:r>
        <w:rPr>
          <w:b/>
          <w:bCs/>
        </w:rPr>
        <w:t>«S16:</w:t>
      </w:r>
      <w:r>
        <w:tab/>
        <w:t>Положения главы 8.4, касающиеся наблюдения за транспортными средствами, применяются в том случае, если общая масса этих веществ в транспортном средстве превышает 500 кг.</w:t>
      </w:r>
    </w:p>
    <w:p w14:paraId="1CB07167" w14:textId="77777777" w:rsidR="003A13C5" w:rsidRPr="00954D6D" w:rsidRDefault="003A13C5" w:rsidP="000D243E">
      <w:pPr>
        <w:spacing w:after="120"/>
        <w:ind w:left="1701" w:right="1134"/>
        <w:jc w:val="both"/>
      </w:pPr>
      <w:r>
        <w:t xml:space="preserve">Кроме того, </w:t>
      </w:r>
      <w:r w:rsidRPr="00503564">
        <w:rPr>
          <w:strike/>
        </w:rPr>
        <w:t>транспортные средства, перевозящие</w:t>
      </w:r>
      <w:r>
        <w:t xml:space="preserve"> </w:t>
      </w:r>
      <w:r w:rsidRPr="00503564">
        <w:rPr>
          <w:u w:val="single"/>
        </w:rPr>
        <w:t>за транспортными средствами, перевозящими</w:t>
      </w:r>
      <w:r>
        <w:t xml:space="preserve"> более [500] кг этих веществ</w:t>
      </w:r>
      <w:r w:rsidRPr="00B64F05">
        <w:rPr>
          <w:u w:val="single"/>
        </w:rPr>
        <w:t>,</w:t>
      </w:r>
      <w:r>
        <w:t xml:space="preserve"> </w:t>
      </w:r>
      <w:r>
        <w:rPr>
          <w:u w:val="single"/>
        </w:rPr>
        <w:t>когда на них распространяются положения раздела 1.10.3,</w:t>
      </w:r>
      <w:r>
        <w:t xml:space="preserve"> </w:t>
      </w:r>
      <w:r w:rsidRPr="00503564">
        <w:rPr>
          <w:strike/>
        </w:rPr>
        <w:t>должны постоянно находиться под наблюдением</w:t>
      </w:r>
      <w:r>
        <w:t xml:space="preserve"> </w:t>
      </w:r>
      <w:r w:rsidRPr="00503564">
        <w:rPr>
          <w:u w:val="single"/>
        </w:rPr>
        <w:t>должно осуществляться постоянное наблюдение</w:t>
      </w:r>
      <w:r w:rsidRPr="008779C3">
        <w:rPr>
          <w:u w:val="single"/>
        </w:rPr>
        <w:t xml:space="preserve"> </w:t>
      </w:r>
      <w:r>
        <w:rPr>
          <w:u w:val="single"/>
        </w:rPr>
        <w:t>в соответствии с планом обеспечения безопасности, предусмотренным в подразделе 1.10.3.2</w:t>
      </w:r>
      <w:r>
        <w:t xml:space="preserve">, с тем чтобы </w:t>
      </w:r>
      <w:r w:rsidRPr="008779C3">
        <w:rPr>
          <w:strike/>
        </w:rPr>
        <w:t>можно было</w:t>
      </w:r>
      <w:r>
        <w:t xml:space="preserve"> предотвратить любые злонамеренные действия и предупредить водителя и компетентные органы в случае потери груза или пожара.».</w:t>
      </w:r>
    </w:p>
    <w:p w14:paraId="37FB34B1" w14:textId="77777777" w:rsidR="003A13C5" w:rsidRPr="00DC53DA" w:rsidRDefault="003A13C5" w:rsidP="000D243E">
      <w:pPr>
        <w:pStyle w:val="SingleTxtG"/>
      </w:pPr>
      <w:r>
        <w:t>16.</w:t>
      </w:r>
      <w:r>
        <w:tab/>
        <w:t>Изменить текст дополнительного требования S21 главы 8.5 следующим образом (изменения зачеркнуты/подчеркнуты):</w:t>
      </w:r>
    </w:p>
    <w:p w14:paraId="3B212D96" w14:textId="77777777" w:rsidR="003A13C5" w:rsidRPr="00DC53DA" w:rsidRDefault="003A13C5" w:rsidP="00CB2BF6">
      <w:pPr>
        <w:spacing w:before="120" w:after="120"/>
        <w:ind w:left="1689" w:right="992" w:hanging="555"/>
        <w:jc w:val="both"/>
      </w:pPr>
      <w:r w:rsidRPr="000D243E">
        <w:rPr>
          <w:bCs/>
        </w:rPr>
        <w:t>«</w:t>
      </w:r>
      <w:r>
        <w:rPr>
          <w:b/>
          <w:bCs/>
        </w:rPr>
        <w:t>S21:</w:t>
      </w:r>
      <w:r>
        <w:tab/>
        <w:t xml:space="preserve">Положения главы 8.4, касающиеся наблюдения за транспортными средствами, применяются ко всем материалам, независимо от их массы. </w:t>
      </w:r>
      <w:r>
        <w:rPr>
          <w:strike/>
        </w:rPr>
        <w:t>Кроме того, эти грузы должны постоянно находиться под наблюдением, с тем чтобы предотвратить любые злонамеренные действия и предупредить водителя и компетентные органы в случае потери груза или пожара.</w:t>
      </w:r>
      <w:r>
        <w:t xml:space="preserve"> Однако положения главы 8.4 применять не обязательно в том случае, если:</w:t>
      </w:r>
    </w:p>
    <w:p w14:paraId="02DEB1AE" w14:textId="77777777" w:rsidR="003A13C5" w:rsidRPr="00DC53DA" w:rsidRDefault="003A13C5" w:rsidP="00DE67AC">
      <w:pPr>
        <w:tabs>
          <w:tab w:val="left" w:pos="-1227"/>
          <w:tab w:val="left" w:pos="-720"/>
          <w:tab w:val="left" w:pos="0"/>
          <w:tab w:val="left" w:pos="2562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00"/>
        <w:ind w:left="1974" w:right="1134"/>
        <w:jc w:val="both"/>
      </w:pPr>
      <w:r>
        <w:t>a)</w:t>
      </w:r>
      <w:r>
        <w:tab/>
        <w:t>загруженное грузовое отделение заперто или перевозимые упаковки иным образом защищены от несанкционированной разгрузки; и</w:t>
      </w:r>
    </w:p>
    <w:p w14:paraId="3453200D" w14:textId="77777777" w:rsidR="003A13C5" w:rsidRPr="00DC53DA" w:rsidRDefault="003A13C5" w:rsidP="00DE67AC">
      <w:pPr>
        <w:tabs>
          <w:tab w:val="left" w:pos="-1227"/>
          <w:tab w:val="left" w:pos="-720"/>
          <w:tab w:val="left" w:pos="0"/>
          <w:tab w:val="left" w:pos="2552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00"/>
        <w:ind w:left="1974" w:right="1134"/>
        <w:jc w:val="both"/>
      </w:pPr>
      <w:r>
        <w:t>b)</w:t>
      </w:r>
      <w:r w:rsidR="00CB2BF6">
        <w:tab/>
      </w:r>
      <w:r>
        <w:t>уровень излучения в любой доступной точке на внешней поверхности транспортного средства не превышает 5 мкЗв/ч.</w:t>
      </w:r>
    </w:p>
    <w:p w14:paraId="74016345" w14:textId="77777777" w:rsidR="003A13C5" w:rsidRPr="008E0B6D" w:rsidRDefault="003A13C5" w:rsidP="00CB2BF6">
      <w:pPr>
        <w:spacing w:after="200"/>
        <w:ind w:left="1701" w:right="1134"/>
        <w:jc w:val="both"/>
        <w:rPr>
          <w:u w:val="single"/>
        </w:rPr>
      </w:pPr>
      <w:r w:rsidRPr="008E0B6D">
        <w:rPr>
          <w:u w:val="single"/>
        </w:rPr>
        <w:t>Кроме того, за этими грузами</w:t>
      </w:r>
      <w:r>
        <w:rPr>
          <w:u w:val="single"/>
        </w:rPr>
        <w:t>,</w:t>
      </w:r>
      <w:r w:rsidRPr="008E0B6D">
        <w:rPr>
          <w:u w:val="single"/>
        </w:rPr>
        <w:t xml:space="preserve"> </w:t>
      </w:r>
      <w:r>
        <w:rPr>
          <w:u w:val="single"/>
        </w:rPr>
        <w:t>когда на них распространяются положения раздела 1.10.3,</w:t>
      </w:r>
      <w:r w:rsidRPr="008E0B6D">
        <w:rPr>
          <w:u w:val="single"/>
        </w:rPr>
        <w:t xml:space="preserve"> </w:t>
      </w:r>
      <w:r w:rsidRPr="00503564">
        <w:rPr>
          <w:u w:val="single"/>
        </w:rPr>
        <w:t>должно осуществляться постоянное наблюдение</w:t>
      </w:r>
      <w:r w:rsidRPr="008E0B6D">
        <w:rPr>
          <w:u w:val="single"/>
        </w:rPr>
        <w:t xml:space="preserve"> </w:t>
      </w:r>
      <w:r>
        <w:rPr>
          <w:u w:val="single"/>
        </w:rPr>
        <w:t>в соответствии с планом обеспечения безопасности, предусмотренным в подразделе 1.10.3.2</w:t>
      </w:r>
      <w:r w:rsidRPr="008E0B6D">
        <w:rPr>
          <w:u w:val="single"/>
        </w:rPr>
        <w:t>,</w:t>
      </w:r>
      <w:r w:rsidR="00CB2BF6">
        <w:rPr>
          <w:u w:val="single"/>
        </w:rPr>
        <w:br/>
      </w:r>
      <w:r>
        <w:rPr>
          <w:u w:val="single"/>
        </w:rPr>
        <w:t xml:space="preserve">с тем чтобы </w:t>
      </w:r>
      <w:r w:rsidRPr="008E0B6D">
        <w:rPr>
          <w:u w:val="single"/>
        </w:rPr>
        <w:t>предотвратить любые злонамеренные действия и предупредить водителя и компетентные органы в случае потери груза или пожара.».</w:t>
      </w:r>
    </w:p>
    <w:p w14:paraId="744A4905" w14:textId="77777777" w:rsidR="003A13C5" w:rsidRPr="00DC53DA" w:rsidRDefault="003A13C5" w:rsidP="003A13C5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60E047DD" w14:textId="77777777" w:rsidR="003A13C5" w:rsidRPr="00DC53DA" w:rsidRDefault="003A13C5" w:rsidP="003A13C5">
      <w:pPr>
        <w:pStyle w:val="SingleTxtG"/>
        <w:rPr>
          <w:rStyle w:val="SingleTxtGChar"/>
          <w:rFonts w:eastAsiaTheme="minorHAnsi"/>
        </w:rPr>
      </w:pPr>
      <w:r>
        <w:t>17.</w:t>
      </w:r>
      <w:r>
        <w:tab/>
        <w:t>Глава 1.10 посвящена положениям, касающимся обеспечения безопасности. Проводилась и постоянно проводится работа по оценке того, какие вещества и изделия должны рассматриваться в качестве грузов повышенной опасности и требуют принятия конкретных мер для сведения к минимуму риска хищения или неправильного применения. Поэтому включение в главу 8.5 ссылки на планы обеспечения безопасности, предусмотренные в главе 1.10, позволило бы сделать эти положения более последовательными.</w:t>
      </w:r>
    </w:p>
    <w:p w14:paraId="1731DDA7" w14:textId="77777777" w:rsidR="003A13C5" w:rsidRDefault="003A13C5" w:rsidP="003A13C5">
      <w:pPr>
        <w:pStyle w:val="SingleTxtG"/>
      </w:pPr>
      <w:r>
        <w:t>18.</w:t>
      </w:r>
      <w:r>
        <w:tab/>
        <w:t>Кроме того, подраздел 1.10.3.3 требует, чтобы применялись устройства, оборудование или системы защиты от угона автотранспортного средства, перевозящего груз повышенной опасности, и от хищения его груза и чтобы принимались меры для обеспечения того, чтобы эти устройства, оборудование или системы всегда находились в исправном и рабочем состоянии.</w:t>
      </w:r>
    </w:p>
    <w:p w14:paraId="6F110683" w14:textId="77777777" w:rsidR="00CB2BF6" w:rsidRPr="00CB2BF6" w:rsidRDefault="00CB2BF6" w:rsidP="00CB2B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2BF6" w:rsidRPr="00CB2BF6" w:rsidSect="001879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997F7" w14:textId="77777777" w:rsidR="000A775F" w:rsidRPr="00A312BC" w:rsidRDefault="000A775F" w:rsidP="00A312BC"/>
  </w:endnote>
  <w:endnote w:type="continuationSeparator" w:id="0">
    <w:p w14:paraId="7407A061" w14:textId="77777777" w:rsidR="000A775F" w:rsidRPr="00A312BC" w:rsidRDefault="000A77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BB07" w14:textId="662EFE29" w:rsidR="0018790C" w:rsidRPr="0018790C" w:rsidRDefault="0018790C">
    <w:pPr>
      <w:pStyle w:val="Footer"/>
    </w:pPr>
    <w:r w:rsidRPr="0018790C">
      <w:rPr>
        <w:b/>
        <w:sz w:val="18"/>
      </w:rPr>
      <w:fldChar w:fldCharType="begin"/>
    </w:r>
    <w:r w:rsidRPr="0018790C">
      <w:rPr>
        <w:b/>
        <w:sz w:val="18"/>
      </w:rPr>
      <w:instrText xml:space="preserve"> PAGE  \* MERGEFORMAT </w:instrText>
    </w:r>
    <w:r w:rsidRPr="0018790C">
      <w:rPr>
        <w:b/>
        <w:sz w:val="18"/>
      </w:rPr>
      <w:fldChar w:fldCharType="separate"/>
    </w:r>
    <w:r w:rsidR="00A60F78">
      <w:rPr>
        <w:b/>
        <w:noProof/>
        <w:sz w:val="18"/>
      </w:rPr>
      <w:t>2</w:t>
    </w:r>
    <w:r w:rsidRPr="0018790C">
      <w:rPr>
        <w:b/>
        <w:sz w:val="18"/>
      </w:rPr>
      <w:fldChar w:fldCharType="end"/>
    </w:r>
    <w:r>
      <w:rPr>
        <w:b/>
        <w:sz w:val="18"/>
      </w:rPr>
      <w:tab/>
    </w:r>
    <w:r>
      <w:t>GE.19-02581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2B22" w14:textId="31FAC8CA" w:rsidR="0018790C" w:rsidRPr="0018790C" w:rsidRDefault="0018790C" w:rsidP="0018790C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GE.19-02581</w:t>
    </w:r>
    <w:r>
      <w:tab/>
    </w:r>
    <w:r w:rsidRPr="0018790C">
      <w:rPr>
        <w:b/>
        <w:sz w:val="18"/>
      </w:rPr>
      <w:fldChar w:fldCharType="begin"/>
    </w:r>
    <w:r w:rsidRPr="0018790C">
      <w:rPr>
        <w:b/>
        <w:sz w:val="18"/>
      </w:rPr>
      <w:instrText xml:space="preserve"> PAGE  \* MERGEFORMAT </w:instrText>
    </w:r>
    <w:r w:rsidRPr="0018790C">
      <w:rPr>
        <w:b/>
        <w:sz w:val="18"/>
      </w:rPr>
      <w:fldChar w:fldCharType="separate"/>
    </w:r>
    <w:r w:rsidR="00A60F78">
      <w:rPr>
        <w:b/>
        <w:noProof/>
        <w:sz w:val="18"/>
      </w:rPr>
      <w:t>3</w:t>
    </w:r>
    <w:r w:rsidRPr="001879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4329" w14:textId="77777777" w:rsidR="00042B72" w:rsidRPr="0018790C" w:rsidRDefault="0018790C" w:rsidP="0018790C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0513B6A9" wp14:editId="6053319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19-02581  (R)</w:t>
    </w:r>
    <w:r>
      <w:rPr>
        <w:lang w:val="en-US"/>
      </w:rPr>
      <w:t xml:space="preserve">  270219  270219</w:t>
    </w:r>
    <w:r>
      <w:br/>
    </w:r>
    <w:r w:rsidRPr="0018790C">
      <w:rPr>
        <w:rFonts w:ascii="C39T30Lfz" w:hAnsi="C39T30Lfz"/>
        <w:kern w:val="14"/>
        <w:sz w:val="56"/>
      </w:rPr>
      <w:t></w:t>
    </w:r>
    <w:r w:rsidRPr="0018790C">
      <w:rPr>
        <w:rFonts w:ascii="C39T30Lfz" w:hAnsi="C39T30Lfz"/>
        <w:kern w:val="14"/>
        <w:sz w:val="56"/>
      </w:rPr>
      <w:t></w:t>
    </w:r>
    <w:r w:rsidRPr="0018790C">
      <w:rPr>
        <w:rFonts w:ascii="C39T30Lfz" w:hAnsi="C39T30Lfz"/>
        <w:kern w:val="14"/>
        <w:sz w:val="56"/>
      </w:rPr>
      <w:t></w:t>
    </w:r>
    <w:r w:rsidRPr="0018790C">
      <w:rPr>
        <w:rFonts w:ascii="C39T30Lfz" w:hAnsi="C39T30Lfz"/>
        <w:kern w:val="14"/>
        <w:sz w:val="56"/>
      </w:rPr>
      <w:t></w:t>
    </w:r>
    <w:r w:rsidRPr="0018790C">
      <w:rPr>
        <w:rFonts w:ascii="C39T30Lfz" w:hAnsi="C39T30Lfz"/>
        <w:kern w:val="14"/>
        <w:sz w:val="56"/>
      </w:rPr>
      <w:t></w:t>
    </w:r>
    <w:r w:rsidRPr="0018790C">
      <w:rPr>
        <w:rFonts w:ascii="C39T30Lfz" w:hAnsi="C39T30Lfz"/>
        <w:kern w:val="14"/>
        <w:sz w:val="56"/>
      </w:rPr>
      <w:t></w:t>
    </w:r>
    <w:r w:rsidRPr="0018790C">
      <w:rPr>
        <w:rFonts w:ascii="C39T30Lfz" w:hAnsi="C39T30Lfz"/>
        <w:kern w:val="14"/>
        <w:sz w:val="56"/>
      </w:rPr>
      <w:t></w:t>
    </w:r>
    <w:r w:rsidRPr="0018790C">
      <w:rPr>
        <w:rFonts w:ascii="C39T30Lfz" w:hAnsi="C39T30Lfz"/>
        <w:kern w:val="14"/>
        <w:sz w:val="56"/>
      </w:rPr>
      <w:t></w:t>
    </w:r>
    <w:r w:rsidRPr="0018790C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72A2FAB2" wp14:editId="717874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2AAC" w14:textId="77777777" w:rsidR="000A775F" w:rsidRPr="001075E9" w:rsidRDefault="000A77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25C5CA" w14:textId="77777777" w:rsidR="000A775F" w:rsidRDefault="000A77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4E8805" w14:textId="77777777" w:rsidR="003A13C5" w:rsidRPr="00DC53DA" w:rsidRDefault="003A13C5" w:rsidP="003A13C5">
      <w:pPr>
        <w:pStyle w:val="FootnoteText"/>
        <w:tabs>
          <w:tab w:val="left" w:pos="720"/>
        </w:tabs>
        <w:spacing w:after="120"/>
        <w:ind w:left="1418" w:right="1259" w:hanging="284"/>
      </w:pPr>
      <w:r w:rsidRPr="003A13C5">
        <w:rPr>
          <w:rStyle w:val="FootnoteReference"/>
          <w:szCs w:val="18"/>
          <w:vertAlign w:val="baseline"/>
        </w:rPr>
        <w:sym w:font="Symbol" w:char="F02A"/>
      </w:r>
      <w:r>
        <w:tab/>
        <w:t>В соответствии с программой работы Комитета по внутреннему транспорту</w:t>
      </w:r>
      <w:r>
        <w:br/>
        <w:t>на 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E275" w14:textId="3158BCCF" w:rsidR="0018790C" w:rsidRPr="0018790C" w:rsidRDefault="0018790C">
    <w:pPr>
      <w:pStyle w:val="Header"/>
    </w:pPr>
    <w:fldSimple w:instr=" TITLE  \* MERGEFORMAT ">
      <w:r w:rsidR="003C26FE">
        <w:t>ECE/TRANS/WP.15/2019/12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69C7" w14:textId="0192FBB1" w:rsidR="0018790C" w:rsidRPr="0018790C" w:rsidRDefault="0018790C" w:rsidP="0018790C">
    <w:pPr>
      <w:pStyle w:val="Header"/>
      <w:jc w:val="right"/>
    </w:pPr>
    <w:fldSimple w:instr=" TITLE  \* MERGEFORMAT ">
      <w:r w:rsidR="003C26FE">
        <w:t>ECE/TRANS/WP.15/2019/12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56BE2"/>
    <w:multiLevelType w:val="hybridMultilevel"/>
    <w:tmpl w:val="ACC2057E"/>
    <w:lvl w:ilvl="0" w:tplc="E16C7D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F7141"/>
    <w:multiLevelType w:val="hybridMultilevel"/>
    <w:tmpl w:val="198EB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</w:num>
  <w:num w:numId="23">
    <w:abstractNumId w:val="10"/>
    <w:lvlOverride w:ilvl="0">
      <w:lvl w:ilvl="0" w:tplc="E16C7D76"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F"/>
    <w:rsid w:val="00033EE1"/>
    <w:rsid w:val="00042B72"/>
    <w:rsid w:val="000558BD"/>
    <w:rsid w:val="00062D4C"/>
    <w:rsid w:val="00065C78"/>
    <w:rsid w:val="000A775F"/>
    <w:rsid w:val="000B57E7"/>
    <w:rsid w:val="000B6373"/>
    <w:rsid w:val="000D243E"/>
    <w:rsid w:val="000E148E"/>
    <w:rsid w:val="000E4E5B"/>
    <w:rsid w:val="000F09DF"/>
    <w:rsid w:val="000F61B2"/>
    <w:rsid w:val="001075E9"/>
    <w:rsid w:val="0014152F"/>
    <w:rsid w:val="00180183"/>
    <w:rsid w:val="0018024D"/>
    <w:rsid w:val="0018649F"/>
    <w:rsid w:val="0018790C"/>
    <w:rsid w:val="00196389"/>
    <w:rsid w:val="001B3EF6"/>
    <w:rsid w:val="001C7A89"/>
    <w:rsid w:val="001F2BB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164"/>
    <w:rsid w:val="00381C24"/>
    <w:rsid w:val="00387CD4"/>
    <w:rsid w:val="003958D0"/>
    <w:rsid w:val="003A0D43"/>
    <w:rsid w:val="003A13C5"/>
    <w:rsid w:val="003A48CE"/>
    <w:rsid w:val="003B00E5"/>
    <w:rsid w:val="003C26FE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64A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05CF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3559"/>
    <w:rsid w:val="00A312BC"/>
    <w:rsid w:val="00A60F78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3D9D"/>
    <w:rsid w:val="00CB151C"/>
    <w:rsid w:val="00CB2BF6"/>
    <w:rsid w:val="00CC4D8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67AC"/>
    <w:rsid w:val="00DF5767"/>
    <w:rsid w:val="00DF71B9"/>
    <w:rsid w:val="00E12C5F"/>
    <w:rsid w:val="00E1666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AFD093"/>
  <w15:docId w15:val="{4DBC15A5-19A1-4EE0-91AF-B6AACA3F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A13C5"/>
    <w:rPr>
      <w:lang w:val="ru-RU" w:eastAsia="en-US"/>
    </w:rPr>
  </w:style>
  <w:style w:type="character" w:customStyle="1" w:styleId="HChGChar">
    <w:name w:val="_ H _Ch_G Char"/>
    <w:link w:val="HChG"/>
    <w:rsid w:val="003A13C5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A13C5"/>
    <w:rPr>
      <w:b/>
      <w:sz w:val="24"/>
      <w:lang w:val="ru-RU"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ce.org/fileadmin/DAM/trans/doc/2017/%20dgac10c3/ST-SG-AC10-C3-104e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1853</Words>
  <Characters>11993</Characters>
  <Application>Microsoft Office Word</Application>
  <DocSecurity>0</DocSecurity>
  <Lines>272</Lines>
  <Paragraphs>192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ECE/TRANS/WP.15/2019/12</vt:lpstr>
      <vt:lpstr>ECE/TRANS/WP.15/2019/12</vt:lpstr>
      <vt:lpstr>A/</vt:lpstr>
    </vt:vector>
  </TitlesOfParts>
  <Company>DCM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ECE/TRANS/WP.15/2019/12</dc:title>
  <dc:subject/>
  <dc:creator>Anna KISSELEVA</dc:creator>
  <cp:keywords/>
  <cp:lastModifiedBy>Christine Barrio-Champeau</cp:lastModifiedBy>
  <cp:revision>2</cp:revision>
  <cp:lastPrinted>2019-02-27T15:06:00Z</cp:lastPrinted>
  <dcterms:created xsi:type="dcterms:W3CDTF">2019-03-18T15:25:00Z</dcterms:created>
  <dcterms:modified xsi:type="dcterms:W3CDTF">2019-03-18T15:25:00Z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