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8627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86279" w:rsidP="00786279">
            <w:pPr>
              <w:jc w:val="right"/>
            </w:pPr>
            <w:r w:rsidRPr="00786279">
              <w:rPr>
                <w:sz w:val="40"/>
              </w:rPr>
              <w:t>ECE</w:t>
            </w:r>
            <w:r>
              <w:t>/TRANS/WP.15/2019/15</w:t>
            </w:r>
          </w:p>
        </w:tc>
      </w:tr>
      <w:tr w:rsidR="002D5AAC" w:rsidRPr="0078627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86279" w:rsidP="00387CD4">
            <w:pPr>
              <w:spacing w:before="240"/>
              <w:rPr>
                <w:lang w:val="en-US"/>
              </w:rPr>
            </w:pPr>
            <w:r>
              <w:rPr>
                <w:lang w:val="en-US"/>
              </w:rPr>
              <w:t>Distr.: General</w:t>
            </w:r>
          </w:p>
          <w:p w:rsidR="00786279" w:rsidRDefault="00786279" w:rsidP="00786279">
            <w:pPr>
              <w:spacing w:line="240" w:lineRule="exact"/>
              <w:rPr>
                <w:lang w:val="en-US"/>
              </w:rPr>
            </w:pPr>
            <w:r>
              <w:rPr>
                <w:lang w:val="en-US"/>
              </w:rPr>
              <w:t>19 August 2019</w:t>
            </w:r>
          </w:p>
          <w:p w:rsidR="00786279" w:rsidRDefault="00786279" w:rsidP="00786279">
            <w:pPr>
              <w:spacing w:line="240" w:lineRule="exact"/>
              <w:rPr>
                <w:lang w:val="en-US"/>
              </w:rPr>
            </w:pPr>
            <w:r>
              <w:rPr>
                <w:lang w:val="en-US"/>
              </w:rPr>
              <w:t>Russian</w:t>
            </w:r>
          </w:p>
          <w:p w:rsidR="00786279" w:rsidRPr="008D53B6" w:rsidRDefault="00786279" w:rsidP="00786279">
            <w:pPr>
              <w:spacing w:line="240" w:lineRule="exact"/>
              <w:rPr>
                <w:lang w:val="en-US"/>
              </w:rPr>
            </w:pPr>
            <w:r>
              <w:rPr>
                <w:lang w:val="en-US"/>
              </w:rPr>
              <w:t>Original: French</w:t>
            </w:r>
          </w:p>
        </w:tc>
      </w:tr>
    </w:tbl>
    <w:p w:rsidR="00786279" w:rsidRDefault="008A37C8" w:rsidP="00255343">
      <w:pPr>
        <w:spacing w:before="120"/>
        <w:rPr>
          <w:b/>
          <w:sz w:val="28"/>
          <w:szCs w:val="28"/>
        </w:rPr>
      </w:pPr>
      <w:r w:rsidRPr="00245892">
        <w:rPr>
          <w:b/>
          <w:sz w:val="28"/>
          <w:szCs w:val="28"/>
        </w:rPr>
        <w:t>Европейская экономическая комиссия</w:t>
      </w:r>
    </w:p>
    <w:p w:rsidR="00786279" w:rsidRPr="00786279" w:rsidRDefault="00786279" w:rsidP="00786279">
      <w:pPr>
        <w:spacing w:before="120"/>
        <w:rPr>
          <w:sz w:val="28"/>
          <w:szCs w:val="28"/>
        </w:rPr>
      </w:pPr>
      <w:r w:rsidRPr="00786279">
        <w:rPr>
          <w:sz w:val="28"/>
          <w:szCs w:val="28"/>
        </w:rPr>
        <w:t>Комитет по внутреннему транспорту</w:t>
      </w:r>
    </w:p>
    <w:p w:rsidR="00786279" w:rsidRPr="00786279" w:rsidRDefault="00786279" w:rsidP="00786279">
      <w:pPr>
        <w:spacing w:before="120"/>
        <w:rPr>
          <w:b/>
          <w:sz w:val="24"/>
          <w:szCs w:val="24"/>
        </w:rPr>
      </w:pPr>
      <w:r w:rsidRPr="00786279">
        <w:rPr>
          <w:b/>
          <w:bCs/>
          <w:sz w:val="24"/>
          <w:szCs w:val="24"/>
        </w:rPr>
        <w:t>Рабочая группа по перевозкам опасных грузов</w:t>
      </w:r>
    </w:p>
    <w:p w:rsidR="00786279" w:rsidRPr="00DA57C1" w:rsidRDefault="00786279" w:rsidP="00786279">
      <w:pPr>
        <w:spacing w:before="120"/>
        <w:rPr>
          <w:b/>
        </w:rPr>
      </w:pPr>
      <w:r w:rsidRPr="00DA57C1">
        <w:rPr>
          <w:b/>
          <w:bCs/>
        </w:rPr>
        <w:t>107-я сессия</w:t>
      </w:r>
    </w:p>
    <w:p w:rsidR="00786279" w:rsidRPr="00DA57C1" w:rsidRDefault="00786279" w:rsidP="00786279">
      <w:r w:rsidRPr="00DA57C1">
        <w:t>Женева, 11–15 ноября 2019 года</w:t>
      </w:r>
    </w:p>
    <w:p w:rsidR="00786279" w:rsidRPr="00DA57C1" w:rsidRDefault="00786279" w:rsidP="00786279">
      <w:r w:rsidRPr="00DA57C1">
        <w:t>Пункт 5 b) предварительной повестки дня</w:t>
      </w:r>
    </w:p>
    <w:p w:rsidR="00E12C5F" w:rsidRDefault="00786279" w:rsidP="00786279">
      <w:r w:rsidRPr="00DA57C1">
        <w:rPr>
          <w:b/>
          <w:bCs/>
        </w:rPr>
        <w:t xml:space="preserve">Предложения о внесении поправок в приложения А и В </w:t>
      </w:r>
      <w:r>
        <w:rPr>
          <w:b/>
          <w:bCs/>
        </w:rPr>
        <w:br/>
      </w:r>
      <w:r w:rsidRPr="00DA57C1">
        <w:rPr>
          <w:b/>
          <w:bCs/>
        </w:rPr>
        <w:t>к ДОПОГ: различные предложения</w:t>
      </w:r>
    </w:p>
    <w:p w:rsidR="00786279" w:rsidRPr="00DA57C1" w:rsidRDefault="00786279" w:rsidP="00786279">
      <w:pPr>
        <w:pStyle w:val="HChG"/>
      </w:pPr>
      <w:r>
        <w:rPr>
          <w:bCs/>
        </w:rPr>
        <w:tab/>
      </w:r>
      <w:r>
        <w:rPr>
          <w:bCs/>
        </w:rPr>
        <w:tab/>
      </w:r>
      <w:r w:rsidRPr="00DA57C1">
        <w:rPr>
          <w:bCs/>
        </w:rPr>
        <w:t>Маркировка контейнеров, загруженных опасными грузами в ограниченных количествах, и ограничения проезда через туннели</w:t>
      </w:r>
    </w:p>
    <w:p w:rsidR="00786279" w:rsidRDefault="00786279" w:rsidP="00786279">
      <w:pPr>
        <w:pStyle w:val="H1G"/>
      </w:pPr>
      <w:r w:rsidRPr="00DA57C1">
        <w:tab/>
      </w:r>
      <w:r w:rsidRPr="00DA57C1">
        <w:tab/>
        <w:t>Передано правительством Швейцарии</w:t>
      </w:r>
      <w:r w:rsidRPr="00786279">
        <w:rPr>
          <w:rStyle w:val="FootnoteReference"/>
          <w:b w:val="0"/>
          <w:sz w:val="20"/>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786279" w:rsidRPr="00786279" w:rsidTr="00786279">
        <w:trPr>
          <w:jc w:val="center"/>
        </w:trPr>
        <w:tc>
          <w:tcPr>
            <w:tcW w:w="9628" w:type="dxa"/>
            <w:tcBorders>
              <w:bottom w:val="nil"/>
            </w:tcBorders>
          </w:tcPr>
          <w:p w:rsidR="00786279" w:rsidRPr="00786279" w:rsidRDefault="00786279" w:rsidP="00850215">
            <w:pPr>
              <w:tabs>
                <w:tab w:val="left" w:pos="255"/>
              </w:tabs>
              <w:spacing w:before="240" w:after="120"/>
              <w:rPr>
                <w:rFonts w:cs="Times New Roman"/>
                <w:sz w:val="24"/>
              </w:rPr>
            </w:pPr>
            <w:r w:rsidRPr="00786279">
              <w:rPr>
                <w:rFonts w:cs="Times New Roman"/>
              </w:rPr>
              <w:tab/>
            </w:r>
            <w:r w:rsidRPr="00786279">
              <w:rPr>
                <w:rFonts w:cs="Times New Roman"/>
                <w:i/>
                <w:sz w:val="24"/>
              </w:rPr>
              <w:t>Резюме</w:t>
            </w:r>
          </w:p>
        </w:tc>
      </w:tr>
      <w:tr w:rsidR="00786279" w:rsidRPr="00786279" w:rsidTr="00786279">
        <w:trPr>
          <w:jc w:val="center"/>
        </w:trPr>
        <w:tc>
          <w:tcPr>
            <w:tcW w:w="9628" w:type="dxa"/>
            <w:tcBorders>
              <w:top w:val="nil"/>
              <w:bottom w:val="nil"/>
            </w:tcBorders>
            <w:shd w:val="clear" w:color="auto" w:fill="auto"/>
          </w:tcPr>
          <w:p w:rsidR="00786279" w:rsidRDefault="00786279" w:rsidP="00D00EE4">
            <w:pPr>
              <w:pStyle w:val="SingleTxtG"/>
              <w:tabs>
                <w:tab w:val="left" w:pos="3678"/>
              </w:tabs>
              <w:ind w:left="3678" w:hanging="2544"/>
            </w:pPr>
            <w:r w:rsidRPr="00D00EE4">
              <w:rPr>
                <w:b/>
              </w:rPr>
              <w:t>Существо предложения:</w:t>
            </w:r>
            <w:r w:rsidRPr="00786279">
              <w:tab/>
              <w:t>На транспортные единицы и контейнеры, загруженные опасными грузами в ограниченных количествах, распространяются ограничения на проезд через туннели категории Е в соответствии с пунктом 1.9.5.3.6. Однако в текстах подраздела 8.6.3.3 и раздела 8.6.4, рассчитанных на пользователей, такое ограничение для контейнеров не воспроизведено. Предлагается дополнить подраздел 8.6.3.3 и раздел 8.6.4 ссылкой на контейнеры.</w:t>
            </w:r>
          </w:p>
          <w:p w:rsidR="00786279" w:rsidRDefault="00786279" w:rsidP="00D00EE4">
            <w:pPr>
              <w:pStyle w:val="SingleTxtG"/>
              <w:tabs>
                <w:tab w:val="left" w:pos="3678"/>
              </w:tabs>
              <w:ind w:left="3678" w:hanging="2544"/>
            </w:pPr>
            <w:r w:rsidRPr="00D00EE4">
              <w:rPr>
                <w:b/>
              </w:rPr>
              <w:t>Предлагаемое решение:</w:t>
            </w:r>
            <w:r w:rsidRPr="00786279">
              <w:tab/>
              <w:t>Изменить текст подраздела 8.6.3.3 и раздела 8.6.4.</w:t>
            </w:r>
          </w:p>
          <w:p w:rsidR="00786279" w:rsidRPr="00786279" w:rsidRDefault="00786279" w:rsidP="00DC42D6">
            <w:pPr>
              <w:pStyle w:val="SingleTxtG"/>
              <w:tabs>
                <w:tab w:val="left" w:pos="3678"/>
              </w:tabs>
              <w:ind w:left="3678" w:hanging="2544"/>
              <w:jc w:val="left"/>
            </w:pPr>
            <w:r w:rsidRPr="00D00EE4">
              <w:rPr>
                <w:b/>
              </w:rPr>
              <w:t>Справочные документы:</w:t>
            </w:r>
            <w:r w:rsidRPr="00786279">
              <w:tab/>
              <w:t xml:space="preserve">Неофициальный документ INF.23 104-й сессии Рабочей группы, ECE/TRANS/WP.15/AC.1/2018/14 </w:t>
            </w:r>
            <w:r w:rsidR="00DC42D6">
              <w:br/>
            </w:r>
            <w:r w:rsidRPr="00786279">
              <w:t>и OTIF/RID/</w:t>
            </w:r>
            <w:r w:rsidR="00D00EE4" w:rsidRPr="00D00EE4">
              <w:t xml:space="preserve"> </w:t>
            </w:r>
            <w:r w:rsidRPr="00786279">
              <w:t>CE/GTP/2017/9 (Швеция), ECE/TRANS/WP.15/2019/7 и неофициальный документ</w:t>
            </w:r>
            <w:r w:rsidR="00DC42D6">
              <w:rPr>
                <w:lang w:val="en-US"/>
              </w:rPr>
              <w:t> </w:t>
            </w:r>
            <w:r w:rsidRPr="00786279">
              <w:t>INF.7 106-й сессии Рабочей группы.</w:t>
            </w:r>
          </w:p>
        </w:tc>
      </w:tr>
      <w:tr w:rsidR="00786279" w:rsidRPr="00786279" w:rsidTr="00786279">
        <w:trPr>
          <w:jc w:val="center"/>
        </w:trPr>
        <w:tc>
          <w:tcPr>
            <w:tcW w:w="9628" w:type="dxa"/>
            <w:tcBorders>
              <w:top w:val="nil"/>
            </w:tcBorders>
          </w:tcPr>
          <w:p w:rsidR="00786279" w:rsidRPr="00786279" w:rsidRDefault="00786279" w:rsidP="00850215">
            <w:pPr>
              <w:rPr>
                <w:rFonts w:cs="Times New Roman"/>
              </w:rPr>
            </w:pPr>
          </w:p>
        </w:tc>
      </w:tr>
    </w:tbl>
    <w:p w:rsidR="00786279" w:rsidRPr="00DA57C1" w:rsidRDefault="00786279" w:rsidP="00D00EE4">
      <w:pPr>
        <w:pStyle w:val="HChG"/>
        <w:spacing w:before="240" w:after="160"/>
      </w:pPr>
      <w:r>
        <w:rPr>
          <w:bCs/>
        </w:rPr>
        <w:lastRenderedPageBreak/>
        <w:tab/>
      </w:r>
      <w:r>
        <w:rPr>
          <w:bCs/>
        </w:rPr>
        <w:tab/>
      </w:r>
      <w:r w:rsidRPr="00DA57C1">
        <w:rPr>
          <w:bCs/>
        </w:rPr>
        <w:t>Справочная информация</w:t>
      </w:r>
    </w:p>
    <w:p w:rsidR="00786279" w:rsidRPr="00DA57C1" w:rsidRDefault="00786279" w:rsidP="00D00EE4">
      <w:pPr>
        <w:pStyle w:val="SingleTxtG"/>
        <w:spacing w:line="220" w:lineRule="atLeast"/>
      </w:pPr>
      <w:r w:rsidRPr="00DA57C1">
        <w:t>1.</w:t>
      </w:r>
      <w:r w:rsidRPr="00DA57C1">
        <w:tab/>
        <w:t>В соответствии с предложением Швейцарии (ECE/TRANS/WP.15/2019/7), внесенным на 106-й сессии Рабочей группы и касающимся маркировки контейнеров, загруженных упаковками с опасными грузами в ограниченных количествах в соответствии с главой 3.4, предложение из неофициального документа INF.7 Швеции получило определенную поддержку. Однако этот вопрос был вновь передан Совместн</w:t>
      </w:r>
      <w:r>
        <w:t>ому</w:t>
      </w:r>
      <w:r w:rsidRPr="00DA57C1">
        <w:t xml:space="preserve"> совещани</w:t>
      </w:r>
      <w:r>
        <w:t>ю</w:t>
      </w:r>
      <w:r w:rsidRPr="00DA57C1">
        <w:t xml:space="preserve"> для рассмотрения применительно как к железнодорожному, так и автомобильному транспорту. Вопрос о маркировке вагонов и контейнеров будет рассмотрен на Совместном совещании в сентябре 2019 года в документе ECE/TRANS/WP.15/AC.1/2019/38.</w:t>
      </w:r>
    </w:p>
    <w:p w:rsidR="00786279" w:rsidRPr="00DA57C1" w:rsidRDefault="00786279" w:rsidP="00D00EE4">
      <w:pPr>
        <w:pStyle w:val="HChG"/>
        <w:spacing w:before="240" w:after="160"/>
      </w:pPr>
      <w:r w:rsidRPr="00DA57C1">
        <w:tab/>
      </w:r>
      <w:r w:rsidRPr="00DA57C1">
        <w:tab/>
      </w:r>
      <w:r>
        <w:rPr>
          <w:bCs/>
        </w:rPr>
        <w:t>Введение</w:t>
      </w:r>
    </w:p>
    <w:p w:rsidR="00786279" w:rsidRPr="00DA57C1" w:rsidRDefault="00786279" w:rsidP="00D00EE4">
      <w:pPr>
        <w:pStyle w:val="SingleTxtG"/>
        <w:spacing w:after="100" w:line="220" w:lineRule="atLeast"/>
      </w:pPr>
      <w:r w:rsidRPr="00DA57C1">
        <w:t>2.</w:t>
      </w:r>
      <w:r w:rsidRPr="00DA57C1">
        <w:tab/>
        <w:t>В ходе подготовки документа ECE/TRANS/WP.15/AC.1/2019/38 стало ясно, что вопрос о проезде через туннели, на которые распространяются ограничения на грузы в ограниченных количествах согласно главе 3.4, удовлетворительным образом в ДОПОГ решен не был. Этот вопрос касается только WP.15, и именно поэтому мы представляем настоящий документ отдельно от вопросов, касающихся контейнеров, которые будут обсуждаться на Совместном совещании.</w:t>
      </w:r>
    </w:p>
    <w:p w:rsidR="00786279" w:rsidRPr="00DA57C1" w:rsidRDefault="00786279" w:rsidP="00D00EE4">
      <w:pPr>
        <w:pStyle w:val="SingleTxtG"/>
        <w:spacing w:after="100" w:line="220" w:lineRule="atLeast"/>
      </w:pPr>
      <w:r w:rsidRPr="00DA57C1">
        <w:t>3.</w:t>
      </w:r>
      <w:r w:rsidRPr="00DA57C1">
        <w:tab/>
        <w:t>Транспортные единицы, в которых перевозится более 8 т опасных грузов в соответствии с главой 3.4, должны иметь маркир</w:t>
      </w:r>
      <w:r>
        <w:t>овку согласно разделу 3.4.13. В </w:t>
      </w:r>
      <w:r w:rsidRPr="00DA57C1">
        <w:t>соответствии с пунктом 1.9.5.3.6 ограничения в отношении туннелей категории Е распространяются также на контейнеры, для которых требуется маркировка в соответствии с разделом 3.4.13:</w:t>
      </w:r>
    </w:p>
    <w:p w:rsidR="00786279" w:rsidRPr="00DA57C1" w:rsidRDefault="00786279" w:rsidP="00D00EE4">
      <w:pPr>
        <w:spacing w:after="100" w:line="220" w:lineRule="atLeast"/>
        <w:ind w:left="2552" w:right="1133" w:hanging="1440"/>
        <w:jc w:val="both"/>
      </w:pPr>
      <w:r w:rsidRPr="00DA57C1">
        <w:t>«1.9.5.3.6</w:t>
      </w:r>
      <w:r w:rsidRPr="00DA57C1">
        <w:tab/>
        <w:t xml:space="preserve">... В случае туннелей категории Е они применяются также к транспортным единицам, которым предписана маркировка в соответствии с подразделом 3.4.13, или транспортным единицам, перевозящим </w:t>
      </w:r>
      <w:r w:rsidRPr="00DA57C1">
        <w:rPr>
          <w:b/>
          <w:bCs/>
          <w:u w:val="single"/>
        </w:rPr>
        <w:t>контейнеры</w:t>
      </w:r>
      <w:r w:rsidRPr="00DA57C1">
        <w:t>, которым предписана маркировка в соответствии с подразделом 3.4.13.»</w:t>
      </w:r>
      <w:r>
        <w:t>.</w:t>
      </w:r>
    </w:p>
    <w:p w:rsidR="00786279" w:rsidRPr="00DA57C1" w:rsidRDefault="00786279" w:rsidP="00D00EE4">
      <w:pPr>
        <w:pStyle w:val="SingleTxtG"/>
        <w:spacing w:after="100" w:line="220" w:lineRule="atLeast"/>
      </w:pPr>
      <w:r w:rsidRPr="00DA57C1">
        <w:t>4.</w:t>
      </w:r>
      <w:r w:rsidRPr="00DA57C1">
        <w:tab/>
        <w:t>Как мы отмечали на предыдущих сессия</w:t>
      </w:r>
      <w:r>
        <w:t>х WP.15 (неофициальный документ </w:t>
      </w:r>
      <w:r w:rsidRPr="00DA57C1">
        <w:t xml:space="preserve">INF.23 104-й сессии и документ ECE/TRANS/WP.15/2019/7), вопрос о маркировочных знаках контейнеров согласно разделу 3.4.13 ДОПОГ имеет важное значение в плане проезда через туннели, на которые распространяются соответствующие ограничения, и безопасности в них. </w:t>
      </w:r>
    </w:p>
    <w:p w:rsidR="00786279" w:rsidRPr="00DA57C1" w:rsidRDefault="00786279" w:rsidP="00D00EE4">
      <w:pPr>
        <w:pStyle w:val="SingleTxtG"/>
        <w:spacing w:after="100" w:line="220" w:lineRule="atLeast"/>
      </w:pPr>
      <w:r w:rsidRPr="00DA57C1">
        <w:t>5.</w:t>
      </w:r>
      <w:r w:rsidRPr="00DA57C1">
        <w:tab/>
        <w:t xml:space="preserve">В разделе 3.4.13 излагаются положения о маркировке как транспортных единиц, так и контейнеров, и именно поэтому в пункте 1.9.5.3.6 они конкретно упоминаются. Однако соответствующие ограничения не включены для контейнеров, указанных в подразделе 8.6.3.3 и разделе 8.6.4. Тексты главы 8.6 предназначены для пользователей в тех случаях, когда перевозчик, как ожидается, столкнется с ограничениями, применимыми к туннелям. </w:t>
      </w:r>
    </w:p>
    <w:p w:rsidR="00786279" w:rsidRPr="00DA57C1" w:rsidRDefault="00786279" w:rsidP="00D00EE4">
      <w:pPr>
        <w:pStyle w:val="SingleTxtG"/>
        <w:spacing w:line="220" w:lineRule="atLeast"/>
      </w:pPr>
      <w:r w:rsidRPr="00DA57C1">
        <w:t>6.</w:t>
      </w:r>
      <w:r w:rsidRPr="00DA57C1">
        <w:tab/>
        <w:t xml:space="preserve">Ниже приводятся несколько примеров, касающихся различий между ситуациями, в которых оказываются транспортные единицы и контейнеры, загруженные опасными грузами.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060"/>
        <w:gridCol w:w="2991"/>
      </w:tblGrid>
      <w:tr w:rsidR="00786279" w:rsidRPr="00DA57C1" w:rsidTr="00D00EE4">
        <w:tc>
          <w:tcPr>
            <w:tcW w:w="457" w:type="dxa"/>
            <w:tcBorders>
              <w:top w:val="single" w:sz="4" w:space="0" w:color="auto"/>
              <w:left w:val="single" w:sz="4" w:space="0" w:color="auto"/>
              <w:bottom w:val="single" w:sz="4" w:space="0" w:color="auto"/>
              <w:right w:val="nil"/>
            </w:tcBorders>
          </w:tcPr>
          <w:p w:rsidR="00786279" w:rsidRPr="00DA57C1" w:rsidRDefault="00786279" w:rsidP="00A20583">
            <w:pPr>
              <w:pStyle w:val="SingleTxtG"/>
              <w:spacing w:before="60" w:after="60"/>
              <w:ind w:left="57" w:right="57"/>
            </w:pPr>
            <w:r w:rsidRPr="00DA57C1">
              <w:br w:type="page"/>
            </w:r>
          </w:p>
        </w:tc>
        <w:tc>
          <w:tcPr>
            <w:tcW w:w="7051" w:type="dxa"/>
            <w:gridSpan w:val="2"/>
            <w:tcBorders>
              <w:top w:val="single" w:sz="4" w:space="0" w:color="auto"/>
              <w:left w:val="nil"/>
            </w:tcBorders>
            <w:shd w:val="clear" w:color="auto" w:fill="auto"/>
          </w:tcPr>
          <w:p w:rsidR="00786279" w:rsidRPr="00DA57C1" w:rsidRDefault="00786279" w:rsidP="00A20583">
            <w:pPr>
              <w:pStyle w:val="SingleTxtG"/>
              <w:spacing w:before="60" w:after="60"/>
              <w:ind w:left="57" w:right="57"/>
              <w:rPr>
                <w:b/>
              </w:rPr>
            </w:pPr>
            <w:r w:rsidRPr="00DA57C1">
              <w:rPr>
                <w:b/>
                <w:bCs/>
              </w:rPr>
              <w:t>Контейнер или транспортная единица</w:t>
            </w:r>
          </w:p>
        </w:tc>
      </w:tr>
      <w:tr w:rsidR="00786279" w:rsidRPr="00DA57C1" w:rsidTr="00D00EE4">
        <w:tc>
          <w:tcPr>
            <w:tcW w:w="457" w:type="dxa"/>
            <w:tcBorders>
              <w:top w:val="single" w:sz="4" w:space="0" w:color="auto"/>
              <w:left w:val="single" w:sz="4" w:space="0" w:color="auto"/>
              <w:bottom w:val="single" w:sz="4" w:space="0" w:color="auto"/>
              <w:right w:val="single" w:sz="4" w:space="0" w:color="auto"/>
            </w:tcBorders>
          </w:tcPr>
          <w:p w:rsidR="00786279" w:rsidRPr="00DA57C1" w:rsidRDefault="00786279" w:rsidP="00A20583">
            <w:pPr>
              <w:pStyle w:val="SingleTxtG"/>
              <w:spacing w:before="60" w:after="60"/>
              <w:ind w:left="57" w:right="57"/>
            </w:pPr>
          </w:p>
        </w:tc>
        <w:tc>
          <w:tcPr>
            <w:tcW w:w="4060" w:type="dxa"/>
            <w:tcBorders>
              <w:left w:val="single" w:sz="4" w:space="0" w:color="auto"/>
            </w:tcBorders>
            <w:shd w:val="clear" w:color="auto" w:fill="auto"/>
          </w:tcPr>
          <w:p w:rsidR="00786279" w:rsidRPr="00DA57C1" w:rsidRDefault="00786279" w:rsidP="00A20583">
            <w:pPr>
              <w:pStyle w:val="SingleTxtG"/>
              <w:spacing w:before="60" w:after="60"/>
              <w:ind w:left="57" w:right="57"/>
              <w:rPr>
                <w:b/>
              </w:rPr>
            </w:pPr>
            <w:r>
              <w:rPr>
                <w:b/>
                <w:bCs/>
              </w:rPr>
              <w:t>Груз</w:t>
            </w:r>
          </w:p>
        </w:tc>
        <w:tc>
          <w:tcPr>
            <w:tcW w:w="2991" w:type="dxa"/>
            <w:shd w:val="clear" w:color="auto" w:fill="auto"/>
          </w:tcPr>
          <w:p w:rsidR="00786279" w:rsidRPr="00DA57C1" w:rsidRDefault="00786279" w:rsidP="00A20583">
            <w:pPr>
              <w:pStyle w:val="SingleTxtG"/>
              <w:spacing w:before="60" w:after="60"/>
              <w:ind w:left="57" w:right="57"/>
              <w:rPr>
                <w:b/>
              </w:rPr>
            </w:pPr>
            <w:r w:rsidRPr="00DA57C1">
              <w:rPr>
                <w:b/>
                <w:bCs/>
              </w:rPr>
              <w:t>Размещение больших знаков/</w:t>
            </w:r>
            <w:r w:rsidR="00D00EE4" w:rsidRPr="00D00EE4">
              <w:rPr>
                <w:b/>
                <w:bCs/>
              </w:rPr>
              <w:t xml:space="preserve"> </w:t>
            </w:r>
            <w:r w:rsidRPr="00DA57C1">
              <w:rPr>
                <w:b/>
                <w:bCs/>
              </w:rPr>
              <w:t>маркировочных знаков</w:t>
            </w:r>
          </w:p>
        </w:tc>
      </w:tr>
      <w:tr w:rsidR="00786279" w:rsidRPr="00DA57C1" w:rsidTr="00D00EE4">
        <w:tc>
          <w:tcPr>
            <w:tcW w:w="457" w:type="dxa"/>
          </w:tcPr>
          <w:p w:rsidR="00786279" w:rsidRPr="00DA57C1" w:rsidRDefault="00786279" w:rsidP="00A20583">
            <w:pPr>
              <w:pStyle w:val="SingleTxtG"/>
              <w:spacing w:before="60" w:after="60"/>
              <w:ind w:left="57" w:right="57"/>
            </w:pPr>
            <w:r w:rsidRPr="00DA57C1">
              <w:t>1</w:t>
            </w:r>
          </w:p>
        </w:tc>
        <w:tc>
          <w:tcPr>
            <w:tcW w:w="4060" w:type="dxa"/>
            <w:shd w:val="clear" w:color="auto" w:fill="auto"/>
          </w:tcPr>
          <w:p w:rsidR="00786279" w:rsidRPr="00DA57C1" w:rsidRDefault="00786279" w:rsidP="00DC42D6">
            <w:pPr>
              <w:pStyle w:val="SingleTxtG"/>
              <w:spacing w:before="60" w:after="60"/>
              <w:ind w:left="57" w:right="57"/>
              <w:jc w:val="left"/>
            </w:pPr>
            <w:r w:rsidRPr="00DA57C1">
              <w:t>28 000 литров № ООН 1170 Этанол, 3, III, в</w:t>
            </w:r>
            <w:r w:rsidR="00D00EE4">
              <w:rPr>
                <w:lang w:val="en-US"/>
              </w:rPr>
              <w:t> </w:t>
            </w:r>
            <w:r w:rsidRPr="00DA57C1">
              <w:t>5 600 пластмассовых канистрах емкостью по 5 литров (LQ)</w:t>
            </w:r>
          </w:p>
        </w:tc>
        <w:tc>
          <w:tcPr>
            <w:tcW w:w="2991" w:type="dxa"/>
            <w:shd w:val="clear" w:color="auto" w:fill="auto"/>
          </w:tcPr>
          <w:p w:rsidR="00786279" w:rsidRPr="00DA57C1" w:rsidRDefault="00426642" w:rsidP="00A20583">
            <w:pPr>
              <w:pStyle w:val="SingleTxtG"/>
              <w:spacing w:before="60" w:after="60"/>
              <w:ind w:left="57" w:right="57"/>
              <w:jc w:val="left"/>
            </w:pPr>
            <w:r w:rsidRPr="00A778FE">
              <w:rPr>
                <w:noProof/>
                <w:lang w:eastAsia="ru-RU"/>
              </w:rPr>
              <w:drawing>
                <wp:anchor distT="0" distB="0" distL="114300" distR="114300" simplePos="0" relativeHeight="251662336" behindDoc="1" locked="0" layoutInCell="1" allowOverlap="1" wp14:anchorId="03D69340" wp14:editId="59DBA270">
                  <wp:simplePos x="0" y="0"/>
                  <wp:positionH relativeFrom="column">
                    <wp:posOffset>803799</wp:posOffset>
                  </wp:positionH>
                  <wp:positionV relativeFrom="paragraph">
                    <wp:posOffset>78105</wp:posOffset>
                  </wp:positionV>
                  <wp:extent cx="363600" cy="363600"/>
                  <wp:effectExtent l="114300" t="114300" r="113030" b="113030"/>
                  <wp:wrapNone/>
                  <wp:docPr id="5" name="Bildobjekt 2" descr="https://www.msb.se/Upload/Forebyggande/farligt_gods/Skyltar_etiketter/bmp/LQ_n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b.se/Upload/Forebyggande/farligt_gods/Skyltar_etiketter/bmp/LQ_ny.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84875">
                            <a:off x="0" y="0"/>
                            <a:ext cx="363600" cy="363600"/>
                          </a:xfrm>
                          <a:prstGeom prst="rect">
                            <a:avLst/>
                          </a:prstGeom>
                          <a:noFill/>
                          <a:ln w="3175">
                            <a:solidFill>
                              <a:schemeClr val="tx1"/>
                            </a:solidFill>
                          </a:ln>
                        </pic:spPr>
                      </pic:pic>
                    </a:graphicData>
                  </a:graphic>
                </wp:anchor>
              </w:drawing>
            </w:r>
            <w:r w:rsidR="00786279" w:rsidRPr="00DA57C1">
              <w:t xml:space="preserve">LQ  </w:t>
            </w:r>
          </w:p>
        </w:tc>
      </w:tr>
      <w:tr w:rsidR="00786279" w:rsidRPr="00DA57C1" w:rsidTr="00D00EE4">
        <w:tc>
          <w:tcPr>
            <w:tcW w:w="457" w:type="dxa"/>
          </w:tcPr>
          <w:p w:rsidR="00786279" w:rsidRPr="00DA57C1" w:rsidRDefault="00786279" w:rsidP="00A20583">
            <w:pPr>
              <w:pStyle w:val="SingleTxtG"/>
              <w:spacing w:before="60" w:after="60"/>
              <w:ind w:left="57" w:right="57"/>
            </w:pPr>
            <w:r w:rsidRPr="00DA57C1">
              <w:t>2</w:t>
            </w:r>
          </w:p>
        </w:tc>
        <w:tc>
          <w:tcPr>
            <w:tcW w:w="4060" w:type="dxa"/>
            <w:shd w:val="clear" w:color="auto" w:fill="auto"/>
          </w:tcPr>
          <w:p w:rsidR="00786279" w:rsidRDefault="00786279" w:rsidP="00D00EE4">
            <w:pPr>
              <w:pStyle w:val="SingleTxtG"/>
              <w:spacing w:before="60" w:after="0"/>
              <w:ind w:left="57" w:right="57"/>
              <w:jc w:val="left"/>
            </w:pPr>
            <w:r w:rsidRPr="00DA57C1">
              <w:t>60 кг № ООН 3077 Вещество, опасное для окружающей среды, твердое, н.у.к, 9, III, в</w:t>
            </w:r>
            <w:r w:rsidR="00D00EE4">
              <w:rPr>
                <w:lang w:val="en-US"/>
              </w:rPr>
              <w:t> </w:t>
            </w:r>
            <w:r w:rsidRPr="00DA57C1">
              <w:t>барабане и 28 000 литров № ООН 1170 Этанол, 3, III, в 5 600 пластмассовых канистрах по 5 литров (LQ)</w:t>
            </w:r>
          </w:p>
          <w:p w:rsidR="00D00EE4" w:rsidRPr="00DA57C1" w:rsidRDefault="00D00EE4" w:rsidP="00D00EE4">
            <w:pPr>
              <w:pStyle w:val="SingleTxtG"/>
              <w:spacing w:after="0"/>
              <w:ind w:left="57" w:right="57"/>
              <w:jc w:val="left"/>
            </w:pPr>
          </w:p>
        </w:tc>
        <w:tc>
          <w:tcPr>
            <w:tcW w:w="2991" w:type="dxa"/>
            <w:shd w:val="clear" w:color="auto" w:fill="auto"/>
          </w:tcPr>
          <w:p w:rsidR="00786279" w:rsidRPr="00DA57C1" w:rsidRDefault="00786279" w:rsidP="00A20583">
            <w:pPr>
              <w:pStyle w:val="SingleTxtG"/>
              <w:spacing w:before="60" w:after="60"/>
              <w:ind w:left="57" w:right="57"/>
            </w:pPr>
            <w:r w:rsidRPr="00DA57C1">
              <w:rPr>
                <w:noProof/>
                <w:lang w:eastAsia="ru-RU"/>
              </w:rPr>
              <w:drawing>
                <wp:anchor distT="0" distB="0" distL="114300" distR="114300" simplePos="0" relativeHeight="251660288" behindDoc="0" locked="0" layoutInCell="1" allowOverlap="1" wp14:anchorId="5F082049" wp14:editId="55CB7C7D">
                  <wp:simplePos x="0" y="0"/>
                  <wp:positionH relativeFrom="column">
                    <wp:posOffset>525780</wp:posOffset>
                  </wp:positionH>
                  <wp:positionV relativeFrom="paragraph">
                    <wp:posOffset>42545</wp:posOffset>
                  </wp:positionV>
                  <wp:extent cx="923925" cy="869950"/>
                  <wp:effectExtent l="0" t="0" r="9525" b="6350"/>
                  <wp:wrapNone/>
                  <wp:docPr id="6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869950"/>
                          </a:xfrm>
                          <a:prstGeom prst="rect">
                            <a:avLst/>
                          </a:prstGeom>
                        </pic:spPr>
                      </pic:pic>
                    </a:graphicData>
                  </a:graphic>
                  <wp14:sizeRelH relativeFrom="margin">
                    <wp14:pctWidth>0</wp14:pctWidth>
                  </wp14:sizeRelH>
                </wp:anchor>
              </w:drawing>
            </w:r>
            <w:r w:rsidRPr="00DA57C1">
              <w:t>№ 9</w:t>
            </w:r>
          </w:p>
        </w:tc>
      </w:tr>
    </w:tbl>
    <w:p w:rsidR="00786279" w:rsidRPr="00DA57C1" w:rsidRDefault="00786279" w:rsidP="00786279">
      <w:pPr>
        <w:pStyle w:val="SingleTxtG"/>
        <w:spacing w:before="240"/>
      </w:pPr>
      <w:r w:rsidRPr="00DA57C1">
        <w:lastRenderedPageBreak/>
        <w:t>7.</w:t>
      </w:r>
      <w:r w:rsidRPr="00DA57C1">
        <w:tab/>
        <w:t xml:space="preserve">В примере 2 в соответствии с пунктом 3.4.13 b) единственный знак, который должен быть нанесен на контейнер, </w:t>
      </w:r>
      <w:r>
        <w:t>–</w:t>
      </w:r>
      <w:r w:rsidRPr="00DA57C1">
        <w:t xml:space="preserve"> это большой знак опасности № 9. В этом случае в соответствии со вторым абзацем пункта 3.4.13 b) ДОПОГ, с одной стороны, на транспортной единице не требуется размещ</w:t>
      </w:r>
      <w:r>
        <w:t xml:space="preserve">ать </w:t>
      </w:r>
      <w:r w:rsidRPr="00DA57C1">
        <w:t>больши</w:t>
      </w:r>
      <w:r>
        <w:t>е</w:t>
      </w:r>
      <w:r w:rsidRPr="00DA57C1">
        <w:t xml:space="preserve"> знак</w:t>
      </w:r>
      <w:r>
        <w:t>и</w:t>
      </w:r>
      <w:r w:rsidRPr="00DA57C1">
        <w:t xml:space="preserve"> опасности, если сам контейнер не имеет маркировки в соответствии с разделом 3.4.15, при этом даже если он несет такие маркировочные знаки, они не являются обязательными для транспортной единицы, поскольку уже видны. По этой причине на перевозящей транспортной единице маркировочный знак LQ будет отсутствовать. И хотя на контейнере должен быть установлен большой з</w:t>
      </w:r>
      <w:r w:rsidR="00D00EE4">
        <w:t>нак опасности № 9, поскольку, в </w:t>
      </w:r>
      <w:r w:rsidRPr="00DA57C1">
        <w:t>отличие от пункта 1.9.5.3.6, согласно нынешнему текс</w:t>
      </w:r>
      <w:r w:rsidR="00D00EE4">
        <w:t>ту подраздела 8.6.3.3 и раздела </w:t>
      </w:r>
      <w:r w:rsidRPr="00DA57C1">
        <w:t>8.6.4, ограничения в туннелях категории Е распространяются только на транспортные единицы, несущие маркировочные знаки согласно пункту 3.4.13, и в этих двух текстах главы 8.6 не содержится ссылка на маркировку контейнера согласно подразделу 3.4.1.3, пользователи не могут правильно применять ограничения проезда через туннели в случае контейнеров. Это противоречит положениям пункта 1.9.5.3.6.</w:t>
      </w:r>
    </w:p>
    <w:p w:rsidR="00786279" w:rsidRPr="00DA57C1" w:rsidRDefault="00786279" w:rsidP="00786279">
      <w:pPr>
        <w:pStyle w:val="SingleTxtG"/>
        <w:spacing w:before="240"/>
      </w:pPr>
      <w:r w:rsidRPr="00DA57C1">
        <w:t>8.</w:t>
      </w:r>
      <w:r w:rsidRPr="00DA57C1">
        <w:tab/>
        <w:t xml:space="preserve">Для преодоления такой парадоксальной ситуации необходимо дополнить эти два текста ссылками на контейнеры. </w:t>
      </w:r>
    </w:p>
    <w:p w:rsidR="00786279" w:rsidRPr="00DA57C1" w:rsidRDefault="00786279" w:rsidP="00786279">
      <w:pPr>
        <w:pStyle w:val="HChG"/>
      </w:pPr>
      <w:r w:rsidRPr="00DA57C1">
        <w:tab/>
      </w:r>
      <w:r w:rsidRPr="00DA57C1">
        <w:tab/>
      </w:r>
      <w:r w:rsidRPr="00DA57C1">
        <w:rPr>
          <w:bCs/>
        </w:rPr>
        <w:t>Предложение</w:t>
      </w:r>
    </w:p>
    <w:p w:rsidR="00786279" w:rsidRPr="00DA57C1" w:rsidRDefault="00786279" w:rsidP="00786279">
      <w:pPr>
        <w:pStyle w:val="SingleTxtG"/>
      </w:pPr>
      <w:r w:rsidRPr="00DA57C1">
        <w:t>9.</w:t>
      </w:r>
      <w:r w:rsidRPr="00DA57C1">
        <w:tab/>
        <w:t xml:space="preserve">Изменить подраздел 8.6.3.3 ДОПОГ следующим образом (изменения напечатаны жирным шрифтом и </w:t>
      </w:r>
      <w:r w:rsidRPr="00DA57C1">
        <w:rPr>
          <w:b/>
          <w:bCs/>
          <w:u w:val="single"/>
        </w:rPr>
        <w:t>подчеркнуты</w:t>
      </w:r>
      <w:r w:rsidRPr="00DA57C1">
        <w:t xml:space="preserve">, исключенный текст </w:t>
      </w:r>
      <w:r w:rsidRPr="00DA57C1">
        <w:rPr>
          <w:strike/>
        </w:rPr>
        <w:t>зачеркнут</w:t>
      </w:r>
      <w:r w:rsidRPr="00DA57C1">
        <w:t>):</w:t>
      </w:r>
    </w:p>
    <w:p w:rsidR="00786279" w:rsidRPr="00DA57C1" w:rsidRDefault="00786279" w:rsidP="00D00EE4">
      <w:pPr>
        <w:pStyle w:val="SingleTxtG"/>
      </w:pPr>
      <w:r w:rsidRPr="00DA57C1">
        <w:t>«8.6.3</w:t>
      </w:r>
      <w:r w:rsidRPr="00DA57C1">
        <w:tab/>
      </w:r>
      <w:r w:rsidRPr="00DA57C1">
        <w:tab/>
        <w:t>Коды ограничений проезда через туннели</w:t>
      </w:r>
    </w:p>
    <w:p w:rsidR="00786279" w:rsidRPr="00DA57C1" w:rsidRDefault="00786279" w:rsidP="00786279">
      <w:pPr>
        <w:keepNext/>
        <w:keepLines/>
        <w:spacing w:after="200"/>
        <w:ind w:left="1843" w:right="1133" w:hanging="709"/>
        <w:jc w:val="both"/>
      </w:pPr>
      <w:r w:rsidRPr="00DA57C1">
        <w:t>….</w:t>
      </w:r>
    </w:p>
    <w:p w:rsidR="00786279" w:rsidRPr="00DA57C1" w:rsidRDefault="00786279" w:rsidP="00786279">
      <w:pPr>
        <w:spacing w:after="200"/>
        <w:ind w:left="2552" w:right="1133" w:hanging="1418"/>
        <w:jc w:val="both"/>
      </w:pPr>
      <w:r w:rsidRPr="00DA57C1">
        <w:t>8.6.3.3</w:t>
      </w:r>
      <w:r w:rsidRPr="00DA57C1">
        <w:tab/>
        <w:t xml:space="preserve">Опасные грузы, перевозимые в соответствии с разделом 1.1.3, не подпадают под действие ограничений проезда через туннели и не принимаются во внимание при определении кода ограничения проезда через туннели, который должен назначаться всему грузу транспортной единицы, за исключением случая, когда транспортная единица </w:t>
      </w:r>
      <w:r w:rsidRPr="00DA57C1">
        <w:rPr>
          <w:b/>
          <w:bCs/>
          <w:u w:val="single"/>
        </w:rPr>
        <w:t>или контейнер</w:t>
      </w:r>
      <w:r w:rsidRPr="00DA57C1">
        <w:t xml:space="preserve"> должна </w:t>
      </w:r>
      <w:r w:rsidRPr="00DA57C1">
        <w:rPr>
          <w:b/>
          <w:bCs/>
          <w:u w:val="single"/>
        </w:rPr>
        <w:t>(должен)</w:t>
      </w:r>
      <w:r w:rsidRPr="00DC42D6">
        <w:rPr>
          <w:bCs/>
        </w:rPr>
        <w:t xml:space="preserve"> </w:t>
      </w:r>
      <w:r w:rsidRPr="00DA57C1">
        <w:t>иметь маркировку в соответствии с пунктом 3.4.13 с учетом пункта 3.4.14.»</w:t>
      </w:r>
      <w:r>
        <w:t>.</w:t>
      </w:r>
    </w:p>
    <w:p w:rsidR="00786279" w:rsidRPr="00DA57C1" w:rsidRDefault="00786279" w:rsidP="00786279">
      <w:pPr>
        <w:pStyle w:val="SingleTxtG"/>
      </w:pPr>
      <w:r w:rsidRPr="00DA57C1">
        <w:t>10.</w:t>
      </w:r>
      <w:r w:rsidRPr="00DA57C1">
        <w:tab/>
        <w:t xml:space="preserve">Изменить раздел 8.6.4 ДОПОГ следующим образом (новый текст выделен жирным шрифтом и </w:t>
      </w:r>
      <w:r w:rsidRPr="00DA57C1">
        <w:rPr>
          <w:b/>
          <w:bCs/>
          <w:u w:val="single"/>
        </w:rPr>
        <w:t>подчеркнут</w:t>
      </w:r>
      <w:r w:rsidRPr="00DA57C1">
        <w:t>):</w:t>
      </w:r>
    </w:p>
    <w:p w:rsidR="00786279" w:rsidRPr="00DA57C1" w:rsidRDefault="00786279" w:rsidP="00786279">
      <w:pPr>
        <w:pStyle w:val="SingleTxtG"/>
      </w:pPr>
      <w:r w:rsidRPr="00DA57C1">
        <w:t>«8.6.4</w:t>
      </w:r>
      <w:r w:rsidRPr="00DA57C1">
        <w:tab/>
      </w:r>
      <w:r w:rsidRPr="00DA57C1">
        <w:tab/>
        <w:t>Ограничения проезда транспортных е</w:t>
      </w:r>
      <w:r>
        <w:t>диниц, перевозящих опасные груз</w:t>
      </w:r>
      <w:r w:rsidRPr="00DA57C1">
        <w:t xml:space="preserve">, </w:t>
      </w:r>
      <w:r>
        <w:tab/>
      </w:r>
      <w:r>
        <w:tab/>
      </w:r>
      <w:r>
        <w:tab/>
      </w:r>
      <w:r w:rsidRPr="00DA57C1">
        <w:t>через туннели</w:t>
      </w:r>
    </w:p>
    <w:p w:rsidR="00786279" w:rsidRPr="00DA57C1" w:rsidRDefault="00786279" w:rsidP="00786279">
      <w:pPr>
        <w:spacing w:after="200"/>
        <w:ind w:left="1418"/>
      </w:pPr>
      <w:r w:rsidRPr="00DA57C1">
        <w:tab/>
      </w:r>
      <w:r w:rsidRPr="00DA57C1">
        <w:tab/>
        <w:t>Ограничения проезда через туннели применяются:</w:t>
      </w:r>
    </w:p>
    <w:p w:rsidR="00786279" w:rsidRPr="00DA57C1" w:rsidRDefault="00786279" w:rsidP="00786279">
      <w:pPr>
        <w:pStyle w:val="SingleTxtG"/>
        <w:ind w:left="2268"/>
      </w:pPr>
      <w:r w:rsidRPr="00786279">
        <w:t>–</w:t>
      </w:r>
      <w:r w:rsidRPr="00DA57C1">
        <w:tab/>
        <w:t xml:space="preserve">к транспортным единицам </w:t>
      </w:r>
      <w:r w:rsidRPr="00DA57C1">
        <w:rPr>
          <w:b/>
          <w:bCs/>
          <w:u w:val="single"/>
        </w:rPr>
        <w:t>и контейнерам</w:t>
      </w:r>
      <w:r w:rsidRPr="00DA57C1">
        <w:t>, которым предписана маркировка в соответствии с пунктом 3.4.13 с учетом пункта 3.4.14, для проезда через туннели категории Е; и</w:t>
      </w:r>
    </w:p>
    <w:p w:rsidR="00786279" w:rsidRDefault="00786279" w:rsidP="00786279">
      <w:pPr>
        <w:pStyle w:val="SingleTxtG"/>
        <w:ind w:left="2268"/>
      </w:pPr>
      <w:r w:rsidRPr="00786279">
        <w:t>–</w:t>
      </w:r>
      <w:r w:rsidRPr="00DA57C1">
        <w:tab/>
        <w:t>к транспортным единицам, которым предписана маркировка в виде табличек оранжевого цвета в соответствии с разделом 5.3.2, согласно приведенной ниже таблице, когда определен код ограничения проезда через туннели, который должен быть назначен всему грузу транспортной единицы.».</w:t>
      </w:r>
    </w:p>
    <w:p w:rsidR="00786279" w:rsidRPr="00786279" w:rsidRDefault="00786279" w:rsidP="00786279">
      <w:pPr>
        <w:pStyle w:val="SingleTxtG"/>
        <w:spacing w:before="240" w:after="0"/>
        <w:jc w:val="center"/>
        <w:rPr>
          <w:u w:val="single"/>
        </w:rPr>
      </w:pPr>
      <w:r>
        <w:rPr>
          <w:u w:val="single"/>
        </w:rPr>
        <w:tab/>
      </w:r>
      <w:r>
        <w:rPr>
          <w:u w:val="single"/>
        </w:rPr>
        <w:tab/>
      </w:r>
      <w:r>
        <w:rPr>
          <w:u w:val="single"/>
        </w:rPr>
        <w:tab/>
      </w:r>
      <w:r>
        <w:rPr>
          <w:u w:val="single"/>
        </w:rPr>
        <w:tab/>
      </w:r>
    </w:p>
    <w:sectPr w:rsidR="00786279" w:rsidRPr="00786279" w:rsidSect="0078627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1D" w:rsidRPr="00A312BC" w:rsidRDefault="00D75F1D" w:rsidP="00A312BC"/>
  </w:endnote>
  <w:endnote w:type="continuationSeparator" w:id="0">
    <w:p w:rsidR="00D75F1D" w:rsidRPr="00A312BC" w:rsidRDefault="00D75F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9" w:rsidRPr="00786279" w:rsidRDefault="00786279">
    <w:pPr>
      <w:pStyle w:val="Footer"/>
    </w:pPr>
    <w:r w:rsidRPr="00786279">
      <w:rPr>
        <w:b/>
        <w:sz w:val="18"/>
      </w:rPr>
      <w:fldChar w:fldCharType="begin"/>
    </w:r>
    <w:r w:rsidRPr="00786279">
      <w:rPr>
        <w:b/>
        <w:sz w:val="18"/>
      </w:rPr>
      <w:instrText xml:space="preserve"> PAGE  \* MERGEFORMAT </w:instrText>
    </w:r>
    <w:r w:rsidRPr="00786279">
      <w:rPr>
        <w:b/>
        <w:sz w:val="18"/>
      </w:rPr>
      <w:fldChar w:fldCharType="separate"/>
    </w:r>
    <w:r w:rsidR="00AE5E28">
      <w:rPr>
        <w:b/>
        <w:noProof/>
        <w:sz w:val="18"/>
      </w:rPr>
      <w:t>2</w:t>
    </w:r>
    <w:r w:rsidRPr="00786279">
      <w:rPr>
        <w:b/>
        <w:sz w:val="18"/>
      </w:rPr>
      <w:fldChar w:fldCharType="end"/>
    </w:r>
    <w:r>
      <w:rPr>
        <w:b/>
        <w:sz w:val="18"/>
      </w:rPr>
      <w:tab/>
    </w:r>
    <w:r>
      <w:t>GE.19-13988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9" w:rsidRPr="00786279" w:rsidRDefault="00786279" w:rsidP="00786279">
    <w:pPr>
      <w:pStyle w:val="Footer"/>
      <w:tabs>
        <w:tab w:val="clear" w:pos="9639"/>
        <w:tab w:val="right" w:pos="9638"/>
      </w:tabs>
      <w:rPr>
        <w:b/>
        <w:sz w:val="18"/>
      </w:rPr>
    </w:pPr>
    <w:r>
      <w:t>GE.19-13988</w:t>
    </w:r>
    <w:r>
      <w:tab/>
    </w:r>
    <w:r w:rsidRPr="00786279">
      <w:rPr>
        <w:b/>
        <w:sz w:val="18"/>
      </w:rPr>
      <w:fldChar w:fldCharType="begin"/>
    </w:r>
    <w:r w:rsidRPr="00786279">
      <w:rPr>
        <w:b/>
        <w:sz w:val="18"/>
      </w:rPr>
      <w:instrText xml:space="preserve"> PAGE  \* MERGEFORMAT </w:instrText>
    </w:r>
    <w:r w:rsidRPr="00786279">
      <w:rPr>
        <w:b/>
        <w:sz w:val="18"/>
      </w:rPr>
      <w:fldChar w:fldCharType="separate"/>
    </w:r>
    <w:r w:rsidR="00AE5E28">
      <w:rPr>
        <w:b/>
        <w:noProof/>
        <w:sz w:val="18"/>
      </w:rPr>
      <w:t>3</w:t>
    </w:r>
    <w:r w:rsidRPr="007862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86279" w:rsidRDefault="00786279" w:rsidP="00786279">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19-13988  (R)</w:t>
    </w:r>
    <w:r w:rsidR="00D00EE4">
      <w:rPr>
        <w:lang w:val="en-US"/>
      </w:rPr>
      <w:t xml:space="preserve">  180919  200919</w:t>
    </w:r>
    <w:r>
      <w:br/>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sidRPr="0078627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1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1D" w:rsidRPr="001075E9" w:rsidRDefault="00D75F1D" w:rsidP="001075E9">
      <w:pPr>
        <w:tabs>
          <w:tab w:val="right" w:pos="2155"/>
        </w:tabs>
        <w:spacing w:after="80" w:line="240" w:lineRule="auto"/>
        <w:ind w:left="680"/>
        <w:rPr>
          <w:u w:val="single"/>
        </w:rPr>
      </w:pPr>
      <w:r>
        <w:rPr>
          <w:u w:val="single"/>
        </w:rPr>
        <w:tab/>
      </w:r>
    </w:p>
  </w:footnote>
  <w:footnote w:type="continuationSeparator" w:id="0">
    <w:p w:rsidR="00D75F1D" w:rsidRDefault="00D75F1D" w:rsidP="00407B78">
      <w:pPr>
        <w:tabs>
          <w:tab w:val="right" w:pos="2155"/>
        </w:tabs>
        <w:spacing w:after="80"/>
        <w:ind w:left="680"/>
        <w:rPr>
          <w:u w:val="single"/>
        </w:rPr>
      </w:pPr>
      <w:r>
        <w:rPr>
          <w:u w:val="single"/>
        </w:rPr>
        <w:tab/>
      </w:r>
    </w:p>
  </w:footnote>
  <w:footnote w:id="1">
    <w:p w:rsidR="00786279" w:rsidRPr="00786279" w:rsidRDefault="00786279">
      <w:pPr>
        <w:pStyle w:val="FootnoteText"/>
        <w:rPr>
          <w:sz w:val="20"/>
        </w:rPr>
      </w:pPr>
      <w:r>
        <w:tab/>
      </w:r>
      <w:r w:rsidRPr="00786279">
        <w:rPr>
          <w:rStyle w:val="FootnoteReference"/>
          <w:sz w:val="20"/>
          <w:vertAlign w:val="baseline"/>
        </w:rPr>
        <w:t>*</w:t>
      </w:r>
      <w:r w:rsidRPr="00786279">
        <w:rPr>
          <w:rStyle w:val="FootnoteReference"/>
          <w:vertAlign w:val="baseline"/>
        </w:rPr>
        <w:tab/>
      </w:r>
      <w:r w:rsidRPr="00786279">
        <w:t>В соответствии с программой работы Комитета по внутреннему транспорту на 2018–2019 годы (ECE/TRANS/2018/21/Add.1, направление деятельности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9" w:rsidRPr="00786279" w:rsidRDefault="005A5876">
    <w:pPr>
      <w:pStyle w:val="Header"/>
    </w:pPr>
    <w:r>
      <w:fldChar w:fldCharType="begin"/>
    </w:r>
    <w:r>
      <w:instrText xml:space="preserve"> TITLE  \* MERGEFORMAT </w:instrText>
    </w:r>
    <w:r>
      <w:fldChar w:fldCharType="separate"/>
    </w:r>
    <w:r w:rsidR="00AE5E28">
      <w:t>ECE/TRANS/WP.15/2019/15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79" w:rsidRPr="00786279" w:rsidRDefault="005A5876" w:rsidP="00786279">
    <w:pPr>
      <w:pStyle w:val="Header"/>
      <w:jc w:val="right"/>
    </w:pPr>
    <w:r>
      <w:fldChar w:fldCharType="begin"/>
    </w:r>
    <w:r>
      <w:instrText xml:space="preserve"> TITLE  \* MERGEFORMAT </w:instrText>
    </w:r>
    <w:r>
      <w:fldChar w:fldCharType="separate"/>
    </w:r>
    <w:r w:rsidR="00AE5E28">
      <w:t>ECE/TRANS/WP.15/2019/15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1D"/>
    <w:rsid w:val="00033EE1"/>
    <w:rsid w:val="00042B72"/>
    <w:rsid w:val="000558BD"/>
    <w:rsid w:val="000B57E7"/>
    <w:rsid w:val="000B6373"/>
    <w:rsid w:val="000E4E5B"/>
    <w:rsid w:val="000F09DF"/>
    <w:rsid w:val="000F61B2"/>
    <w:rsid w:val="001075E9"/>
    <w:rsid w:val="0014152F"/>
    <w:rsid w:val="0014428E"/>
    <w:rsid w:val="00152A17"/>
    <w:rsid w:val="00180183"/>
    <w:rsid w:val="0018024D"/>
    <w:rsid w:val="0018649F"/>
    <w:rsid w:val="001951D0"/>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6BC6"/>
    <w:rsid w:val="003402C2"/>
    <w:rsid w:val="00381C24"/>
    <w:rsid w:val="00387CD4"/>
    <w:rsid w:val="003958D0"/>
    <w:rsid w:val="003A0D43"/>
    <w:rsid w:val="003A48CE"/>
    <w:rsid w:val="003B00E5"/>
    <w:rsid w:val="003E0B46"/>
    <w:rsid w:val="00407B78"/>
    <w:rsid w:val="00424203"/>
    <w:rsid w:val="00426642"/>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A5876"/>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2D92"/>
    <w:rsid w:val="00786279"/>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43F09"/>
    <w:rsid w:val="00A84021"/>
    <w:rsid w:val="00A84D35"/>
    <w:rsid w:val="00A917B3"/>
    <w:rsid w:val="00AB4B51"/>
    <w:rsid w:val="00AE5E28"/>
    <w:rsid w:val="00B10CC7"/>
    <w:rsid w:val="00B36DF7"/>
    <w:rsid w:val="00B539E7"/>
    <w:rsid w:val="00B62458"/>
    <w:rsid w:val="00B8519C"/>
    <w:rsid w:val="00BC18B2"/>
    <w:rsid w:val="00BD33EE"/>
    <w:rsid w:val="00BE1CC7"/>
    <w:rsid w:val="00C106D6"/>
    <w:rsid w:val="00C119AE"/>
    <w:rsid w:val="00C60F0C"/>
    <w:rsid w:val="00C6386E"/>
    <w:rsid w:val="00C71E84"/>
    <w:rsid w:val="00C805C9"/>
    <w:rsid w:val="00C92939"/>
    <w:rsid w:val="00CA1679"/>
    <w:rsid w:val="00CB151C"/>
    <w:rsid w:val="00CE1D46"/>
    <w:rsid w:val="00CE5A1A"/>
    <w:rsid w:val="00CF55F6"/>
    <w:rsid w:val="00D00EE4"/>
    <w:rsid w:val="00D33D63"/>
    <w:rsid w:val="00D5253A"/>
    <w:rsid w:val="00D75F1D"/>
    <w:rsid w:val="00D873A8"/>
    <w:rsid w:val="00D90028"/>
    <w:rsid w:val="00D90138"/>
    <w:rsid w:val="00D9145B"/>
    <w:rsid w:val="00DC42D6"/>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441D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26E873-ED4A-4833-9252-C54862CE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link w:val="Heading3Char"/>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786279"/>
    <w:rPr>
      <w:lang w:val="ru-RU" w:eastAsia="en-US"/>
    </w:rPr>
  </w:style>
  <w:style w:type="character" w:customStyle="1" w:styleId="Heading3Char">
    <w:name w:val="Heading 3 Char"/>
    <w:basedOn w:val="DefaultParagraphFont"/>
    <w:link w:val="Heading3"/>
    <w:semiHidden/>
    <w:rsid w:val="00786279"/>
    <w:rPr>
      <w:rFonts w:ascii="Arial" w:eastAsiaTheme="minorHAnsi" w:hAnsi="Arial" w:cs="Arial"/>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ECE/TRANS/WP.15/2019/15</vt:lpstr>
      <vt:lpstr>ECE/TRANS/WP.15/2019/15</vt:lpstr>
      <vt:lpstr>A/</vt:lpstr>
    </vt:vector>
  </TitlesOfParts>
  <Company>DCM</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ECE/TRANS/WP.15/2019/15</dc:title>
  <dc:subject/>
  <dc:creator>Marina KOROTKOVA</dc:creator>
  <cp:keywords/>
  <cp:lastModifiedBy>Christine Barrio-Champeau</cp:lastModifiedBy>
  <cp:revision>2</cp:revision>
  <cp:lastPrinted>2019-09-20T08:44:00Z</cp:lastPrinted>
  <dcterms:created xsi:type="dcterms:W3CDTF">2019-09-20T13:21:00Z</dcterms:created>
  <dcterms:modified xsi:type="dcterms:W3CDTF">2019-09-20T13:21:00Z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