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14:paraId="2987F619" w14:textId="77777777" w:rsidTr="005316B0">
        <w:trPr>
          <w:trHeight w:hRule="exact" w:val="851"/>
        </w:trPr>
        <w:tc>
          <w:tcPr>
            <w:tcW w:w="1276" w:type="dxa"/>
            <w:tcBorders>
              <w:bottom w:val="single" w:sz="4" w:space="0" w:color="auto"/>
            </w:tcBorders>
          </w:tcPr>
          <w:p w14:paraId="1FA8D360" w14:textId="77777777" w:rsidR="001433FD" w:rsidRPr="00DB58B5" w:rsidRDefault="001433FD" w:rsidP="0001207F"/>
        </w:tc>
        <w:tc>
          <w:tcPr>
            <w:tcW w:w="2268" w:type="dxa"/>
            <w:tcBorders>
              <w:bottom w:val="single" w:sz="4" w:space="0" w:color="auto"/>
            </w:tcBorders>
            <w:vAlign w:val="bottom"/>
          </w:tcPr>
          <w:p w14:paraId="2AC1D4F4" w14:textId="77777777" w:rsidR="001433FD" w:rsidRPr="00DB58B5" w:rsidRDefault="001433FD" w:rsidP="007D323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9136EA1" w14:textId="77777777" w:rsidR="001433FD" w:rsidRPr="00DB58B5" w:rsidRDefault="00852870" w:rsidP="00852870">
            <w:pPr>
              <w:jc w:val="right"/>
            </w:pPr>
            <w:r w:rsidRPr="00852870">
              <w:rPr>
                <w:sz w:val="40"/>
              </w:rPr>
              <w:t>ECE</w:t>
            </w:r>
            <w:r>
              <w:t>/TRANS/WP.15/AC.1/154</w:t>
            </w:r>
          </w:p>
        </w:tc>
      </w:tr>
      <w:tr w:rsidR="001433FD" w:rsidRPr="00DB58B5" w14:paraId="6A442393" w14:textId="77777777" w:rsidTr="007D3236">
        <w:trPr>
          <w:trHeight w:hRule="exact" w:val="2835"/>
        </w:trPr>
        <w:tc>
          <w:tcPr>
            <w:tcW w:w="1276" w:type="dxa"/>
            <w:tcBorders>
              <w:top w:val="single" w:sz="4" w:space="0" w:color="auto"/>
              <w:bottom w:val="single" w:sz="12" w:space="0" w:color="auto"/>
            </w:tcBorders>
          </w:tcPr>
          <w:p w14:paraId="5FF8EE3A" w14:textId="77777777" w:rsidR="001433FD" w:rsidRPr="00DB58B5" w:rsidRDefault="001433FD" w:rsidP="007D3236">
            <w:pPr>
              <w:spacing w:before="120"/>
              <w:jc w:val="center"/>
            </w:pPr>
            <w:r>
              <w:rPr>
                <w:noProof/>
                <w:lang w:val="de-DE" w:eastAsia="de-DE"/>
              </w:rPr>
              <w:drawing>
                <wp:inline distT="0" distB="0" distL="0" distR="0" wp14:anchorId="22EC650E" wp14:editId="61ED82F4">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BD81C68" w14:textId="77777777" w:rsidR="001433FD" w:rsidRPr="00740562" w:rsidRDefault="001433FD" w:rsidP="007D323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CC6ACDA" w14:textId="77777777" w:rsidR="0001207F" w:rsidRDefault="00852870" w:rsidP="00852870">
            <w:pPr>
              <w:spacing w:before="240" w:line="240" w:lineRule="exact"/>
            </w:pPr>
            <w:proofErr w:type="spellStart"/>
            <w:r>
              <w:t>Distr</w:t>
            </w:r>
            <w:proofErr w:type="spellEnd"/>
            <w:r>
              <w:t xml:space="preserve">. </w:t>
            </w:r>
            <w:proofErr w:type="gramStart"/>
            <w:r>
              <w:t>générale</w:t>
            </w:r>
            <w:proofErr w:type="gramEnd"/>
          </w:p>
          <w:p w14:paraId="4CE216C3" w14:textId="2520ED83" w:rsidR="00852870" w:rsidRDefault="00D805A7" w:rsidP="00852870">
            <w:pPr>
              <w:spacing w:line="240" w:lineRule="exact"/>
            </w:pPr>
            <w:r>
              <w:t>11</w:t>
            </w:r>
            <w:bookmarkStart w:id="0" w:name="_GoBack"/>
            <w:bookmarkEnd w:id="0"/>
            <w:r w:rsidR="00852870" w:rsidRPr="00D805A7">
              <w:t xml:space="preserve"> avril 2019</w:t>
            </w:r>
          </w:p>
          <w:p w14:paraId="18902271" w14:textId="77777777" w:rsidR="00852870" w:rsidRDefault="00852870" w:rsidP="00852870">
            <w:pPr>
              <w:spacing w:line="240" w:lineRule="exact"/>
            </w:pPr>
          </w:p>
          <w:p w14:paraId="6C85F63B" w14:textId="77777777" w:rsidR="00852870" w:rsidRPr="00DB58B5" w:rsidRDefault="00852870" w:rsidP="00852870">
            <w:pPr>
              <w:spacing w:line="240" w:lineRule="exact"/>
            </w:pPr>
            <w:r>
              <w:t xml:space="preserve">Original </w:t>
            </w:r>
            <w:r w:rsidRPr="00997DD3">
              <w:t xml:space="preserve">: </w:t>
            </w:r>
            <w:r w:rsidR="00F615B2" w:rsidRPr="00997DD3">
              <w:t xml:space="preserve">anglais et </w:t>
            </w:r>
            <w:r w:rsidRPr="00997DD3">
              <w:t>français</w:t>
            </w:r>
          </w:p>
        </w:tc>
      </w:tr>
    </w:tbl>
    <w:p w14:paraId="5315BF34" w14:textId="77777777" w:rsidR="00DE239D" w:rsidRDefault="00DE239D" w:rsidP="00D3775F">
      <w:pPr>
        <w:spacing w:before="120"/>
        <w:rPr>
          <w:b/>
          <w:sz w:val="28"/>
          <w:szCs w:val="28"/>
        </w:rPr>
      </w:pPr>
      <w:r w:rsidRPr="00883605">
        <w:rPr>
          <w:b/>
          <w:sz w:val="28"/>
          <w:szCs w:val="28"/>
        </w:rPr>
        <w:t>Commission économique pour l’Europe</w:t>
      </w:r>
    </w:p>
    <w:p w14:paraId="045510F3" w14:textId="77777777" w:rsidR="00793210" w:rsidRDefault="00793210" w:rsidP="00D3775F">
      <w:pPr>
        <w:spacing w:before="120"/>
        <w:rPr>
          <w:sz w:val="28"/>
          <w:szCs w:val="28"/>
        </w:rPr>
      </w:pPr>
      <w:r w:rsidRPr="00685843">
        <w:rPr>
          <w:sz w:val="28"/>
          <w:szCs w:val="28"/>
        </w:rPr>
        <w:t>Comité des transports intérieurs</w:t>
      </w:r>
    </w:p>
    <w:p w14:paraId="4E77F2B3" w14:textId="77777777" w:rsidR="00AE2429" w:rsidRPr="009E01B8" w:rsidRDefault="00AE2429" w:rsidP="00AE2429">
      <w:pPr>
        <w:spacing w:before="120"/>
        <w:rPr>
          <w:b/>
          <w:sz w:val="24"/>
          <w:szCs w:val="24"/>
        </w:rPr>
      </w:pPr>
      <w:r w:rsidRPr="009E01B8">
        <w:rPr>
          <w:b/>
          <w:sz w:val="24"/>
          <w:szCs w:val="24"/>
        </w:rPr>
        <w:t>Groupe de travail des transports</w:t>
      </w:r>
      <w:r>
        <w:rPr>
          <w:b/>
          <w:sz w:val="24"/>
          <w:szCs w:val="24"/>
        </w:rPr>
        <w:t xml:space="preserve"> </w:t>
      </w:r>
      <w:r w:rsidRPr="009E01B8">
        <w:rPr>
          <w:b/>
          <w:sz w:val="24"/>
          <w:szCs w:val="24"/>
        </w:rPr>
        <w:t>de marchandises dangereuses</w:t>
      </w:r>
    </w:p>
    <w:p w14:paraId="6AA68E3F" w14:textId="77777777" w:rsidR="00AE2429" w:rsidRPr="00926E87" w:rsidRDefault="00AE2429" w:rsidP="00AE2429">
      <w:pPr>
        <w:spacing w:before="120"/>
        <w:rPr>
          <w:b/>
        </w:rPr>
      </w:pPr>
      <w:r w:rsidRPr="00926E87">
        <w:rPr>
          <w:b/>
        </w:rPr>
        <w:t>Réunion commune de la Commission d’experts</w:t>
      </w:r>
      <w:r>
        <w:rPr>
          <w:b/>
        </w:rPr>
        <w:t xml:space="preserve"> </w:t>
      </w:r>
      <w:r w:rsidRPr="00926E87">
        <w:rPr>
          <w:b/>
        </w:rPr>
        <w:t>du RID</w:t>
      </w:r>
      <w:r>
        <w:rPr>
          <w:b/>
        </w:rPr>
        <w:t xml:space="preserve"> </w:t>
      </w:r>
      <w:r w:rsidRPr="00926E87">
        <w:rPr>
          <w:b/>
        </w:rPr>
        <w:t>et</w:t>
      </w:r>
      <w:r>
        <w:rPr>
          <w:b/>
        </w:rPr>
        <w:t xml:space="preserve"> </w:t>
      </w:r>
      <w:r w:rsidRPr="00926E87">
        <w:rPr>
          <w:b/>
        </w:rPr>
        <w:t>du Groupe de travail</w:t>
      </w:r>
      <w:r>
        <w:rPr>
          <w:b/>
        </w:rPr>
        <w:br/>
      </w:r>
      <w:r w:rsidRPr="00926E87">
        <w:rPr>
          <w:b/>
        </w:rPr>
        <w:t>des transports</w:t>
      </w:r>
      <w:r>
        <w:rPr>
          <w:b/>
        </w:rPr>
        <w:t xml:space="preserve"> </w:t>
      </w:r>
      <w:r w:rsidRPr="00926E87">
        <w:rPr>
          <w:b/>
        </w:rPr>
        <w:t>de marchandises dangereuses</w:t>
      </w:r>
    </w:p>
    <w:p w14:paraId="12AC0332" w14:textId="77777777" w:rsidR="00AE2429" w:rsidRDefault="00AE2429" w:rsidP="00AE2429">
      <w:r>
        <w:t>Berne, 18-22 mars 2019</w:t>
      </w:r>
    </w:p>
    <w:p w14:paraId="6C0355C0" w14:textId="77777777" w:rsidR="004342FC" w:rsidRDefault="004342FC" w:rsidP="00AE2429">
      <w:pPr>
        <w:rPr>
          <w:lang w:val="fr-FR"/>
        </w:rPr>
      </w:pPr>
    </w:p>
    <w:p w14:paraId="56FD969E" w14:textId="216C05C0" w:rsidR="00AE2429" w:rsidRPr="0066112C" w:rsidRDefault="00AE2429" w:rsidP="00AE2429">
      <w:pPr>
        <w:pStyle w:val="HChG"/>
      </w:pPr>
      <w:r>
        <w:tab/>
      </w:r>
      <w:r>
        <w:tab/>
      </w:r>
      <w:r w:rsidRPr="0066112C">
        <w:t>Rapport de la Réunion commune de la Commission d'experts du RID et du Groupe de travail des transports de marchandises dangereuses sur sa session de printemps 201</w:t>
      </w:r>
      <w:r w:rsidR="00A27317" w:rsidRPr="0066112C">
        <w:t>9</w:t>
      </w:r>
      <w:r w:rsidR="00265E75" w:rsidRPr="003C7D70">
        <w:rPr>
          <w:sz w:val="20"/>
        </w:rPr>
        <w:footnoteReference w:customMarkFollows="1" w:id="2"/>
        <w:t>*</w:t>
      </w:r>
    </w:p>
    <w:p w14:paraId="59880C94" w14:textId="77777777" w:rsidR="00AE2429" w:rsidRDefault="00AE2429" w:rsidP="00AE2429">
      <w:pPr>
        <w:pStyle w:val="SingleTxtG"/>
      </w:pPr>
      <w:r>
        <w:t xml:space="preserve"> </w:t>
      </w:r>
      <w:proofErr w:type="gramStart"/>
      <w:r>
        <w:t>tenue</w:t>
      </w:r>
      <w:proofErr w:type="gramEnd"/>
      <w:r>
        <w:t xml:space="preserve"> à Berne du 18 au 22 mars 2019</w:t>
      </w:r>
    </w:p>
    <w:p w14:paraId="53577A28" w14:textId="77777777" w:rsidR="00AE2429" w:rsidRDefault="00AE2429" w:rsidP="00AE2429">
      <w:pPr>
        <w:pStyle w:val="SingleTxtG"/>
      </w:pPr>
    </w:p>
    <w:p w14:paraId="5DF63C0D" w14:textId="77777777" w:rsidR="00AE2429" w:rsidRPr="00ED4CEA" w:rsidRDefault="00AE2429" w:rsidP="006E5E26">
      <w:pPr>
        <w:spacing w:after="120"/>
        <w:rPr>
          <w:sz w:val="28"/>
        </w:rPr>
      </w:pPr>
      <w:r w:rsidRPr="00ED4CEA">
        <w:rPr>
          <w:sz w:val="28"/>
        </w:rPr>
        <w:t>Table des matières</w:t>
      </w:r>
    </w:p>
    <w:p w14:paraId="4A6AB1AA" w14:textId="2097A7FD" w:rsidR="00AE2429" w:rsidRDefault="00AE2429" w:rsidP="006E5E26">
      <w:pPr>
        <w:tabs>
          <w:tab w:val="right" w:pos="8929"/>
          <w:tab w:val="right" w:pos="9638"/>
        </w:tabs>
        <w:spacing w:after="120"/>
        <w:ind w:left="283"/>
        <w:rPr>
          <w:i/>
          <w:sz w:val="18"/>
        </w:rPr>
      </w:pPr>
      <w:r w:rsidRPr="00ED4CEA">
        <w:rPr>
          <w:i/>
          <w:sz w:val="18"/>
        </w:rPr>
        <w:tab/>
        <w:t>Paragraphes</w:t>
      </w:r>
      <w:r w:rsidRPr="00ED4CEA">
        <w:rPr>
          <w:i/>
          <w:sz w:val="18"/>
        </w:rPr>
        <w:tab/>
        <w:t>Page</w:t>
      </w:r>
    </w:p>
    <w:p w14:paraId="2A2081FC" w14:textId="2EB7716F" w:rsidR="007D5144" w:rsidRDefault="007D5144" w:rsidP="007D5144">
      <w:pPr>
        <w:tabs>
          <w:tab w:val="right" w:pos="850"/>
          <w:tab w:val="right" w:leader="dot" w:pos="7654"/>
          <w:tab w:val="right" w:pos="8929"/>
          <w:tab w:val="right" w:pos="9638"/>
        </w:tabs>
        <w:spacing w:after="120"/>
        <w:ind w:left="1134" w:hanging="1134"/>
      </w:pPr>
      <w:r>
        <w:tab/>
        <w:t>I.</w:t>
      </w:r>
      <w:r>
        <w:tab/>
      </w:r>
      <w:r w:rsidRPr="005912D6">
        <w:t>Participation</w:t>
      </w:r>
      <w:r>
        <w:tab/>
      </w:r>
      <w:r>
        <w:tab/>
        <w:t>1−3</w:t>
      </w:r>
      <w:r>
        <w:tab/>
      </w:r>
      <w:r w:rsidR="00276F4D">
        <w:t>3</w:t>
      </w:r>
    </w:p>
    <w:p w14:paraId="3C277D15" w14:textId="3BD4B969" w:rsidR="007D5144" w:rsidRDefault="007D5144" w:rsidP="007D5144">
      <w:pPr>
        <w:tabs>
          <w:tab w:val="right" w:pos="850"/>
          <w:tab w:val="right" w:leader="dot" w:pos="7654"/>
          <w:tab w:val="right" w:pos="8929"/>
          <w:tab w:val="right" w:pos="9638"/>
        </w:tabs>
        <w:spacing w:after="120"/>
        <w:ind w:left="1134" w:hanging="1134"/>
      </w:pPr>
      <w:r>
        <w:tab/>
        <w:t>II.</w:t>
      </w:r>
      <w:r>
        <w:tab/>
      </w:r>
      <w:r w:rsidRPr="00F001B0">
        <w:rPr>
          <w:lang w:val="fr-FR"/>
        </w:rPr>
        <w:t>Adoption de l</w:t>
      </w:r>
      <w:r>
        <w:rPr>
          <w:lang w:val="fr-FR"/>
        </w:rPr>
        <w:t>’</w:t>
      </w:r>
      <w:r w:rsidRPr="00F001B0">
        <w:rPr>
          <w:lang w:val="fr-FR"/>
        </w:rPr>
        <w:t>ordre du jour (point 1 de l</w:t>
      </w:r>
      <w:r>
        <w:rPr>
          <w:lang w:val="fr-FR"/>
        </w:rPr>
        <w:t>’</w:t>
      </w:r>
      <w:r w:rsidRPr="00F001B0">
        <w:rPr>
          <w:lang w:val="fr-FR"/>
        </w:rPr>
        <w:t>ordre du jour)</w:t>
      </w:r>
      <w:r>
        <w:tab/>
      </w:r>
      <w:r>
        <w:tab/>
        <w:t>4-6</w:t>
      </w:r>
      <w:r>
        <w:tab/>
      </w:r>
      <w:r w:rsidR="00276F4D">
        <w:t>3</w:t>
      </w:r>
    </w:p>
    <w:p w14:paraId="51F674FB" w14:textId="40B7526F" w:rsidR="007D5144" w:rsidRDefault="007D5144" w:rsidP="007D5144">
      <w:pPr>
        <w:tabs>
          <w:tab w:val="right" w:pos="850"/>
          <w:tab w:val="right" w:leader="dot" w:pos="7654"/>
          <w:tab w:val="right" w:pos="8929"/>
          <w:tab w:val="right" w:pos="9638"/>
        </w:tabs>
        <w:spacing w:after="120"/>
        <w:ind w:left="1134" w:hanging="1134"/>
      </w:pPr>
      <w:r>
        <w:tab/>
        <w:t>III.</w:t>
      </w:r>
      <w:r>
        <w:tab/>
      </w:r>
      <w:r w:rsidRPr="00F001B0">
        <w:rPr>
          <w:lang w:val="fr-FR"/>
        </w:rPr>
        <w:t>Citernes (point 2 de l</w:t>
      </w:r>
      <w:r>
        <w:rPr>
          <w:lang w:val="fr-FR"/>
        </w:rPr>
        <w:t>’</w:t>
      </w:r>
      <w:r w:rsidRPr="00F001B0">
        <w:rPr>
          <w:lang w:val="fr-FR"/>
        </w:rPr>
        <w:t>ordre du jour)</w:t>
      </w:r>
      <w:r>
        <w:tab/>
      </w:r>
      <w:r>
        <w:tab/>
        <w:t>7-14</w:t>
      </w:r>
      <w:r>
        <w:tab/>
      </w:r>
      <w:r w:rsidR="00276F4D">
        <w:t>3</w:t>
      </w:r>
    </w:p>
    <w:p w14:paraId="57BDC274" w14:textId="2AC189E6" w:rsidR="007D5144" w:rsidRDefault="007D5144" w:rsidP="007D5144">
      <w:pPr>
        <w:tabs>
          <w:tab w:val="right" w:pos="850"/>
          <w:tab w:val="right" w:leader="dot" w:pos="7654"/>
          <w:tab w:val="right" w:pos="8929"/>
          <w:tab w:val="right" w:pos="9638"/>
        </w:tabs>
        <w:spacing w:after="120"/>
        <w:ind w:left="1134" w:hanging="1134"/>
      </w:pPr>
      <w:r>
        <w:tab/>
      </w:r>
      <w:r>
        <w:tab/>
      </w:r>
      <w:r w:rsidRPr="00FE09C7">
        <w:rPr>
          <w:lang w:val="fr-FR"/>
        </w:rPr>
        <w:t>Rapport du Groupe de travail des citernes</w:t>
      </w:r>
      <w:r>
        <w:rPr>
          <w:lang w:val="fr-FR"/>
        </w:rPr>
        <w:tab/>
      </w:r>
      <w:r>
        <w:rPr>
          <w:lang w:val="fr-FR"/>
        </w:rPr>
        <w:tab/>
        <w:t>9-14</w:t>
      </w:r>
      <w:r w:rsidR="00E504C9">
        <w:rPr>
          <w:lang w:val="fr-FR"/>
        </w:rPr>
        <w:tab/>
      </w:r>
      <w:r w:rsidR="00276F4D">
        <w:rPr>
          <w:lang w:val="fr-FR"/>
        </w:rPr>
        <w:t>4</w:t>
      </w:r>
    </w:p>
    <w:p w14:paraId="76F29FAA" w14:textId="2769EC0B" w:rsidR="007D5144" w:rsidRDefault="007D5144" w:rsidP="007D5144">
      <w:pPr>
        <w:tabs>
          <w:tab w:val="right" w:pos="850"/>
          <w:tab w:val="right" w:leader="dot" w:pos="7654"/>
          <w:tab w:val="right" w:pos="8929"/>
          <w:tab w:val="right" w:pos="9638"/>
        </w:tabs>
        <w:spacing w:after="120"/>
        <w:ind w:left="1134" w:hanging="1134"/>
      </w:pPr>
      <w:r>
        <w:tab/>
        <w:t>IV.</w:t>
      </w:r>
      <w:r>
        <w:tab/>
      </w:r>
      <w:r w:rsidRPr="00F001B0">
        <w:rPr>
          <w:lang w:val="fr-FR"/>
        </w:rPr>
        <w:t>Normes (point 3 de l</w:t>
      </w:r>
      <w:r>
        <w:rPr>
          <w:lang w:val="fr-FR"/>
        </w:rPr>
        <w:t>’</w:t>
      </w:r>
      <w:r w:rsidRPr="00F001B0">
        <w:rPr>
          <w:lang w:val="fr-FR"/>
        </w:rPr>
        <w:t>ordre du jour)</w:t>
      </w:r>
      <w:r>
        <w:tab/>
      </w:r>
      <w:r>
        <w:tab/>
        <w:t>15-25</w:t>
      </w:r>
      <w:r>
        <w:tab/>
      </w:r>
      <w:r w:rsidR="00276F4D">
        <w:t>5</w:t>
      </w:r>
    </w:p>
    <w:p w14:paraId="6C8B51FA" w14:textId="4F1BD923" w:rsidR="007D5144" w:rsidRDefault="007D5144" w:rsidP="007D5144">
      <w:pPr>
        <w:tabs>
          <w:tab w:val="right" w:leader="dot" w:pos="7654"/>
          <w:tab w:val="right" w:pos="8929"/>
          <w:tab w:val="right" w:pos="9638"/>
        </w:tabs>
        <w:spacing w:after="120"/>
        <w:ind w:left="1559" w:hanging="425"/>
      </w:pPr>
      <w:r>
        <w:t>A.</w:t>
      </w:r>
      <w:r>
        <w:tab/>
      </w:r>
      <w:r w:rsidRPr="00C443F0">
        <w:t xml:space="preserve">Rapport du Groupe de travail </w:t>
      </w:r>
      <w:r>
        <w:t>sur l</w:t>
      </w:r>
      <w:r w:rsidRPr="00C443F0">
        <w:t>es normes</w:t>
      </w:r>
      <w:r>
        <w:tab/>
      </w:r>
      <w:r>
        <w:tab/>
        <w:t>16-21</w:t>
      </w:r>
      <w:r>
        <w:tab/>
      </w:r>
      <w:r w:rsidR="00276F4D">
        <w:t>5</w:t>
      </w:r>
    </w:p>
    <w:p w14:paraId="37D4D3D7" w14:textId="36A44C3D" w:rsidR="007D5144" w:rsidRDefault="007D5144" w:rsidP="007D5144">
      <w:pPr>
        <w:tabs>
          <w:tab w:val="right" w:leader="dot" w:pos="7654"/>
          <w:tab w:val="right" w:pos="8929"/>
          <w:tab w:val="right" w:pos="9638"/>
        </w:tabs>
        <w:spacing w:after="120"/>
        <w:ind w:left="1559" w:hanging="425"/>
      </w:pPr>
      <w:r>
        <w:t>B.</w:t>
      </w:r>
      <w:r>
        <w:tab/>
      </w:r>
      <w:r w:rsidRPr="00F77E13">
        <w:rPr>
          <w:lang w:val="fr-FR"/>
        </w:rPr>
        <w:t>Référence à la norme EN</w:t>
      </w:r>
      <w:r>
        <w:rPr>
          <w:lang w:val="fr-FR"/>
        </w:rPr>
        <w:t> </w:t>
      </w:r>
      <w:r w:rsidRPr="00F77E13">
        <w:rPr>
          <w:lang w:val="fr-FR"/>
        </w:rPr>
        <w:t>ISO/CEI</w:t>
      </w:r>
      <w:r>
        <w:rPr>
          <w:lang w:val="fr-FR"/>
        </w:rPr>
        <w:t> </w:t>
      </w:r>
      <w:r w:rsidRPr="00F77E13">
        <w:rPr>
          <w:lang w:val="fr-FR"/>
        </w:rPr>
        <w:t>17025</w:t>
      </w:r>
      <w:r>
        <w:tab/>
      </w:r>
      <w:r>
        <w:tab/>
        <w:t>22-25</w:t>
      </w:r>
      <w:r>
        <w:tab/>
      </w:r>
      <w:r w:rsidR="00276F4D">
        <w:t>6</w:t>
      </w:r>
    </w:p>
    <w:p w14:paraId="54E43ED5" w14:textId="196FEAFD" w:rsidR="007D5144" w:rsidRDefault="007D5144" w:rsidP="007D5144">
      <w:pPr>
        <w:tabs>
          <w:tab w:val="right" w:pos="850"/>
          <w:tab w:val="right" w:leader="dot" w:pos="7654"/>
          <w:tab w:val="right" w:pos="8929"/>
          <w:tab w:val="right" w:pos="9638"/>
        </w:tabs>
        <w:spacing w:after="120"/>
        <w:ind w:left="1134" w:hanging="1134"/>
      </w:pPr>
      <w:r>
        <w:tab/>
        <w:t>V.</w:t>
      </w:r>
      <w:r>
        <w:tab/>
      </w:r>
      <w:r w:rsidRPr="00F001B0">
        <w:rPr>
          <w:lang w:val="fr-FR"/>
        </w:rPr>
        <w:t>Interprétation du RID/ADR/ADN (point 4 de l</w:t>
      </w:r>
      <w:r>
        <w:rPr>
          <w:lang w:val="fr-FR"/>
        </w:rPr>
        <w:t>’</w:t>
      </w:r>
      <w:r w:rsidRPr="00F001B0">
        <w:rPr>
          <w:lang w:val="fr-FR"/>
        </w:rPr>
        <w:t>ordre du jour)</w:t>
      </w:r>
      <w:r>
        <w:tab/>
      </w:r>
      <w:r>
        <w:tab/>
        <w:t>26-28</w:t>
      </w:r>
      <w:r>
        <w:tab/>
      </w:r>
      <w:r w:rsidR="00276F4D">
        <w:t>6</w:t>
      </w:r>
    </w:p>
    <w:p w14:paraId="67787179" w14:textId="3221FFF6" w:rsidR="007D5144" w:rsidRDefault="007D5144" w:rsidP="007D5144">
      <w:pPr>
        <w:tabs>
          <w:tab w:val="right" w:leader="dot" w:pos="7654"/>
          <w:tab w:val="right" w:pos="8929"/>
          <w:tab w:val="right" w:pos="9638"/>
        </w:tabs>
        <w:spacing w:after="120"/>
        <w:ind w:left="1559" w:hanging="425"/>
      </w:pPr>
      <w:r>
        <w:t>A.</w:t>
      </w:r>
      <w:r>
        <w:tab/>
      </w:r>
      <w:r w:rsidRPr="00F77E13">
        <w:rPr>
          <w:lang w:val="fr-FR"/>
        </w:rPr>
        <w:t xml:space="preserve">Retrait du certificat de formation de conseiller à la sécurité </w:t>
      </w:r>
      <w:r>
        <w:rPr>
          <w:lang w:val="fr-FR"/>
        </w:rPr>
        <w:br/>
      </w:r>
      <w:r w:rsidRPr="00F77E13">
        <w:rPr>
          <w:lang w:val="fr-FR"/>
        </w:rPr>
        <w:t>pour le transport de</w:t>
      </w:r>
      <w:r>
        <w:rPr>
          <w:lang w:val="fr-FR"/>
        </w:rPr>
        <w:t> </w:t>
      </w:r>
      <w:r w:rsidRPr="00F77E13">
        <w:rPr>
          <w:lang w:val="fr-FR"/>
        </w:rPr>
        <w:t>marchandises dangereuses</w:t>
      </w:r>
      <w:r>
        <w:tab/>
      </w:r>
      <w:r>
        <w:tab/>
        <w:t>26</w:t>
      </w:r>
      <w:r>
        <w:tab/>
      </w:r>
      <w:r w:rsidR="00276F4D">
        <w:t>6</w:t>
      </w:r>
    </w:p>
    <w:p w14:paraId="19A6AEB9" w14:textId="119C1373" w:rsidR="007D5144" w:rsidRDefault="007D5144" w:rsidP="007D5144">
      <w:pPr>
        <w:tabs>
          <w:tab w:val="right" w:leader="dot" w:pos="7654"/>
          <w:tab w:val="right" w:pos="8929"/>
          <w:tab w:val="right" w:pos="9638"/>
        </w:tabs>
        <w:spacing w:after="120"/>
        <w:ind w:left="1559" w:hanging="425"/>
      </w:pPr>
      <w:r>
        <w:t>B.</w:t>
      </w:r>
      <w:r>
        <w:tab/>
      </w:r>
      <w:r w:rsidRPr="00F77E13">
        <w:rPr>
          <w:lang w:val="fr-FR"/>
        </w:rPr>
        <w:t xml:space="preserve">Délégation de tâches de contrôle à des entités accréditées </w:t>
      </w:r>
      <w:r>
        <w:rPr>
          <w:lang w:val="fr-FR"/>
        </w:rPr>
        <w:br/>
      </w:r>
      <w:r w:rsidRPr="00F77E13">
        <w:rPr>
          <w:lang w:val="fr-FR"/>
        </w:rPr>
        <w:t>conformément au 1.8.6.4.1</w:t>
      </w:r>
      <w:r>
        <w:rPr>
          <w:lang w:val="fr-FR"/>
        </w:rPr>
        <w:tab/>
      </w:r>
      <w:r>
        <w:rPr>
          <w:lang w:val="fr-FR"/>
        </w:rPr>
        <w:tab/>
        <w:t>27-28</w:t>
      </w:r>
      <w:r w:rsidR="00E504C9">
        <w:rPr>
          <w:lang w:val="fr-FR"/>
        </w:rPr>
        <w:tab/>
      </w:r>
      <w:r w:rsidR="00276F4D">
        <w:rPr>
          <w:lang w:val="fr-FR"/>
        </w:rPr>
        <w:t>6</w:t>
      </w:r>
    </w:p>
    <w:p w14:paraId="12A615C3" w14:textId="22F676C9" w:rsidR="007D5144" w:rsidRDefault="007D5144" w:rsidP="00D76D6E">
      <w:pPr>
        <w:keepNext/>
        <w:keepLines/>
        <w:tabs>
          <w:tab w:val="right" w:pos="850"/>
          <w:tab w:val="right" w:leader="dot" w:pos="7654"/>
          <w:tab w:val="right" w:pos="8929"/>
          <w:tab w:val="right" w:pos="9638"/>
        </w:tabs>
        <w:spacing w:after="120"/>
        <w:ind w:left="1134" w:hanging="1134"/>
      </w:pPr>
      <w:r>
        <w:lastRenderedPageBreak/>
        <w:tab/>
        <w:t>VI.</w:t>
      </w:r>
      <w:r>
        <w:tab/>
      </w:r>
      <w:r w:rsidRPr="00F001B0">
        <w:rPr>
          <w:lang w:val="fr-FR"/>
        </w:rPr>
        <w:t>Propositions d</w:t>
      </w:r>
      <w:r>
        <w:rPr>
          <w:lang w:val="fr-FR"/>
        </w:rPr>
        <w:t>’</w:t>
      </w:r>
      <w:r w:rsidRPr="00F001B0">
        <w:rPr>
          <w:lang w:val="fr-FR"/>
        </w:rPr>
        <w:t>amendements au RID/ADR/ADN (point 5 de l</w:t>
      </w:r>
      <w:r>
        <w:rPr>
          <w:lang w:val="fr-FR"/>
        </w:rPr>
        <w:t>’</w:t>
      </w:r>
      <w:r w:rsidRPr="00F001B0">
        <w:rPr>
          <w:lang w:val="fr-FR"/>
        </w:rPr>
        <w:t>ordre du jour)</w:t>
      </w:r>
      <w:r>
        <w:tab/>
      </w:r>
      <w:r>
        <w:tab/>
        <w:t>29-53</w:t>
      </w:r>
      <w:r>
        <w:tab/>
      </w:r>
      <w:r w:rsidR="00276F4D">
        <w:t>7</w:t>
      </w:r>
    </w:p>
    <w:p w14:paraId="089D9569" w14:textId="3D338BD1" w:rsidR="007D5144" w:rsidRDefault="007D5144" w:rsidP="007D5144">
      <w:pPr>
        <w:tabs>
          <w:tab w:val="right" w:leader="dot" w:pos="7654"/>
          <w:tab w:val="right" w:pos="8929"/>
          <w:tab w:val="right" w:pos="9638"/>
        </w:tabs>
        <w:spacing w:after="120"/>
        <w:ind w:left="1559" w:hanging="425"/>
      </w:pPr>
      <w:r>
        <w:t>A.</w:t>
      </w:r>
      <w:r>
        <w:tab/>
      </w:r>
      <w:r w:rsidRPr="00F001B0">
        <w:rPr>
          <w:lang w:val="fr-FR"/>
        </w:rPr>
        <w:t>Questions en suspens</w:t>
      </w:r>
      <w:r>
        <w:tab/>
      </w:r>
      <w:r>
        <w:tab/>
        <w:t>29-30</w:t>
      </w:r>
      <w:r>
        <w:tab/>
      </w:r>
      <w:r w:rsidR="00276F4D">
        <w:t>7</w:t>
      </w:r>
    </w:p>
    <w:p w14:paraId="492FB627" w14:textId="1D1FF7A3" w:rsidR="00276F4D" w:rsidRDefault="00276F4D" w:rsidP="00276F4D">
      <w:pPr>
        <w:tabs>
          <w:tab w:val="right" w:leader="dot" w:pos="7654"/>
          <w:tab w:val="right" w:pos="8929"/>
          <w:tab w:val="right" w:pos="9638"/>
        </w:tabs>
        <w:spacing w:after="120"/>
        <w:ind w:left="1984" w:hanging="425"/>
      </w:pPr>
      <w:r w:rsidRPr="003441F1">
        <w:t xml:space="preserve">Nom et description du </w:t>
      </w:r>
      <w:r>
        <w:t xml:space="preserve">No </w:t>
      </w:r>
      <w:r w:rsidRPr="003441F1">
        <w:t>ONU 1010 (Butadiènes stabilisés)</w:t>
      </w:r>
      <w:r>
        <w:tab/>
      </w:r>
      <w:r>
        <w:tab/>
        <w:t>29-30</w:t>
      </w:r>
      <w:r>
        <w:tab/>
        <w:t>7</w:t>
      </w:r>
    </w:p>
    <w:p w14:paraId="69DDB5D6" w14:textId="556798A3" w:rsidR="007D5144" w:rsidRDefault="007D5144" w:rsidP="007D5144">
      <w:pPr>
        <w:tabs>
          <w:tab w:val="right" w:leader="dot" w:pos="7654"/>
          <w:tab w:val="right" w:pos="8929"/>
          <w:tab w:val="right" w:pos="9638"/>
        </w:tabs>
        <w:spacing w:after="120"/>
        <w:ind w:left="1559" w:hanging="425"/>
      </w:pPr>
      <w:r>
        <w:t>B.</w:t>
      </w:r>
      <w:r>
        <w:tab/>
      </w:r>
      <w:r w:rsidRPr="00F001B0">
        <w:rPr>
          <w:lang w:val="fr-FR"/>
        </w:rPr>
        <w:t>Nouvelles propositions</w:t>
      </w:r>
      <w:r>
        <w:tab/>
      </w:r>
      <w:r>
        <w:tab/>
        <w:t>31-53</w:t>
      </w:r>
      <w:r>
        <w:tab/>
      </w:r>
      <w:r w:rsidR="00276F4D">
        <w:t>7</w:t>
      </w:r>
    </w:p>
    <w:p w14:paraId="7995B7BE" w14:textId="73C2F5F5" w:rsidR="007D5144" w:rsidRDefault="007D5144" w:rsidP="007D5144">
      <w:pPr>
        <w:tabs>
          <w:tab w:val="right" w:leader="dot" w:pos="7654"/>
          <w:tab w:val="right" w:pos="8929"/>
          <w:tab w:val="right" w:pos="9638"/>
        </w:tabs>
        <w:spacing w:after="120"/>
        <w:ind w:left="1984" w:hanging="425"/>
      </w:pPr>
      <w:r>
        <w:t>1.</w:t>
      </w:r>
      <w:r>
        <w:tab/>
      </w:r>
      <w:r w:rsidRPr="003441F1">
        <w:t xml:space="preserve">Cours de recyclage en ligne pour les conducteurs de véhicules </w:t>
      </w:r>
      <w:r>
        <w:br/>
      </w:r>
      <w:r w:rsidRPr="003441F1">
        <w:t>transportant des</w:t>
      </w:r>
      <w:r>
        <w:t> </w:t>
      </w:r>
      <w:r w:rsidRPr="003441F1">
        <w:t>marchandises dangereuses</w:t>
      </w:r>
      <w:r>
        <w:tab/>
      </w:r>
      <w:r>
        <w:tab/>
        <w:t>31-34</w:t>
      </w:r>
      <w:r>
        <w:tab/>
      </w:r>
      <w:r w:rsidR="00276F4D">
        <w:t>7</w:t>
      </w:r>
    </w:p>
    <w:p w14:paraId="7FB6EE87" w14:textId="7C89632F" w:rsidR="007D5144" w:rsidRDefault="007D5144" w:rsidP="007D5144">
      <w:pPr>
        <w:tabs>
          <w:tab w:val="right" w:leader="dot" w:pos="7654"/>
          <w:tab w:val="right" w:pos="8929"/>
          <w:tab w:val="right" w:pos="9638"/>
        </w:tabs>
        <w:spacing w:after="120"/>
        <w:ind w:left="1984" w:hanging="425"/>
      </w:pPr>
      <w:r>
        <w:t>2.</w:t>
      </w:r>
      <w:r>
        <w:tab/>
      </w:r>
      <w:r w:rsidRPr="003441F1">
        <w:t>Transport en tant que déchets des matières qui polymérisent</w:t>
      </w:r>
      <w:r>
        <w:tab/>
      </w:r>
      <w:r>
        <w:tab/>
        <w:t>35</w:t>
      </w:r>
      <w:r>
        <w:tab/>
      </w:r>
      <w:r w:rsidR="00276F4D">
        <w:t>8</w:t>
      </w:r>
    </w:p>
    <w:p w14:paraId="27E9B0A6" w14:textId="7B1FF055" w:rsidR="007D5144" w:rsidRDefault="007D5144" w:rsidP="00CF68FB">
      <w:pPr>
        <w:tabs>
          <w:tab w:val="right" w:leader="dot" w:pos="7654"/>
          <w:tab w:val="right" w:pos="8929"/>
          <w:tab w:val="right" w:pos="9638"/>
        </w:tabs>
        <w:spacing w:after="120"/>
        <w:ind w:left="1984" w:hanging="425"/>
      </w:pPr>
      <w:r>
        <w:t>3.</w:t>
      </w:r>
      <w:r>
        <w:tab/>
      </w:r>
      <w:r w:rsidRPr="003441F1">
        <w:t xml:space="preserve">Modification de la disposition supplémentaire CW36/CV36 </w:t>
      </w:r>
      <w:r>
        <w:br/>
      </w:r>
      <w:r w:rsidRPr="003441F1">
        <w:t>de la section 7.5.11</w:t>
      </w:r>
      <w:r>
        <w:tab/>
      </w:r>
      <w:r>
        <w:tab/>
      </w:r>
      <w:r w:rsidR="00CF68FB">
        <w:t>36</w:t>
      </w:r>
      <w:r>
        <w:tab/>
      </w:r>
      <w:r w:rsidR="00276F4D">
        <w:t>8</w:t>
      </w:r>
    </w:p>
    <w:p w14:paraId="4B2A90AB" w14:textId="13064F9F" w:rsidR="007D5144" w:rsidRDefault="007D5144" w:rsidP="00CF68FB">
      <w:pPr>
        <w:tabs>
          <w:tab w:val="right" w:leader="dot" w:pos="7654"/>
          <w:tab w:val="right" w:pos="8929"/>
          <w:tab w:val="right" w:pos="9638"/>
        </w:tabs>
        <w:spacing w:after="120"/>
        <w:ind w:left="1984" w:hanging="425"/>
      </w:pPr>
      <w:r>
        <w:t>4.</w:t>
      </w:r>
      <w:r>
        <w:tab/>
      </w:r>
      <w:r w:rsidR="00CF68FB" w:rsidRPr="003441F1">
        <w:t>Transport de gaz selon la disposition spéciale 653</w:t>
      </w:r>
      <w:r>
        <w:tab/>
      </w:r>
      <w:r>
        <w:tab/>
      </w:r>
      <w:r w:rsidR="00CF68FB">
        <w:t>37</w:t>
      </w:r>
      <w:r>
        <w:tab/>
      </w:r>
      <w:r w:rsidR="00276F4D">
        <w:t>8</w:t>
      </w:r>
    </w:p>
    <w:p w14:paraId="3AFCCB16" w14:textId="6E0D97EC" w:rsidR="007D5144" w:rsidRDefault="007D5144" w:rsidP="007D5144">
      <w:pPr>
        <w:tabs>
          <w:tab w:val="right" w:leader="dot" w:pos="7654"/>
          <w:tab w:val="right" w:pos="8929"/>
          <w:tab w:val="right" w:pos="9638"/>
        </w:tabs>
        <w:spacing w:after="120"/>
        <w:ind w:left="1984" w:hanging="425"/>
      </w:pPr>
      <w:r>
        <w:t>5.</w:t>
      </w:r>
      <w:r>
        <w:tab/>
      </w:r>
      <w:r w:rsidR="00CF68FB">
        <w:rPr>
          <w:lang w:val="fr-FR"/>
        </w:rPr>
        <w:t>Utilisation des emballages, y compris les grands récipients pour vrac (GRV)</w:t>
      </w:r>
      <w:r w:rsidR="00CF68FB">
        <w:rPr>
          <w:lang w:val="fr-FR"/>
        </w:rPr>
        <w:br/>
        <w:t xml:space="preserve"> et les grands emballages</w:t>
      </w:r>
      <w:r>
        <w:tab/>
      </w:r>
      <w:r>
        <w:tab/>
      </w:r>
      <w:r w:rsidR="00CF68FB">
        <w:t>38</w:t>
      </w:r>
      <w:r>
        <w:tab/>
      </w:r>
      <w:r w:rsidR="00276F4D">
        <w:t>8</w:t>
      </w:r>
    </w:p>
    <w:p w14:paraId="0F07D21A" w14:textId="426F6FAD" w:rsidR="007D5144" w:rsidRDefault="007D5144" w:rsidP="007D5144">
      <w:pPr>
        <w:tabs>
          <w:tab w:val="right" w:leader="dot" w:pos="7654"/>
          <w:tab w:val="right" w:pos="8929"/>
          <w:tab w:val="right" w:pos="9638"/>
        </w:tabs>
        <w:spacing w:after="120"/>
        <w:ind w:left="1984" w:hanging="425"/>
      </w:pPr>
      <w:r>
        <w:t>6.</w:t>
      </w:r>
      <w:r>
        <w:tab/>
      </w:r>
      <w:r w:rsidR="00CF68FB" w:rsidRPr="00F77E13">
        <w:rPr>
          <w:lang w:val="fr-FR"/>
        </w:rPr>
        <w:t xml:space="preserve">Affectation d’une catégorie de transport aux trousses chimiques </w:t>
      </w:r>
      <w:r w:rsidR="00CF68FB">
        <w:rPr>
          <w:lang w:val="fr-FR"/>
        </w:rPr>
        <w:br/>
      </w:r>
      <w:r w:rsidR="00CF68FB" w:rsidRPr="00F77E13">
        <w:rPr>
          <w:lang w:val="fr-FR"/>
        </w:rPr>
        <w:t>et aux trousses de</w:t>
      </w:r>
      <w:r w:rsidR="00CF68FB">
        <w:rPr>
          <w:lang w:val="fr-FR"/>
        </w:rPr>
        <w:t> </w:t>
      </w:r>
      <w:r w:rsidR="00CF68FB" w:rsidRPr="00F77E13">
        <w:rPr>
          <w:lang w:val="fr-FR"/>
        </w:rPr>
        <w:t>premiers secours (</w:t>
      </w:r>
      <w:r w:rsidR="00CF68FB">
        <w:rPr>
          <w:lang w:val="fr-FR"/>
        </w:rPr>
        <w:t xml:space="preserve">numéro </w:t>
      </w:r>
      <w:r w:rsidR="00CF68FB" w:rsidRPr="00F77E13">
        <w:rPr>
          <w:lang w:val="fr-FR"/>
        </w:rPr>
        <w:t>ONU</w:t>
      </w:r>
      <w:r w:rsidR="00CF68FB">
        <w:rPr>
          <w:lang w:val="fr-FR"/>
        </w:rPr>
        <w:t> </w:t>
      </w:r>
      <w:r w:rsidR="00CF68FB" w:rsidRPr="00F77E13">
        <w:rPr>
          <w:lang w:val="fr-FR"/>
        </w:rPr>
        <w:t>3316)</w:t>
      </w:r>
      <w:r>
        <w:tab/>
      </w:r>
      <w:r>
        <w:tab/>
      </w:r>
      <w:r w:rsidR="00CF68FB">
        <w:t>39</w:t>
      </w:r>
      <w:r>
        <w:tab/>
      </w:r>
      <w:r w:rsidR="00276F4D">
        <w:t>9</w:t>
      </w:r>
    </w:p>
    <w:p w14:paraId="3A13F162" w14:textId="7B768B0F" w:rsidR="007D5144" w:rsidRDefault="007D5144" w:rsidP="007D5144">
      <w:pPr>
        <w:tabs>
          <w:tab w:val="right" w:leader="dot" w:pos="7654"/>
          <w:tab w:val="right" w:pos="8929"/>
          <w:tab w:val="right" w:pos="9638"/>
        </w:tabs>
        <w:spacing w:after="120"/>
        <w:ind w:left="1984" w:hanging="425"/>
      </w:pPr>
      <w:r>
        <w:t>7.</w:t>
      </w:r>
      <w:r>
        <w:tab/>
      </w:r>
      <w:r w:rsidR="00CF68FB" w:rsidRPr="00662350">
        <w:t xml:space="preserve">Utilisation </w:t>
      </w:r>
      <w:r w:rsidR="00CF68FB">
        <w:t>d</w:t>
      </w:r>
      <w:r w:rsidR="00CF68FB" w:rsidRPr="00662350">
        <w:t xml:space="preserve">es termes « risque » et « danger » dans le contexte </w:t>
      </w:r>
      <w:r w:rsidR="00CF68FB">
        <w:br/>
        <w:t>d</w:t>
      </w:r>
      <w:r w:rsidR="00CF68FB" w:rsidRPr="00662350">
        <w:t>u RID/ADR/ADN</w:t>
      </w:r>
      <w:r>
        <w:tab/>
      </w:r>
      <w:r>
        <w:tab/>
      </w:r>
      <w:r w:rsidR="00CF68FB">
        <w:t>40-43</w:t>
      </w:r>
      <w:r>
        <w:tab/>
      </w:r>
      <w:r w:rsidR="00276F4D">
        <w:t>9</w:t>
      </w:r>
    </w:p>
    <w:p w14:paraId="2A201073" w14:textId="5D59F760" w:rsidR="007D5144" w:rsidRDefault="007D5144" w:rsidP="00CF68FB">
      <w:pPr>
        <w:tabs>
          <w:tab w:val="right" w:leader="dot" w:pos="7654"/>
          <w:tab w:val="right" w:pos="8929"/>
          <w:tab w:val="right" w:pos="9638"/>
        </w:tabs>
        <w:spacing w:after="120"/>
        <w:ind w:left="1984" w:hanging="425"/>
      </w:pPr>
      <w:r>
        <w:t>8.</w:t>
      </w:r>
      <w:r>
        <w:tab/>
      </w:r>
      <w:r w:rsidR="00CF68FB" w:rsidRPr="00662350">
        <w:t>Amendement au paragraphe 5.4.1.1.1</w:t>
      </w:r>
      <w:r>
        <w:tab/>
      </w:r>
      <w:r>
        <w:tab/>
      </w:r>
      <w:r w:rsidR="00CF68FB">
        <w:t>44</w:t>
      </w:r>
      <w:r>
        <w:tab/>
      </w:r>
      <w:r w:rsidR="00276F4D">
        <w:t>9</w:t>
      </w:r>
    </w:p>
    <w:p w14:paraId="2B23C912" w14:textId="017F7BCD" w:rsidR="007D5144" w:rsidRDefault="007D5144" w:rsidP="007D5144">
      <w:pPr>
        <w:tabs>
          <w:tab w:val="right" w:leader="dot" w:pos="7654"/>
          <w:tab w:val="right" w:pos="8929"/>
          <w:tab w:val="right" w:pos="9638"/>
        </w:tabs>
        <w:spacing w:after="120"/>
        <w:ind w:left="1984" w:hanging="425"/>
      </w:pPr>
      <w:r>
        <w:t>9.</w:t>
      </w:r>
      <w:r>
        <w:tab/>
      </w:r>
      <w:r w:rsidR="00CF68FB" w:rsidRPr="008B42BE">
        <w:t xml:space="preserve">Mise à jour de la référence à la norme </w:t>
      </w:r>
      <w:r w:rsidR="00CF68FB" w:rsidRPr="00662350">
        <w:t xml:space="preserve">EN 12972 </w:t>
      </w:r>
      <w:r w:rsidR="00CF68FB">
        <w:br/>
      </w:r>
      <w:r w:rsidR="00CF68FB" w:rsidRPr="008B42BE">
        <w:t xml:space="preserve">au paragraphe </w:t>
      </w:r>
      <w:r w:rsidR="00CF68FB" w:rsidRPr="00662350">
        <w:t>1.8.7.8</w:t>
      </w:r>
      <w:r>
        <w:tab/>
      </w:r>
      <w:r>
        <w:tab/>
      </w:r>
      <w:r w:rsidR="00CF68FB">
        <w:t>45</w:t>
      </w:r>
      <w:r>
        <w:tab/>
      </w:r>
      <w:r w:rsidR="00276F4D">
        <w:t>9</w:t>
      </w:r>
    </w:p>
    <w:p w14:paraId="16E58159" w14:textId="79782833" w:rsidR="007D5144" w:rsidRDefault="007D5144" w:rsidP="00CF68FB">
      <w:pPr>
        <w:tabs>
          <w:tab w:val="right" w:leader="dot" w:pos="7654"/>
          <w:tab w:val="right" w:pos="8929"/>
          <w:tab w:val="right" w:pos="9638"/>
        </w:tabs>
        <w:spacing w:after="120"/>
        <w:ind w:left="1984" w:hanging="425"/>
      </w:pPr>
      <w:r>
        <w:t>10.</w:t>
      </w:r>
      <w:r>
        <w:tab/>
      </w:r>
      <w:r w:rsidR="00CF68FB">
        <w:t>T</w:t>
      </w:r>
      <w:r w:rsidR="00CF68FB" w:rsidRPr="00DD4AAB">
        <w:t xml:space="preserve">ransport des matières stabilisées par régulation de température </w:t>
      </w:r>
      <w:r w:rsidR="00CF68FB">
        <w:br/>
      </w:r>
      <w:r w:rsidR="00CF68FB" w:rsidRPr="00DD4AAB">
        <w:t>conformément</w:t>
      </w:r>
      <w:r w:rsidR="00CF68FB">
        <w:t xml:space="preserve"> à la section </w:t>
      </w:r>
      <w:r w:rsidR="00CF68FB" w:rsidRPr="00662350">
        <w:t>7.1.7</w:t>
      </w:r>
      <w:r>
        <w:tab/>
      </w:r>
      <w:r>
        <w:tab/>
      </w:r>
      <w:r w:rsidR="00CF68FB">
        <w:t>46-47</w:t>
      </w:r>
      <w:r>
        <w:tab/>
        <w:t>1</w:t>
      </w:r>
      <w:r w:rsidR="00276F4D">
        <w:t>0</w:t>
      </w:r>
    </w:p>
    <w:p w14:paraId="7D9FE395" w14:textId="6F6B3D5E" w:rsidR="007D5144" w:rsidRDefault="007D5144" w:rsidP="007D5144">
      <w:pPr>
        <w:tabs>
          <w:tab w:val="right" w:leader="dot" w:pos="7654"/>
          <w:tab w:val="right" w:pos="8929"/>
          <w:tab w:val="right" w:pos="9638"/>
        </w:tabs>
        <w:spacing w:after="120"/>
        <w:ind w:left="1984" w:hanging="425"/>
      </w:pPr>
      <w:r>
        <w:t>11.</w:t>
      </w:r>
      <w:r>
        <w:tab/>
      </w:r>
      <w:r w:rsidR="00CF68FB" w:rsidRPr="00662350">
        <w:t>C</w:t>
      </w:r>
      <w:r w:rsidR="00CF68FB" w:rsidRPr="007F554C">
        <w:t>ertificat d</w:t>
      </w:r>
      <w:r w:rsidR="00CF68FB">
        <w:t>’</w:t>
      </w:r>
      <w:r w:rsidR="00CF68FB" w:rsidRPr="007F554C">
        <w:t>empotage du conteneur</w:t>
      </w:r>
      <w:r w:rsidR="00CF68FB" w:rsidRPr="00662350">
        <w:t>/v</w:t>
      </w:r>
      <w:r w:rsidR="00CF68FB" w:rsidRPr="007F554C">
        <w:t>é</w:t>
      </w:r>
      <w:r w:rsidR="00CF68FB" w:rsidRPr="00662350">
        <w:t>hic</w:t>
      </w:r>
      <w:r w:rsidR="00CF68FB" w:rsidRPr="007F554C">
        <w:t>u</w:t>
      </w:r>
      <w:r w:rsidR="00CF68FB" w:rsidRPr="00662350">
        <w:t>le</w:t>
      </w:r>
      <w:r>
        <w:tab/>
      </w:r>
      <w:r>
        <w:tab/>
      </w:r>
      <w:r w:rsidR="00CF68FB">
        <w:t>48-49</w:t>
      </w:r>
      <w:r>
        <w:tab/>
        <w:t>1</w:t>
      </w:r>
      <w:r w:rsidR="00276F4D">
        <w:t>0</w:t>
      </w:r>
    </w:p>
    <w:p w14:paraId="79EACA6E" w14:textId="22B09A09" w:rsidR="007D5144" w:rsidRDefault="007D5144" w:rsidP="007D5144">
      <w:pPr>
        <w:tabs>
          <w:tab w:val="right" w:leader="dot" w:pos="7654"/>
          <w:tab w:val="right" w:pos="8929"/>
          <w:tab w:val="right" w:pos="9638"/>
        </w:tabs>
        <w:spacing w:after="120"/>
        <w:ind w:left="1984" w:hanging="425"/>
      </w:pPr>
      <w:r>
        <w:t>12.</w:t>
      </w:r>
      <w:r>
        <w:tab/>
      </w:r>
      <w:r w:rsidR="00CF68FB" w:rsidRPr="00D23515">
        <w:t>Disposition spéciale 389</w:t>
      </w:r>
      <w:r>
        <w:tab/>
      </w:r>
      <w:r>
        <w:tab/>
      </w:r>
      <w:r w:rsidR="00CF68FB">
        <w:t>50-51</w:t>
      </w:r>
      <w:r>
        <w:tab/>
        <w:t>1</w:t>
      </w:r>
      <w:r w:rsidR="00276F4D">
        <w:t>0</w:t>
      </w:r>
    </w:p>
    <w:p w14:paraId="3F64CF2E" w14:textId="6EAD72C2" w:rsidR="007D5144" w:rsidRDefault="007D5144" w:rsidP="007D5144">
      <w:pPr>
        <w:tabs>
          <w:tab w:val="right" w:leader="dot" w:pos="7654"/>
          <w:tab w:val="right" w:pos="8929"/>
          <w:tab w:val="right" w:pos="9638"/>
        </w:tabs>
        <w:spacing w:after="120"/>
        <w:ind w:left="1984" w:hanging="425"/>
      </w:pPr>
      <w:r>
        <w:t>13.</w:t>
      </w:r>
      <w:r>
        <w:tab/>
      </w:r>
      <w:r w:rsidR="00CF68FB" w:rsidRPr="00CF68FB">
        <w:t xml:space="preserve">Classement des objets contenant des marchandises dangereuses </w:t>
      </w:r>
      <w:r w:rsidR="003C7D70">
        <w:br/>
      </w:r>
      <w:r w:rsidR="00CF68FB" w:rsidRPr="00CF68FB">
        <w:t>(No. ONU 3363)</w:t>
      </w:r>
      <w:r>
        <w:tab/>
      </w:r>
      <w:r>
        <w:tab/>
        <w:t>5</w:t>
      </w:r>
      <w:r w:rsidR="00CF68FB">
        <w:t>2</w:t>
      </w:r>
      <w:r>
        <w:tab/>
        <w:t>1</w:t>
      </w:r>
      <w:r w:rsidR="00276F4D">
        <w:t>0</w:t>
      </w:r>
    </w:p>
    <w:p w14:paraId="2ADED911" w14:textId="5B1D7B78" w:rsidR="00CF68FB" w:rsidRDefault="00CF68FB" w:rsidP="00CF68FB">
      <w:pPr>
        <w:tabs>
          <w:tab w:val="right" w:leader="dot" w:pos="7654"/>
          <w:tab w:val="right" w:pos="8929"/>
          <w:tab w:val="right" w:pos="9638"/>
        </w:tabs>
        <w:spacing w:after="120"/>
        <w:ind w:left="1984" w:hanging="425"/>
      </w:pPr>
      <w:r>
        <w:t>14.</w:t>
      </w:r>
      <w:r>
        <w:tab/>
      </w:r>
      <w:r>
        <w:rPr>
          <w:lang w:val="fr-FR"/>
        </w:rPr>
        <w:t>Champ d’application de la disposition spéciale 667</w:t>
      </w:r>
      <w:r>
        <w:tab/>
      </w:r>
      <w:r>
        <w:tab/>
        <w:t>53</w:t>
      </w:r>
      <w:r>
        <w:tab/>
        <w:t>1</w:t>
      </w:r>
      <w:r w:rsidR="00276F4D">
        <w:t>0</w:t>
      </w:r>
    </w:p>
    <w:p w14:paraId="196CDCDF" w14:textId="1FCBBAFE" w:rsidR="007D5144" w:rsidRDefault="007D5144" w:rsidP="007D5144">
      <w:pPr>
        <w:tabs>
          <w:tab w:val="right" w:pos="850"/>
          <w:tab w:val="right" w:leader="dot" w:pos="7654"/>
          <w:tab w:val="right" w:pos="8929"/>
          <w:tab w:val="right" w:pos="9638"/>
        </w:tabs>
        <w:spacing w:after="120"/>
        <w:ind w:left="1134" w:hanging="1134"/>
      </w:pPr>
      <w:r>
        <w:tab/>
        <w:t>VII.</w:t>
      </w:r>
      <w:r>
        <w:tab/>
      </w:r>
      <w:r w:rsidRPr="00F001B0">
        <w:rPr>
          <w:lang w:val="fr-FR"/>
        </w:rPr>
        <w:t>Rapports des groupes de travail informels (point 6 de l</w:t>
      </w:r>
      <w:r>
        <w:rPr>
          <w:lang w:val="fr-FR"/>
        </w:rPr>
        <w:t>’</w:t>
      </w:r>
      <w:r w:rsidRPr="00F001B0">
        <w:rPr>
          <w:lang w:val="fr-FR"/>
        </w:rPr>
        <w:t>ordre du jour)</w:t>
      </w:r>
      <w:r>
        <w:tab/>
      </w:r>
      <w:r>
        <w:tab/>
      </w:r>
      <w:r w:rsidR="00CF68FB">
        <w:t>54-60</w:t>
      </w:r>
      <w:r>
        <w:tab/>
        <w:t>1</w:t>
      </w:r>
      <w:r w:rsidR="00276F4D">
        <w:t>1</w:t>
      </w:r>
    </w:p>
    <w:p w14:paraId="00622398" w14:textId="2E4E9055" w:rsidR="007D5144" w:rsidRDefault="007D5144" w:rsidP="007D5144">
      <w:pPr>
        <w:tabs>
          <w:tab w:val="right" w:leader="dot" w:pos="7654"/>
          <w:tab w:val="right" w:pos="8929"/>
          <w:tab w:val="right" w:pos="9638"/>
        </w:tabs>
        <w:spacing w:after="120"/>
        <w:ind w:left="1559" w:hanging="425"/>
      </w:pPr>
      <w:r>
        <w:t>A.</w:t>
      </w:r>
      <w:r>
        <w:tab/>
      </w:r>
      <w:r w:rsidR="00CF68FB" w:rsidRPr="008F4682">
        <w:rPr>
          <w:lang w:val="fr-FR"/>
        </w:rPr>
        <w:t xml:space="preserve">Rapport du groupe de travail informel </w:t>
      </w:r>
      <w:r w:rsidR="00CF68FB" w:rsidRPr="003C0D54">
        <w:rPr>
          <w:lang w:val="fr-FR"/>
        </w:rPr>
        <w:t>de la réduction du risque</w:t>
      </w:r>
      <w:r w:rsidR="00CF68FB" w:rsidRPr="003C0D54">
        <w:rPr>
          <w:lang w:val="fr-FR"/>
        </w:rPr>
        <w:br/>
        <w:t xml:space="preserve">de </w:t>
      </w:r>
      <w:r w:rsidR="00CF68FB" w:rsidRPr="008F4682">
        <w:rPr>
          <w:lang w:val="fr-FR"/>
        </w:rPr>
        <w:t>BLEVE au cours du transport de marchandises dangereuses</w:t>
      </w:r>
      <w:r>
        <w:tab/>
      </w:r>
      <w:r>
        <w:tab/>
      </w:r>
      <w:r w:rsidR="00CF68FB">
        <w:t>54-56</w:t>
      </w:r>
      <w:r>
        <w:tab/>
        <w:t>1</w:t>
      </w:r>
      <w:r w:rsidR="00276F4D">
        <w:t>1</w:t>
      </w:r>
    </w:p>
    <w:p w14:paraId="4FFC23C2" w14:textId="09EB0736" w:rsidR="007D5144" w:rsidRDefault="007D5144" w:rsidP="007D5144">
      <w:pPr>
        <w:tabs>
          <w:tab w:val="right" w:leader="dot" w:pos="7654"/>
          <w:tab w:val="right" w:pos="8929"/>
          <w:tab w:val="right" w:pos="9638"/>
        </w:tabs>
        <w:spacing w:after="120"/>
        <w:ind w:left="1559" w:hanging="425"/>
      </w:pPr>
      <w:r>
        <w:t>B.</w:t>
      </w:r>
      <w:r>
        <w:tab/>
      </w:r>
      <w:r w:rsidR="00CF68FB" w:rsidRPr="00306EE5">
        <w:rPr>
          <w:lang w:val="fr-FR"/>
        </w:rPr>
        <w:t>Groupe de travail informel de la télématique</w:t>
      </w:r>
      <w:r>
        <w:tab/>
      </w:r>
      <w:r>
        <w:tab/>
      </w:r>
      <w:r w:rsidR="00CF68FB">
        <w:t>57-59</w:t>
      </w:r>
      <w:r>
        <w:tab/>
        <w:t>1</w:t>
      </w:r>
      <w:r w:rsidR="00276F4D">
        <w:t>1</w:t>
      </w:r>
    </w:p>
    <w:p w14:paraId="16F4A365" w14:textId="0F765CC1" w:rsidR="007D5144" w:rsidRDefault="007D5144" w:rsidP="007D5144">
      <w:pPr>
        <w:tabs>
          <w:tab w:val="right" w:leader="dot" w:pos="7654"/>
          <w:tab w:val="right" w:pos="8929"/>
          <w:tab w:val="right" w:pos="9638"/>
        </w:tabs>
        <w:spacing w:after="120"/>
        <w:ind w:left="1559" w:hanging="425"/>
      </w:pPr>
      <w:r>
        <w:t>C.</w:t>
      </w:r>
      <w:r>
        <w:tab/>
      </w:r>
      <w:r w:rsidR="00CF68FB" w:rsidRPr="00FE09C7">
        <w:rPr>
          <w:lang w:val="fr-FR"/>
        </w:rPr>
        <w:t xml:space="preserve">Transport de récipients à pression agréés par le Département </w:t>
      </w:r>
      <w:r w:rsidR="00CF68FB">
        <w:rPr>
          <w:lang w:val="fr-FR"/>
        </w:rPr>
        <w:br/>
      </w:r>
      <w:r w:rsidR="00CF68FB" w:rsidRPr="00FE09C7">
        <w:rPr>
          <w:lang w:val="fr-FR"/>
        </w:rPr>
        <w:t>des transports des États-Unis d’Amérique</w:t>
      </w:r>
      <w:r>
        <w:tab/>
      </w:r>
      <w:r>
        <w:tab/>
      </w:r>
      <w:r w:rsidR="00CF68FB">
        <w:t>60</w:t>
      </w:r>
      <w:r>
        <w:tab/>
        <w:t>1</w:t>
      </w:r>
      <w:r w:rsidR="00276F4D">
        <w:t>2</w:t>
      </w:r>
    </w:p>
    <w:p w14:paraId="5758E588" w14:textId="528DDC51" w:rsidR="007D5144" w:rsidRDefault="007D5144" w:rsidP="007D5144">
      <w:pPr>
        <w:tabs>
          <w:tab w:val="right" w:pos="850"/>
          <w:tab w:val="right" w:leader="dot" w:pos="7654"/>
          <w:tab w:val="right" w:pos="8929"/>
          <w:tab w:val="right" w:pos="9638"/>
        </w:tabs>
        <w:spacing w:after="120"/>
        <w:ind w:left="1134" w:hanging="1134"/>
      </w:pPr>
      <w:r>
        <w:tab/>
        <w:t>VIII.</w:t>
      </w:r>
      <w:r>
        <w:tab/>
      </w:r>
      <w:r w:rsidRPr="00F001B0">
        <w:rPr>
          <w:lang w:val="fr-FR"/>
        </w:rPr>
        <w:t>Accidents et gestion des risques (point 7 de l</w:t>
      </w:r>
      <w:r>
        <w:rPr>
          <w:lang w:val="fr-FR"/>
        </w:rPr>
        <w:t>’</w:t>
      </w:r>
      <w:r w:rsidRPr="00F001B0">
        <w:rPr>
          <w:lang w:val="fr-FR"/>
        </w:rPr>
        <w:t>ordre du jour)</w:t>
      </w:r>
      <w:r>
        <w:tab/>
      </w:r>
      <w:r>
        <w:tab/>
      </w:r>
      <w:r w:rsidR="00CF68FB">
        <w:t>61-63</w:t>
      </w:r>
      <w:r>
        <w:tab/>
        <w:t>1</w:t>
      </w:r>
      <w:r w:rsidR="00276F4D">
        <w:t>2</w:t>
      </w:r>
    </w:p>
    <w:p w14:paraId="18DC6CC0" w14:textId="5BA8CECD" w:rsidR="007D5144" w:rsidRDefault="007D5144" w:rsidP="007D5144">
      <w:pPr>
        <w:tabs>
          <w:tab w:val="right" w:pos="850"/>
          <w:tab w:val="right" w:leader="dot" w:pos="7654"/>
          <w:tab w:val="right" w:pos="8929"/>
          <w:tab w:val="right" w:pos="9638"/>
        </w:tabs>
        <w:spacing w:after="120"/>
        <w:ind w:left="1134" w:hanging="1134"/>
      </w:pPr>
      <w:r>
        <w:tab/>
        <w:t>IX.</w:t>
      </w:r>
      <w:r>
        <w:tab/>
      </w:r>
      <w:r w:rsidRPr="00F001B0">
        <w:rPr>
          <w:lang w:val="fr-FR"/>
        </w:rPr>
        <w:t>Travaux futurs (point 8 de l</w:t>
      </w:r>
      <w:r>
        <w:rPr>
          <w:lang w:val="fr-FR"/>
        </w:rPr>
        <w:t>’</w:t>
      </w:r>
      <w:r w:rsidRPr="00F001B0">
        <w:rPr>
          <w:lang w:val="fr-FR"/>
        </w:rPr>
        <w:t>ordre du jour)</w:t>
      </w:r>
      <w:r>
        <w:tab/>
      </w:r>
      <w:r>
        <w:tab/>
      </w:r>
      <w:r w:rsidR="00CF68FB">
        <w:t>64</w:t>
      </w:r>
      <w:r>
        <w:tab/>
        <w:t>1</w:t>
      </w:r>
      <w:r w:rsidR="00276F4D">
        <w:t>2</w:t>
      </w:r>
    </w:p>
    <w:p w14:paraId="5B44B96C" w14:textId="3E8B7074" w:rsidR="007D5144" w:rsidRDefault="007D5144" w:rsidP="007D5144">
      <w:pPr>
        <w:tabs>
          <w:tab w:val="right" w:pos="850"/>
          <w:tab w:val="right" w:leader="dot" w:pos="7654"/>
          <w:tab w:val="right" w:pos="8929"/>
          <w:tab w:val="right" w:pos="9638"/>
        </w:tabs>
        <w:spacing w:after="120"/>
        <w:ind w:left="1134" w:hanging="1134"/>
      </w:pPr>
      <w:r>
        <w:tab/>
        <w:t>X.</w:t>
      </w:r>
      <w:r>
        <w:tab/>
      </w:r>
      <w:r w:rsidRPr="00F001B0">
        <w:rPr>
          <w:lang w:val="fr-FR"/>
        </w:rPr>
        <w:t>Questions diverses (point 9 de l</w:t>
      </w:r>
      <w:r>
        <w:rPr>
          <w:lang w:val="fr-FR"/>
        </w:rPr>
        <w:t>’</w:t>
      </w:r>
      <w:r w:rsidRPr="00F001B0">
        <w:rPr>
          <w:lang w:val="fr-FR"/>
        </w:rPr>
        <w:t>ordre du jour)</w:t>
      </w:r>
      <w:r>
        <w:tab/>
      </w:r>
      <w:r>
        <w:tab/>
      </w:r>
      <w:r w:rsidR="00CF68FB">
        <w:t>65</w:t>
      </w:r>
      <w:r>
        <w:tab/>
        <w:t>1</w:t>
      </w:r>
      <w:r w:rsidR="00276F4D">
        <w:t>2</w:t>
      </w:r>
    </w:p>
    <w:p w14:paraId="1B99A12A" w14:textId="103A40ED" w:rsidR="007D5144" w:rsidRDefault="007D5144" w:rsidP="007D5144">
      <w:pPr>
        <w:tabs>
          <w:tab w:val="right" w:pos="850"/>
          <w:tab w:val="right" w:leader="dot" w:pos="7654"/>
          <w:tab w:val="right" w:pos="8929"/>
          <w:tab w:val="right" w:pos="9638"/>
        </w:tabs>
        <w:spacing w:after="120"/>
        <w:ind w:left="1134" w:hanging="1134"/>
      </w:pPr>
      <w:r>
        <w:tab/>
        <w:t>XI.</w:t>
      </w:r>
      <w:r>
        <w:tab/>
      </w:r>
      <w:r w:rsidRPr="00F001B0">
        <w:rPr>
          <w:lang w:val="fr-FR"/>
        </w:rPr>
        <w:t>Adoption du rapport (point 10 de l</w:t>
      </w:r>
      <w:r>
        <w:rPr>
          <w:lang w:val="fr-FR"/>
        </w:rPr>
        <w:t>’</w:t>
      </w:r>
      <w:r w:rsidRPr="00F001B0">
        <w:rPr>
          <w:lang w:val="fr-FR"/>
        </w:rPr>
        <w:t>ordre du jour)</w:t>
      </w:r>
      <w:r>
        <w:rPr>
          <w:lang w:val="fr-FR"/>
        </w:rPr>
        <w:tab/>
      </w:r>
      <w:r>
        <w:rPr>
          <w:lang w:val="fr-FR"/>
        </w:rPr>
        <w:tab/>
      </w:r>
      <w:r w:rsidR="00CF68FB">
        <w:rPr>
          <w:lang w:val="fr-FR"/>
        </w:rPr>
        <w:t>66</w:t>
      </w:r>
      <w:r>
        <w:rPr>
          <w:lang w:val="fr-FR"/>
        </w:rPr>
        <w:tab/>
        <w:t>1</w:t>
      </w:r>
      <w:r w:rsidR="00276F4D">
        <w:rPr>
          <w:lang w:val="fr-FR"/>
        </w:rPr>
        <w:t>2</w:t>
      </w:r>
    </w:p>
    <w:p w14:paraId="7624FB87" w14:textId="77777777" w:rsidR="00385C24" w:rsidRPr="00F914FA" w:rsidRDefault="00385C24" w:rsidP="00144D89">
      <w:pPr>
        <w:spacing w:before="120" w:after="120"/>
      </w:pPr>
      <w:r w:rsidRPr="00F914FA">
        <w:t xml:space="preserve">Annexes </w:t>
      </w:r>
    </w:p>
    <w:p w14:paraId="36F5AAA8" w14:textId="6D76AE7A" w:rsidR="00385C24" w:rsidRPr="00F914FA" w:rsidRDefault="00385C24" w:rsidP="00144D89">
      <w:pPr>
        <w:tabs>
          <w:tab w:val="right" w:pos="850"/>
          <w:tab w:val="left" w:pos="1134"/>
          <w:tab w:val="left" w:pos="1559"/>
          <w:tab w:val="left" w:pos="1984"/>
          <w:tab w:val="left" w:leader="dot" w:pos="7654"/>
          <w:tab w:val="right" w:pos="8929"/>
          <w:tab w:val="right" w:pos="9638"/>
        </w:tabs>
        <w:spacing w:before="120" w:after="120"/>
      </w:pPr>
      <w:r w:rsidRPr="00F914FA">
        <w:tab/>
        <w:t>I.</w:t>
      </w:r>
      <w:r w:rsidRPr="00F914FA">
        <w:tab/>
        <w:t>Rapport du Groupe de travail des citernes</w:t>
      </w:r>
      <w:r w:rsidRPr="00F914FA">
        <w:footnoteReference w:customMarkFollows="1" w:id="3"/>
        <w:t>** ................................................................................</w:t>
      </w:r>
      <w:r>
        <w:tab/>
      </w:r>
      <w:r w:rsidRPr="00F914FA">
        <w:t xml:space="preserve">  </w:t>
      </w:r>
      <w:r>
        <w:tab/>
        <w:t>1</w:t>
      </w:r>
      <w:r w:rsidR="00276F4D">
        <w:t>3</w:t>
      </w:r>
    </w:p>
    <w:p w14:paraId="574A8D3A" w14:textId="7F2D89A3" w:rsidR="00AE2429" w:rsidRDefault="00385C24" w:rsidP="00D76D6E">
      <w:pPr>
        <w:tabs>
          <w:tab w:val="right" w:pos="850"/>
          <w:tab w:val="left" w:pos="1134"/>
          <w:tab w:val="left" w:pos="1559"/>
          <w:tab w:val="left" w:pos="1984"/>
          <w:tab w:val="left" w:leader="dot" w:pos="7654"/>
          <w:tab w:val="right" w:pos="8929"/>
          <w:tab w:val="right" w:pos="9638"/>
        </w:tabs>
        <w:spacing w:before="120" w:after="120"/>
        <w:ind w:left="1134" w:hanging="1134"/>
      </w:pPr>
      <w:r w:rsidRPr="00F914FA">
        <w:tab/>
        <w:t>II.</w:t>
      </w:r>
      <w:r w:rsidRPr="00F914FA">
        <w:tab/>
        <w:t xml:space="preserve">Projet d’amendements au RID, à l’ADR et à l’ADN pour </w:t>
      </w:r>
      <w:proofErr w:type="spellStart"/>
      <w:r w:rsidRPr="00F914FA">
        <w:t>entrée</w:t>
      </w:r>
      <w:proofErr w:type="spellEnd"/>
      <w:r w:rsidRPr="00F914FA">
        <w:t xml:space="preserve"> en vigueur </w:t>
      </w:r>
      <w:r w:rsidRPr="00F914FA">
        <w:br/>
        <w:t>le 1er janvier 2021...........................................................................................................................</w:t>
      </w:r>
      <w:r w:rsidRPr="00F914FA">
        <w:tab/>
        <w:t>.</w:t>
      </w:r>
      <w:r>
        <w:t xml:space="preserve"> </w:t>
      </w:r>
      <w:r>
        <w:tab/>
        <w:t>1</w:t>
      </w:r>
      <w:r w:rsidR="00276F4D">
        <w:t>4</w:t>
      </w:r>
      <w:r w:rsidR="00AE2429">
        <w:br w:type="page"/>
      </w:r>
    </w:p>
    <w:p w14:paraId="6218DFDB" w14:textId="77777777" w:rsidR="00AE2429" w:rsidRPr="00F12E1F" w:rsidRDefault="00AE2429" w:rsidP="00AE2429">
      <w:pPr>
        <w:pStyle w:val="HChG"/>
      </w:pPr>
      <w:r>
        <w:lastRenderedPageBreak/>
        <w:tab/>
      </w:r>
      <w:r w:rsidRPr="00F12E1F">
        <w:t>I.</w:t>
      </w:r>
      <w:r w:rsidRPr="00F12E1F">
        <w:tab/>
        <w:t>Participation</w:t>
      </w:r>
    </w:p>
    <w:p w14:paraId="6F50C313" w14:textId="77777777" w:rsidR="00AE2429" w:rsidRPr="00F12E1F" w:rsidRDefault="00AE2429" w:rsidP="00AE2429">
      <w:pPr>
        <w:pStyle w:val="SingleTxtG"/>
      </w:pPr>
      <w:r w:rsidRPr="00F12E1F">
        <w:t>1.</w:t>
      </w:r>
      <w:r w:rsidRPr="00F12E1F">
        <w:tab/>
        <w:t>La Réunion commune de la Commission d</w:t>
      </w:r>
      <w:r>
        <w:t>’</w:t>
      </w:r>
      <w:r w:rsidRPr="00F12E1F">
        <w:t>experts du RID et du Groupe de travail des transports de marchandises dangereuses de la Commission économique pour l</w:t>
      </w:r>
      <w:r>
        <w:t>’</w:t>
      </w:r>
      <w:r w:rsidRPr="00F12E1F">
        <w:t>Europe s</w:t>
      </w:r>
      <w:r>
        <w:t>’</w:t>
      </w:r>
      <w:r w:rsidRPr="00F12E1F">
        <w:t xml:space="preserve">est tenue à </w:t>
      </w:r>
      <w:r>
        <w:t>Berne</w:t>
      </w:r>
      <w:r w:rsidRPr="00F12E1F">
        <w:t xml:space="preserve"> du 18 au 22 mars 2019 sous la présidence de M. C. </w:t>
      </w:r>
      <w:proofErr w:type="spellStart"/>
      <w:r w:rsidRPr="00F12E1F">
        <w:t>Pfauvadel</w:t>
      </w:r>
      <w:proofErr w:type="spellEnd"/>
      <w:r w:rsidRPr="00F12E1F">
        <w:t xml:space="preserve"> (France) et la vice-présidence de </w:t>
      </w:r>
      <w:r>
        <w:t>M</w:t>
      </w:r>
      <w:r>
        <w:rPr>
          <w:vertAlign w:val="superscript"/>
        </w:rPr>
        <w:t>me</w:t>
      </w:r>
      <w:r>
        <w:t> </w:t>
      </w:r>
      <w:r w:rsidRPr="00F12E1F">
        <w:t>S. Garcia Wolfrum (Espagne).</w:t>
      </w:r>
    </w:p>
    <w:p w14:paraId="0858AD09" w14:textId="5CF334A1" w:rsidR="00AE2429" w:rsidRPr="00F12E1F" w:rsidRDefault="00AE2429" w:rsidP="00AE2429">
      <w:pPr>
        <w:pStyle w:val="SingleTxtG"/>
      </w:pPr>
      <w:r w:rsidRPr="00F12E1F">
        <w:t>2.</w:t>
      </w:r>
      <w:r w:rsidRPr="00F12E1F">
        <w:tab/>
        <w:t>Conformément au paragraphe a) de l</w:t>
      </w:r>
      <w:r>
        <w:t>’</w:t>
      </w:r>
      <w:r w:rsidRPr="00F12E1F">
        <w:t>article 1 du règlement intérieur de la Réunion commune (ECE/TRANS/WP.15/AC.1/112/Add.2), les représentants des pays suivants ont participé de plein droit à la session</w:t>
      </w:r>
      <w:r>
        <w:t> </w:t>
      </w:r>
      <w:r w:rsidRPr="00F12E1F">
        <w:t xml:space="preserve">: Allemagne, Autriche, Belgique, </w:t>
      </w:r>
      <w:r w:rsidR="00BC395F" w:rsidRPr="00797C3E">
        <w:t>Bélarus</w:t>
      </w:r>
      <w:r w:rsidR="00E10ED1" w:rsidRPr="00797C3E">
        <w:t>,</w:t>
      </w:r>
      <w:r w:rsidR="00E10ED1">
        <w:t xml:space="preserve"> </w:t>
      </w:r>
      <w:r w:rsidRPr="00F12E1F">
        <w:t xml:space="preserve">Croatie, Danemark, Espagne, Finlande, France, Italie, Lettonie, Luxembourg, Pays-Bas, Pologne, Roumanie, Royaume-Uni, Slovaquie, Suède, Suisse, Tchéquie et Turquie. </w:t>
      </w:r>
    </w:p>
    <w:p w14:paraId="4CF2F2EF" w14:textId="77777777" w:rsidR="00AE2429" w:rsidRPr="00F12E1F" w:rsidRDefault="00AE2429" w:rsidP="00AE2429">
      <w:pPr>
        <w:pStyle w:val="SingleTxtG"/>
      </w:pPr>
      <w:r w:rsidRPr="00EB1C85">
        <w:t>3.</w:t>
      </w:r>
      <w:r w:rsidRPr="00EB1C85">
        <w:tab/>
        <w:t xml:space="preserve">Conformément </w:t>
      </w:r>
      <w:r>
        <w:t xml:space="preserve">au paragraphe c) de </w:t>
      </w:r>
      <w:r w:rsidRPr="00EB1C85">
        <w:t>l’article</w:t>
      </w:r>
      <w:r>
        <w:t xml:space="preserve"> 1 </w:t>
      </w:r>
      <w:r w:rsidRPr="00F12E1F">
        <w:t>du règlement intérieur, étaient représentées à titre consultatif</w:t>
      </w:r>
      <w:r>
        <w:t> </w:t>
      </w:r>
      <w:r w:rsidRPr="00F12E1F">
        <w:t xml:space="preserve">: </w:t>
      </w:r>
    </w:p>
    <w:p w14:paraId="1F5E8B4D" w14:textId="4325AD86" w:rsidR="00AE2429" w:rsidRPr="00797C3E" w:rsidRDefault="00265E75" w:rsidP="00265E75">
      <w:pPr>
        <w:pStyle w:val="SingleTxtG"/>
      </w:pPr>
      <w:r>
        <w:tab/>
      </w:r>
      <w:r w:rsidR="00AE2429" w:rsidRPr="00F12E1F">
        <w:tab/>
      </w:r>
      <w:r w:rsidR="00AE2429" w:rsidRPr="00797C3E">
        <w:t>a)</w:t>
      </w:r>
      <w:r w:rsidR="00AE2429" w:rsidRPr="00797C3E">
        <w:tab/>
        <w:t>L’Union européenne (Commission européenne</w:t>
      </w:r>
      <w:r w:rsidRPr="00797C3E">
        <w:t>,</w:t>
      </w:r>
      <w:r w:rsidR="00AE2429" w:rsidRPr="00797C3E">
        <w:t xml:space="preserve"> Agence </w:t>
      </w:r>
      <w:r w:rsidRPr="00797C3E">
        <w:t xml:space="preserve">de l’Union </w:t>
      </w:r>
      <w:r w:rsidRPr="006F493D">
        <w:t xml:space="preserve">européenne </w:t>
      </w:r>
      <w:r w:rsidRPr="00797C3E">
        <w:t xml:space="preserve">pour les </w:t>
      </w:r>
      <w:r w:rsidR="00AE2429" w:rsidRPr="00797C3E">
        <w:t>chemins de fer</w:t>
      </w:r>
      <w:r w:rsidRPr="00797C3E">
        <w:t xml:space="preserve"> (ERA)</w:t>
      </w:r>
      <w:r w:rsidR="00AE2429" w:rsidRPr="006F493D">
        <w:t>)</w:t>
      </w:r>
      <w:r w:rsidR="00AE2429" w:rsidRPr="00797C3E">
        <w:t xml:space="preserve"> et l’Organisation pour la coopération des chemins de fer (OSJD) ;</w:t>
      </w:r>
    </w:p>
    <w:p w14:paraId="0912BF99" w14:textId="383D4C67" w:rsidR="00AE2429" w:rsidRPr="00797C3E" w:rsidRDefault="00265E75" w:rsidP="00265E75">
      <w:pPr>
        <w:pStyle w:val="SingleTxtG"/>
      </w:pPr>
      <w:r w:rsidRPr="00265E75">
        <w:rPr>
          <w:highlight w:val="yellow"/>
        </w:rPr>
        <w:tab/>
      </w:r>
      <w:r w:rsidR="00AE2429" w:rsidRPr="00797C3E">
        <w:tab/>
        <w:t>b)</w:t>
      </w:r>
      <w:r w:rsidR="00AE2429" w:rsidRPr="00797C3E">
        <w:tab/>
        <w:t xml:space="preserve">Les organisations non gouvernementales internationales suivantes : </w:t>
      </w:r>
      <w:r w:rsidR="006F493D" w:rsidRPr="006F493D">
        <w:t>Association européenne des conseillers à la sécurité (EASA)</w:t>
      </w:r>
      <w:r w:rsidR="006F493D">
        <w:t xml:space="preserve">, </w:t>
      </w:r>
      <w:r w:rsidR="00AE2429" w:rsidRPr="00797C3E">
        <w:t xml:space="preserve">Association européenne des gaz industriels (EIGA), Comité de liaison de la construction de carrosseries et de remorques (CLCCR), Comité européen de normalisation (CEN), Conseil européen de l’industrie chimique (CEFIC), Conférence européenne des négociants en combustibles et carburants (CENCC), Council on Safe Transportation of </w:t>
      </w:r>
      <w:proofErr w:type="spellStart"/>
      <w:r w:rsidR="00AE2429" w:rsidRPr="00797C3E">
        <w:t>Hazardous</w:t>
      </w:r>
      <w:proofErr w:type="spellEnd"/>
      <w:r w:rsidR="00AE2429" w:rsidRPr="00797C3E">
        <w:t xml:space="preserve"> Articles (COSTHA), </w:t>
      </w:r>
      <w:proofErr w:type="spellStart"/>
      <w:r w:rsidR="00CC43E4">
        <w:t>Liquid</w:t>
      </w:r>
      <w:proofErr w:type="spellEnd"/>
      <w:r w:rsidR="00CC43E4">
        <w:t xml:space="preserve"> Gas Europe, </w:t>
      </w:r>
      <w:r w:rsidR="00AE2429" w:rsidRPr="00797C3E">
        <w:t>Union internationale des chemins de fer (UIC), Union internationale des propriétaires de wagons particuliers (UIP) et Union internationale des transports routiers (IRU).</w:t>
      </w:r>
    </w:p>
    <w:p w14:paraId="2F4D1405" w14:textId="77777777" w:rsidR="00AE2429" w:rsidRPr="00F12E1F" w:rsidRDefault="00AE2429" w:rsidP="00AE2429">
      <w:pPr>
        <w:pStyle w:val="HChG"/>
      </w:pPr>
      <w:r w:rsidRPr="00F12E1F">
        <w:tab/>
        <w:t>II.</w:t>
      </w:r>
      <w:r w:rsidRPr="00F12E1F">
        <w:tab/>
        <w:t>Adoption de l</w:t>
      </w:r>
      <w:r>
        <w:t>’</w:t>
      </w:r>
      <w:r w:rsidRPr="00F12E1F">
        <w:t>ordre du jour (point 1 de l</w:t>
      </w:r>
      <w:r>
        <w:t>’</w:t>
      </w:r>
      <w:r w:rsidRPr="00F12E1F">
        <w:t xml:space="preserve">ordre du jour) </w:t>
      </w:r>
    </w:p>
    <w:p w14:paraId="3B05C993" w14:textId="77777777" w:rsidR="00AE2429" w:rsidRPr="00F12E1F" w:rsidRDefault="00AE2429" w:rsidP="00AE2429">
      <w:pPr>
        <w:pStyle w:val="SingleTxtG"/>
        <w:keepNext/>
        <w:ind w:left="3119" w:hanging="1985"/>
      </w:pPr>
      <w:r w:rsidRPr="00F12E1F">
        <w:rPr>
          <w:i/>
          <w:iCs/>
        </w:rPr>
        <w:t>Documents</w:t>
      </w:r>
      <w:r>
        <w:rPr>
          <w:i/>
          <w:iCs/>
        </w:rPr>
        <w:t> </w:t>
      </w:r>
      <w:r w:rsidRPr="00F12E1F">
        <w:rPr>
          <w:i/>
          <w:iCs/>
        </w:rPr>
        <w:t>:</w:t>
      </w:r>
      <w:r w:rsidRPr="00F12E1F">
        <w:tab/>
        <w:t>ECE/TRANS/WP.15/AC.1/153 et Add.1</w:t>
      </w:r>
    </w:p>
    <w:p w14:paraId="6812EA5C" w14:textId="44FA0F01" w:rsidR="00AE2429" w:rsidRPr="00F12E1F" w:rsidRDefault="00AE2429" w:rsidP="00AE2429">
      <w:pPr>
        <w:pStyle w:val="SingleTxtG"/>
        <w:keepNext/>
        <w:ind w:left="3119" w:hanging="1985"/>
      </w:pPr>
      <w:r w:rsidRPr="00F12E1F">
        <w:rPr>
          <w:i/>
          <w:iCs/>
        </w:rPr>
        <w:t>Document informel</w:t>
      </w:r>
      <w:r>
        <w:rPr>
          <w:i/>
          <w:iCs/>
        </w:rPr>
        <w:t> </w:t>
      </w:r>
      <w:r w:rsidRPr="00F12E1F">
        <w:rPr>
          <w:i/>
          <w:iCs/>
        </w:rPr>
        <w:t>:</w:t>
      </w:r>
      <w:r w:rsidRPr="00F12E1F">
        <w:tab/>
        <w:t>INF.2 (Secrétariat)</w:t>
      </w:r>
    </w:p>
    <w:p w14:paraId="38B5C315" w14:textId="481E7034" w:rsidR="00AE2429" w:rsidRPr="00F12E1F" w:rsidRDefault="00AE2429" w:rsidP="00AE2429">
      <w:pPr>
        <w:pStyle w:val="SingleTxtG"/>
      </w:pPr>
      <w:r w:rsidRPr="00F12E1F">
        <w:t>4.</w:t>
      </w:r>
      <w:r w:rsidRPr="00F12E1F">
        <w:tab/>
        <w:t>La Réunion commune a adopté l</w:t>
      </w:r>
      <w:r>
        <w:t>’</w:t>
      </w:r>
      <w:r w:rsidRPr="00F12E1F">
        <w:t>ordre du jour proposé par le secrétariat dans les documents ECE/TRANS/WP.15/AC.1/153 et Add.1 tels qu</w:t>
      </w:r>
      <w:r>
        <w:t>’</w:t>
      </w:r>
      <w:r w:rsidRPr="00F12E1F">
        <w:t>actualisés par le document informel INF.2, après l</w:t>
      </w:r>
      <w:r>
        <w:t>’</w:t>
      </w:r>
      <w:r w:rsidRPr="00F12E1F">
        <w:t>avoir modifié afin de prendre en compte les documents informels INF.1 à INF.</w:t>
      </w:r>
      <w:r w:rsidR="00E10ED1">
        <w:t>39</w:t>
      </w:r>
      <w:r w:rsidRPr="00F12E1F">
        <w:t>.</w:t>
      </w:r>
    </w:p>
    <w:p w14:paraId="3009D98B" w14:textId="2D95D914" w:rsidR="00AE2429" w:rsidRPr="00F12E1F" w:rsidRDefault="00AE2429" w:rsidP="00AE2429">
      <w:pPr>
        <w:pStyle w:val="SingleTxtG"/>
      </w:pPr>
      <w:r w:rsidRPr="00F12E1F">
        <w:t>5.</w:t>
      </w:r>
      <w:r w:rsidRPr="00F12E1F">
        <w:tab/>
        <w:t>La Réunion commune a appris que l</w:t>
      </w:r>
      <w:r w:rsidR="00A27317">
        <w:t>a</w:t>
      </w:r>
      <w:r w:rsidRPr="00F12E1F">
        <w:t xml:space="preserve"> représentant</w:t>
      </w:r>
      <w:r w:rsidR="00A27317">
        <w:t>e</w:t>
      </w:r>
      <w:r w:rsidRPr="00F12E1F">
        <w:t xml:space="preserve"> du Portugal </w:t>
      </w:r>
      <w:r w:rsidR="00537751">
        <w:t>n’avait</w:t>
      </w:r>
      <w:r w:rsidRPr="00F12E1F">
        <w:t xml:space="preserve"> pas </w:t>
      </w:r>
      <w:r w:rsidR="00537751">
        <w:t xml:space="preserve">pu </w:t>
      </w:r>
      <w:r w:rsidRPr="00F12E1F">
        <w:t>assister à la session et avait retiré le document informel INF.24 (point</w:t>
      </w:r>
      <w:r>
        <w:t> </w:t>
      </w:r>
      <w:r w:rsidRPr="00F12E1F">
        <w:t>5</w:t>
      </w:r>
      <w:r>
        <w:t> </w:t>
      </w:r>
      <w:r w:rsidRPr="00F12E1F">
        <w:t>b) de l</w:t>
      </w:r>
      <w:r>
        <w:t>’</w:t>
      </w:r>
      <w:r w:rsidRPr="00F12E1F">
        <w:t>ordre du jour). Il a été noté que ce document serait soumis à nouveau pour examen à la session d</w:t>
      </w:r>
      <w:r>
        <w:t>’</w:t>
      </w:r>
      <w:r w:rsidRPr="00F12E1F">
        <w:t xml:space="preserve">automne 2019. </w:t>
      </w:r>
    </w:p>
    <w:p w14:paraId="04EB65F8" w14:textId="77777777" w:rsidR="00AE2429" w:rsidRPr="00F12E1F" w:rsidRDefault="00AE2429" w:rsidP="00AE2429">
      <w:pPr>
        <w:pStyle w:val="SingleTxtG"/>
      </w:pPr>
      <w:r w:rsidRPr="00F12E1F">
        <w:t>6.</w:t>
      </w:r>
      <w:r w:rsidRPr="00F12E1F">
        <w:tab/>
        <w:t xml:space="preserve">Notant que les propositions contenues dans le document </w:t>
      </w:r>
      <w:r w:rsidR="00537751">
        <w:br/>
      </w:r>
      <w:r w:rsidRPr="00F12E1F">
        <w:t>ECE/TRANS/WP.15/AC.1/2019/2 (point</w:t>
      </w:r>
      <w:r>
        <w:t> </w:t>
      </w:r>
      <w:r w:rsidRPr="00F12E1F">
        <w:t>5</w:t>
      </w:r>
      <w:r>
        <w:t> </w:t>
      </w:r>
      <w:r w:rsidRPr="00F12E1F">
        <w:t>b) de l</w:t>
      </w:r>
      <w:r>
        <w:t>’</w:t>
      </w:r>
      <w:r w:rsidRPr="00F12E1F">
        <w:t>ordre du jour) portaient sur des normes et des questions concernant les citernes, la Réunion commune a décidé de les transmettre aux groupes de travail sur les normes et les citernes pour examen préliminaire avant de les aborder en séance plénière.</w:t>
      </w:r>
    </w:p>
    <w:p w14:paraId="55B37E9C" w14:textId="77777777" w:rsidR="00AE2429" w:rsidRPr="00F12E1F" w:rsidRDefault="00AE2429" w:rsidP="00AE2429">
      <w:pPr>
        <w:pStyle w:val="HChG"/>
      </w:pPr>
      <w:r w:rsidRPr="00F12E1F">
        <w:tab/>
        <w:t>III.</w:t>
      </w:r>
      <w:r w:rsidRPr="00F12E1F">
        <w:tab/>
        <w:t>Citernes (point 2 de l</w:t>
      </w:r>
      <w:r>
        <w:t>’</w:t>
      </w:r>
      <w:r w:rsidRPr="00F12E1F">
        <w:t>ordre du jour)</w:t>
      </w:r>
    </w:p>
    <w:p w14:paraId="620D0441" w14:textId="77777777" w:rsidR="00AE2429" w:rsidRPr="00F12E1F" w:rsidRDefault="00AE2429" w:rsidP="00AE2429">
      <w:pPr>
        <w:pStyle w:val="SingleTxtG"/>
        <w:keepNext/>
        <w:ind w:left="3119" w:hanging="1985"/>
        <w:jc w:val="left"/>
      </w:pPr>
      <w:r w:rsidRPr="00F12E1F">
        <w:rPr>
          <w:i/>
          <w:iCs/>
        </w:rPr>
        <w:t>Documents</w:t>
      </w:r>
      <w:r>
        <w:rPr>
          <w:i/>
          <w:iCs/>
        </w:rPr>
        <w:t> </w:t>
      </w:r>
      <w:r w:rsidRPr="00F12E1F">
        <w:rPr>
          <w:i/>
          <w:iCs/>
        </w:rPr>
        <w:t>:</w:t>
      </w:r>
      <w:r w:rsidRPr="00F12E1F">
        <w:t xml:space="preserve"> </w:t>
      </w:r>
      <w:r w:rsidRPr="00F12E1F">
        <w:tab/>
        <w:t>ECE/TRANS/WP.15/AC.1/152/Add.1 (Secrétariat)</w:t>
      </w:r>
      <w:r>
        <w:br/>
      </w:r>
      <w:r w:rsidRPr="00F12E1F">
        <w:t>ECE/TRANS/WP.15/AC.1/2019/1 (B</w:t>
      </w:r>
      <w:r>
        <w:t>é</w:t>
      </w:r>
      <w:r w:rsidRPr="00F12E1F">
        <w:t>larus)</w:t>
      </w:r>
      <w:r>
        <w:br/>
      </w:r>
      <w:r w:rsidRPr="00F12E1F">
        <w:t>ECE/TRANS/WP.15/AC.1/2019/2 (Allemagne)</w:t>
      </w:r>
      <w:r>
        <w:br/>
      </w:r>
      <w:r w:rsidRPr="00F12E1F">
        <w:t>ECE/TRANS/WP.15/AC.1/2019/3 (Belgique)</w:t>
      </w:r>
      <w:r>
        <w:br/>
      </w:r>
      <w:r w:rsidRPr="00AD3001">
        <w:t>ECE/TRANS/WP.15/AC.1/2019/6 (ITCO)</w:t>
      </w:r>
      <w:r w:rsidRPr="00AD3001">
        <w:br/>
      </w:r>
      <w:r w:rsidRPr="00F12E1F">
        <w:t>ECE/TRANS/WP.15/AC.1/2019/7 (Roumanie)</w:t>
      </w:r>
      <w:r>
        <w:br/>
      </w:r>
      <w:r w:rsidRPr="00F12E1F">
        <w:t>ECE/TRANS/WP.15/AC.1/2019/17 (Royaume-Uni)</w:t>
      </w:r>
      <w:r>
        <w:br/>
      </w:r>
      <w:r w:rsidRPr="00F12E1F">
        <w:lastRenderedPageBreak/>
        <w:t>ECE/TRANS/WP.15/AC.1/2019/18 (Royaume-Uni)</w:t>
      </w:r>
      <w:r>
        <w:br/>
      </w:r>
      <w:r w:rsidRPr="00F12E1F">
        <w:t>ECE/TRANS/WP.15/AC.1/2019/19 (Pologne)</w:t>
      </w:r>
    </w:p>
    <w:p w14:paraId="28692CCC" w14:textId="77777777" w:rsidR="00AE2429" w:rsidRPr="00F12E1F" w:rsidRDefault="00AE2429" w:rsidP="00AE2429">
      <w:pPr>
        <w:pStyle w:val="SingleTxtG"/>
        <w:keepNext/>
        <w:ind w:left="3119" w:hanging="1985"/>
        <w:jc w:val="left"/>
      </w:pPr>
      <w:r w:rsidRPr="00F12E1F">
        <w:rPr>
          <w:i/>
          <w:iCs/>
        </w:rPr>
        <w:t>Documents informels</w:t>
      </w:r>
      <w:r>
        <w:rPr>
          <w:i/>
          <w:iCs/>
        </w:rPr>
        <w:t> </w:t>
      </w:r>
      <w:r w:rsidRPr="00F12E1F">
        <w:rPr>
          <w:i/>
          <w:iCs/>
        </w:rPr>
        <w:t>:</w:t>
      </w:r>
      <w:r w:rsidRPr="00F12E1F">
        <w:tab/>
        <w:t>INF.5 (Royaume-Uni)</w:t>
      </w:r>
      <w:r>
        <w:br/>
      </w:r>
      <w:r w:rsidRPr="00F12E1F">
        <w:t xml:space="preserve">INF.11 (Royaume-Uni) </w:t>
      </w:r>
      <w:r>
        <w:br/>
      </w:r>
      <w:r w:rsidRPr="00F12E1F">
        <w:t xml:space="preserve">INF.12 (Royaume-Uni) </w:t>
      </w:r>
      <w:r>
        <w:br/>
      </w:r>
      <w:r w:rsidRPr="00F12E1F">
        <w:t xml:space="preserve">INF.13 (Royaume-Uni) </w:t>
      </w:r>
      <w:r>
        <w:br/>
      </w:r>
      <w:r w:rsidRPr="00F12E1F">
        <w:t xml:space="preserve">INF.14 (Pays-Bas) </w:t>
      </w:r>
      <w:r>
        <w:br/>
      </w:r>
      <w:r w:rsidRPr="00F12E1F">
        <w:t>INF.16 (UIP)</w:t>
      </w:r>
      <w:r>
        <w:br/>
      </w:r>
      <w:r w:rsidRPr="00F12E1F">
        <w:t>INF.21 (Pays-Bas)</w:t>
      </w:r>
      <w:r>
        <w:br/>
      </w:r>
      <w:r w:rsidRPr="00F12E1F">
        <w:t>INF.25 (Commission européenne)</w:t>
      </w:r>
      <w:r>
        <w:br/>
      </w:r>
      <w:r w:rsidRPr="00F12E1F">
        <w:t>INF.29 (Royaume-Uni)</w:t>
      </w:r>
      <w:r>
        <w:br/>
      </w:r>
      <w:r w:rsidRPr="00F12E1F">
        <w:t>INF.30 (Royaume-Uni)</w:t>
      </w:r>
      <w:r>
        <w:br/>
      </w:r>
      <w:r w:rsidRPr="00F12E1F">
        <w:t>INF.31 (Royaume-Uni)</w:t>
      </w:r>
      <w:r>
        <w:t>.</w:t>
      </w:r>
    </w:p>
    <w:p w14:paraId="65E85943" w14:textId="77777777" w:rsidR="00AE2429" w:rsidRPr="00F12E1F" w:rsidRDefault="00AE2429" w:rsidP="00AE2429">
      <w:pPr>
        <w:pStyle w:val="SingleTxtG"/>
      </w:pPr>
      <w:r w:rsidRPr="00F12E1F">
        <w:t>7.</w:t>
      </w:r>
      <w:r w:rsidRPr="00F12E1F">
        <w:tab/>
        <w:t>L</w:t>
      </w:r>
      <w:r>
        <w:t>’</w:t>
      </w:r>
      <w:r w:rsidRPr="00F12E1F">
        <w:t>examen des documents au titre du point 2 de l</w:t>
      </w:r>
      <w:r>
        <w:t>’</w:t>
      </w:r>
      <w:r w:rsidRPr="00F12E1F">
        <w:t>ordre du jour a été confié au Groupe de travail des citernes qui s</w:t>
      </w:r>
      <w:r>
        <w:t>’</w:t>
      </w:r>
      <w:r w:rsidRPr="00F12E1F">
        <w:t>est réuni du 18 au 20 mars sous la présidence de M.</w:t>
      </w:r>
      <w:r>
        <w:t> </w:t>
      </w:r>
      <w:r w:rsidRPr="00F12E1F">
        <w:t>A.</w:t>
      </w:r>
      <w:r>
        <w:t> </w:t>
      </w:r>
      <w:r w:rsidRPr="00F12E1F">
        <w:t>Bale (Royaume-Uni).</w:t>
      </w:r>
    </w:p>
    <w:p w14:paraId="1DB5404D" w14:textId="77777777" w:rsidR="00AE2429" w:rsidRDefault="00AE2429" w:rsidP="00AE2429">
      <w:pPr>
        <w:pStyle w:val="SingleTxtG"/>
      </w:pPr>
      <w:r w:rsidRPr="00F12E1F">
        <w:t>8.</w:t>
      </w:r>
      <w:r w:rsidRPr="00F12E1F">
        <w:tab/>
        <w:t>Comme cela avait été demandé lors de la présentation des documents en séance plénière, l</w:t>
      </w:r>
      <w:r>
        <w:t>’</w:t>
      </w:r>
      <w:r w:rsidRPr="00F12E1F">
        <w:t>examen du document ECE/TRANS/WP.15/AC.1/2019/6 (point</w:t>
      </w:r>
      <w:r>
        <w:t> </w:t>
      </w:r>
      <w:r w:rsidRPr="00F12E1F">
        <w:t>5</w:t>
      </w:r>
      <w:r>
        <w:t> </w:t>
      </w:r>
      <w:r w:rsidRPr="00F12E1F">
        <w:t>b) de l</w:t>
      </w:r>
      <w:r>
        <w:t>’</w:t>
      </w:r>
      <w:r w:rsidRPr="00F12E1F">
        <w:t xml:space="preserve">ordre du jour) et des propositions </w:t>
      </w:r>
      <w:r w:rsidR="00BC395F">
        <w:t xml:space="preserve">d’amendement </w:t>
      </w:r>
      <w:r w:rsidRPr="00F12E1F">
        <w:t>concernant les citernes aux chapitres 6.8 et 6.10 contenues dans le document ECE/TRANS/WP.15/AC.1/2019/7 (point</w:t>
      </w:r>
      <w:r>
        <w:t> </w:t>
      </w:r>
      <w:r w:rsidRPr="00F12E1F">
        <w:t>5</w:t>
      </w:r>
      <w:r>
        <w:t> </w:t>
      </w:r>
      <w:r w:rsidRPr="00F12E1F">
        <w:t>b) de l</w:t>
      </w:r>
      <w:r>
        <w:t>’</w:t>
      </w:r>
      <w:r w:rsidRPr="00F12E1F">
        <w:t>ordre du jour) a également été confié au Groupe de travail des citernes.</w:t>
      </w:r>
    </w:p>
    <w:p w14:paraId="6FC8B39A" w14:textId="77777777" w:rsidR="00AE2429" w:rsidRPr="00FE09C7" w:rsidRDefault="00AE2429" w:rsidP="00AE2429">
      <w:pPr>
        <w:pStyle w:val="H1G"/>
      </w:pPr>
      <w:r w:rsidRPr="00FE09C7">
        <w:rPr>
          <w:lang w:val="fr-FR"/>
        </w:rPr>
        <w:tab/>
      </w:r>
      <w:r w:rsidRPr="00FE09C7">
        <w:rPr>
          <w:lang w:val="fr-FR"/>
        </w:rPr>
        <w:tab/>
        <w:t>Rapport du Groupe de travail des citernes</w:t>
      </w:r>
    </w:p>
    <w:p w14:paraId="019F0CC4" w14:textId="77777777" w:rsidR="00AE2429" w:rsidRPr="00FE09C7" w:rsidRDefault="00AE2429" w:rsidP="00AE2429">
      <w:pPr>
        <w:pStyle w:val="SingleTxtG"/>
        <w:ind w:left="3119" w:hanging="1985"/>
      </w:pPr>
      <w:r w:rsidRPr="00FE09C7">
        <w:rPr>
          <w:i/>
          <w:iCs/>
          <w:lang w:val="fr-FR"/>
        </w:rPr>
        <w:t>Document informel</w:t>
      </w:r>
      <w:r>
        <w:rPr>
          <w:i/>
          <w:iCs/>
          <w:lang w:val="fr-FR"/>
        </w:rPr>
        <w:t> </w:t>
      </w:r>
      <w:r w:rsidRPr="005A3DD3">
        <w:rPr>
          <w:iCs/>
          <w:lang w:val="fr-FR"/>
        </w:rPr>
        <w:t>:</w:t>
      </w:r>
      <w:r w:rsidRPr="00FE09C7">
        <w:rPr>
          <w:lang w:val="fr-FR"/>
        </w:rPr>
        <w:tab/>
        <w:t>INF.39 (Rapport du Groupe de travail des citernes)</w:t>
      </w:r>
      <w:r>
        <w:rPr>
          <w:lang w:val="fr-FR"/>
        </w:rPr>
        <w:t>.</w:t>
      </w:r>
    </w:p>
    <w:p w14:paraId="4DB96B62" w14:textId="4EC77737" w:rsidR="00AE2429" w:rsidRPr="00FE09C7" w:rsidRDefault="00BC395F" w:rsidP="00AE2429">
      <w:pPr>
        <w:pStyle w:val="SingleTxtG"/>
      </w:pPr>
      <w:r>
        <w:rPr>
          <w:lang w:val="fr-FR"/>
        </w:rPr>
        <w:t>9</w:t>
      </w:r>
      <w:r w:rsidR="00AE2429" w:rsidRPr="00FE09C7">
        <w:rPr>
          <w:lang w:val="fr-FR"/>
        </w:rPr>
        <w:t>.</w:t>
      </w:r>
      <w:r w:rsidR="00AE2429" w:rsidRPr="00FE09C7">
        <w:rPr>
          <w:lang w:val="fr-FR"/>
        </w:rPr>
        <w:tab/>
        <w:t xml:space="preserve">La Réunion commune a adopté les conclusions et les recommandations du Groupe de travail, dont le rapport figure à l’annexe I en tant qu’additif 1 au présent rapport. Les propositions 1 et 2 énoncées au point 1 (Item 1) du document informel INF.39 ont été adoptées (voir annexe </w:t>
      </w:r>
      <w:r>
        <w:rPr>
          <w:lang w:val="fr-FR"/>
        </w:rPr>
        <w:t>I</w:t>
      </w:r>
      <w:r w:rsidR="008F4682">
        <w:rPr>
          <w:lang w:val="fr-FR"/>
        </w:rPr>
        <w:t>I</w:t>
      </w:r>
      <w:r w:rsidRPr="00FE09C7">
        <w:rPr>
          <w:lang w:val="fr-FR"/>
        </w:rPr>
        <w:t>).</w:t>
      </w:r>
    </w:p>
    <w:p w14:paraId="5D596093" w14:textId="2D13E5D7" w:rsidR="00AE2429" w:rsidRPr="00FE09C7" w:rsidRDefault="00BC395F" w:rsidP="00AE2429">
      <w:pPr>
        <w:pStyle w:val="SingleTxtG"/>
      </w:pPr>
      <w:r>
        <w:rPr>
          <w:lang w:val="fr-FR"/>
        </w:rPr>
        <w:t>10</w:t>
      </w:r>
      <w:r w:rsidR="00AE2429" w:rsidRPr="00FE09C7">
        <w:rPr>
          <w:lang w:val="fr-FR"/>
        </w:rPr>
        <w:t>.</w:t>
      </w:r>
      <w:r w:rsidR="00AE2429" w:rsidRPr="00FE09C7">
        <w:rPr>
          <w:lang w:val="fr-FR"/>
        </w:rPr>
        <w:tab/>
        <w:t xml:space="preserve">S’agissant du point 3 (Item 3), la Réunion commune a pris note des trois options suggérées par le </w:t>
      </w:r>
      <w:r w:rsidR="00916967">
        <w:rPr>
          <w:lang w:val="fr-FR"/>
        </w:rPr>
        <w:t>G</w:t>
      </w:r>
      <w:r w:rsidR="00916967" w:rsidRPr="00FE09C7">
        <w:rPr>
          <w:lang w:val="fr-FR"/>
        </w:rPr>
        <w:t xml:space="preserve">roupe </w:t>
      </w:r>
      <w:r w:rsidR="00AE2429" w:rsidRPr="00FE09C7">
        <w:rPr>
          <w:lang w:val="fr-FR"/>
        </w:rPr>
        <w:t xml:space="preserve">de travail </w:t>
      </w:r>
      <w:r w:rsidR="00916967">
        <w:rPr>
          <w:lang w:val="fr-FR"/>
        </w:rPr>
        <w:t>des citernes</w:t>
      </w:r>
      <w:r w:rsidR="00AE2429" w:rsidRPr="00FE09C7">
        <w:rPr>
          <w:lang w:val="fr-FR"/>
        </w:rPr>
        <w:t xml:space="preserve">. Sachant que les nouvelles définitions avaient pour principal objet de faciliter une identification claire de l’exploitant d’un point de vue juridique et administratif, la plupart des délégations ont privilégié la deuxième option pour le transport routier. Pour le transport ferroviaire, la Réunion commune a invité le </w:t>
      </w:r>
      <w:r w:rsidR="00916967">
        <w:rPr>
          <w:lang w:val="fr-FR"/>
        </w:rPr>
        <w:t>G</w:t>
      </w:r>
      <w:r w:rsidR="00916967" w:rsidRPr="00FE09C7">
        <w:rPr>
          <w:lang w:val="fr-FR"/>
        </w:rPr>
        <w:t xml:space="preserve">roupe </w:t>
      </w:r>
      <w:r w:rsidR="00AE2429" w:rsidRPr="00FE09C7">
        <w:rPr>
          <w:lang w:val="fr-FR"/>
        </w:rPr>
        <w:t xml:space="preserve">de travail </w:t>
      </w:r>
      <w:r w:rsidR="00916967">
        <w:rPr>
          <w:lang w:val="fr-FR"/>
        </w:rPr>
        <w:t xml:space="preserve">des citernes </w:t>
      </w:r>
      <w:r w:rsidR="00AE2429" w:rsidRPr="00FE09C7">
        <w:rPr>
          <w:lang w:val="fr-FR"/>
        </w:rPr>
        <w:t xml:space="preserve">à se poser la question de savoir si les définitions existantes pourraient être utilisées (par </w:t>
      </w:r>
      <w:r w:rsidR="00AE2429" w:rsidRPr="00797C3E">
        <w:rPr>
          <w:lang w:val="fr-FR"/>
        </w:rPr>
        <w:t>exemple « détenteur » à l’appendice</w:t>
      </w:r>
      <w:r w:rsidR="00AE2429" w:rsidRPr="00FE09C7">
        <w:rPr>
          <w:lang w:val="fr-FR"/>
        </w:rPr>
        <w:t xml:space="preserve"> G de la COTIF). Le représentant de l’ERA a fait observer que les résultats des travaux du Groupe </w:t>
      </w:r>
      <w:r w:rsidR="00A27317">
        <w:rPr>
          <w:lang w:val="fr-FR"/>
        </w:rPr>
        <w:t xml:space="preserve">mixte </w:t>
      </w:r>
      <w:r w:rsidR="00AE2429" w:rsidRPr="00FE09C7">
        <w:rPr>
          <w:lang w:val="fr-FR"/>
        </w:rPr>
        <w:t xml:space="preserve">d’experts pour la coordination (JCGE) devaient également être pris en considération. </w:t>
      </w:r>
    </w:p>
    <w:p w14:paraId="48DAC1C4" w14:textId="1B079F2D" w:rsidR="00AE2429" w:rsidRPr="00FE09C7" w:rsidRDefault="00BC395F" w:rsidP="00AE2429">
      <w:pPr>
        <w:pStyle w:val="SingleTxtG"/>
      </w:pPr>
      <w:r>
        <w:rPr>
          <w:lang w:val="fr-FR"/>
        </w:rPr>
        <w:t>11</w:t>
      </w:r>
      <w:r w:rsidR="00AE2429" w:rsidRPr="00FE09C7">
        <w:rPr>
          <w:lang w:val="fr-FR"/>
        </w:rPr>
        <w:t>.</w:t>
      </w:r>
      <w:r w:rsidR="00AE2429" w:rsidRPr="00FE09C7">
        <w:rPr>
          <w:lang w:val="fr-FR"/>
        </w:rPr>
        <w:tab/>
        <w:t xml:space="preserve">S’agissant du point 6 (Item 6), la Réunion commune a estimé comme le Groupe de travail qu’une même approche devait être adoptée pour la reconnaissance réciproque des contrôles et procédures administratifs aux fins des évaluations de conformité, des attestations d’agrément de type et des inspections. </w:t>
      </w:r>
      <w:r w:rsidR="00916967">
        <w:rPr>
          <w:lang w:val="fr-FR"/>
        </w:rPr>
        <w:t>Toutefois quelques délégations ont</w:t>
      </w:r>
      <w:r w:rsidR="00AE2429" w:rsidRPr="00FE09C7">
        <w:rPr>
          <w:lang w:val="fr-FR"/>
        </w:rPr>
        <w:t xml:space="preserve"> noté que le texte </w:t>
      </w:r>
      <w:r w:rsidR="00AE2429" w:rsidRPr="00D76D6E">
        <w:rPr>
          <w:lang w:val="fr-FR"/>
        </w:rPr>
        <w:t xml:space="preserve">proposé par le Groupe de travail au paragraphe </w:t>
      </w:r>
      <w:r w:rsidR="008F4682" w:rsidRPr="00D76D6E">
        <w:rPr>
          <w:lang w:val="fr-FR"/>
        </w:rPr>
        <w:t xml:space="preserve">23 </w:t>
      </w:r>
      <w:r w:rsidR="00AE2429" w:rsidRPr="00D76D6E">
        <w:rPr>
          <w:lang w:val="fr-FR"/>
        </w:rPr>
        <w:t xml:space="preserve">de son rapport </w:t>
      </w:r>
      <w:r w:rsidR="008F4682" w:rsidRPr="00D76D6E">
        <w:rPr>
          <w:lang w:val="fr-FR"/>
        </w:rPr>
        <w:t xml:space="preserve">(voir annexe I) </w:t>
      </w:r>
      <w:r w:rsidR="00AE2429" w:rsidRPr="00D76D6E">
        <w:rPr>
          <w:lang w:val="fr-FR"/>
        </w:rPr>
        <w:t>pour le</w:t>
      </w:r>
      <w:r w:rsidR="00AE2429" w:rsidRPr="00FE09C7">
        <w:rPr>
          <w:lang w:val="fr-FR"/>
        </w:rPr>
        <w:t xml:space="preserve"> 1.8.6.2.1 </w:t>
      </w:r>
      <w:r w:rsidR="00916967" w:rsidRPr="00916967">
        <w:rPr>
          <w:lang w:val="fr-FR"/>
        </w:rPr>
        <w:t>nécessitait de plus amples discussions</w:t>
      </w:r>
      <w:r w:rsidR="00AE2429" w:rsidRPr="00FE09C7">
        <w:rPr>
          <w:lang w:val="fr-FR"/>
        </w:rPr>
        <w:t>. La Réunion commune a invité le Groupe de travail à l’examiner à la lumière des observations formulées en séance plénière et à soumettre une proposition révisée. Le Président du Groupe de travail a fait remarquer qu’une version révisée du document informel INF.13 serait bientôt disponible sur les sites Web de la CEE et de l’OTIF</w:t>
      </w:r>
      <w:r w:rsidRPr="00B470C2">
        <w:rPr>
          <w:rStyle w:val="FootnoteReference"/>
          <w:sz w:val="20"/>
        </w:rPr>
        <w:footnoteReference w:id="4"/>
      </w:r>
      <w:r w:rsidR="00AE2429" w:rsidRPr="00FE09C7">
        <w:rPr>
          <w:lang w:val="fr-FR"/>
        </w:rPr>
        <w:t>. Le texte révisé serait analysé par le groupe de travail informel de l’inspection et de la certification des citernes au cours de sa prochaine réunion, à Londres, du 12 au 14</w:t>
      </w:r>
      <w:r w:rsidR="00AE2429">
        <w:rPr>
          <w:lang w:val="fr-FR"/>
        </w:rPr>
        <w:t> </w:t>
      </w:r>
      <w:r w:rsidR="00AE2429" w:rsidRPr="00FE09C7">
        <w:rPr>
          <w:lang w:val="fr-FR"/>
        </w:rPr>
        <w:t>juin 2019. Les délégations ont été invitées à participer à la réunion du groupe de travail informel et à communiquer par écrit au Président du groupe leurs observations sur les propositions révisées. Les résultats des travaux du groupe de travail informel seraient présentés à la Réunion commune à sa session d’automne 2019.</w:t>
      </w:r>
    </w:p>
    <w:p w14:paraId="0B48584B" w14:textId="1A480C15" w:rsidR="00AE2429" w:rsidRPr="00FE09C7" w:rsidRDefault="00BC395F" w:rsidP="00AE2429">
      <w:pPr>
        <w:pStyle w:val="SingleTxtG"/>
      </w:pPr>
      <w:r>
        <w:rPr>
          <w:lang w:val="fr-FR"/>
        </w:rPr>
        <w:lastRenderedPageBreak/>
        <w:t>12</w:t>
      </w:r>
      <w:r w:rsidR="00AE2429" w:rsidRPr="00FE09C7">
        <w:rPr>
          <w:lang w:val="fr-FR"/>
        </w:rPr>
        <w:t>.</w:t>
      </w:r>
      <w:r w:rsidR="00AE2429" w:rsidRPr="00FE09C7">
        <w:rPr>
          <w:lang w:val="fr-FR"/>
        </w:rPr>
        <w:tab/>
        <w:t>S’agissant du point 7 (Item 7), la Réunion commune a noté que le texte entre crochets de la proposition 3 n’était pas présenté pour adoption à ce stade car il était en cours d’élaboration.</w:t>
      </w:r>
    </w:p>
    <w:p w14:paraId="716FF1C9" w14:textId="5904316F" w:rsidR="00AE2429" w:rsidRPr="00FE09C7" w:rsidRDefault="00BC395F" w:rsidP="00AE2429">
      <w:pPr>
        <w:pStyle w:val="SingleTxtG"/>
      </w:pPr>
      <w:r>
        <w:rPr>
          <w:lang w:val="fr-FR"/>
        </w:rPr>
        <w:t>13</w:t>
      </w:r>
      <w:r w:rsidR="00AE2429" w:rsidRPr="00FE09C7">
        <w:rPr>
          <w:lang w:val="fr-FR"/>
        </w:rPr>
        <w:t>.</w:t>
      </w:r>
      <w:r w:rsidR="00AE2429" w:rsidRPr="00FE09C7">
        <w:rPr>
          <w:lang w:val="fr-FR"/>
        </w:rPr>
        <w:tab/>
        <w:t>S’agissant du point 9 (Item 9), le représentant des Pays-Bas a indiqué qu’il collaborerait avec le représentant de la Belgique en vue de trouver une solution.</w:t>
      </w:r>
    </w:p>
    <w:p w14:paraId="6E9BA33A" w14:textId="10E944D2" w:rsidR="00AE2429" w:rsidRDefault="00BC395F" w:rsidP="00AE2429">
      <w:pPr>
        <w:pStyle w:val="SingleTxtG"/>
        <w:rPr>
          <w:lang w:val="fr-FR"/>
        </w:rPr>
      </w:pPr>
      <w:r>
        <w:rPr>
          <w:lang w:val="fr-FR"/>
        </w:rPr>
        <w:t>14</w:t>
      </w:r>
      <w:r w:rsidR="00AE2429" w:rsidRPr="00FE09C7">
        <w:rPr>
          <w:lang w:val="fr-FR"/>
        </w:rPr>
        <w:t>.</w:t>
      </w:r>
      <w:r w:rsidR="00AE2429" w:rsidRPr="00FE09C7">
        <w:rPr>
          <w:lang w:val="fr-FR"/>
        </w:rPr>
        <w:tab/>
        <w:t>S</w:t>
      </w:r>
      <w:r w:rsidR="00AE2429" w:rsidRPr="00857F59">
        <w:rPr>
          <w:spacing w:val="-2"/>
          <w:lang w:val="fr-FR"/>
        </w:rPr>
        <w:t xml:space="preserve">’agissant du point 11 (Item 11), la plupart des délégations qui ont pris la parole ont suivi le Groupe de travail </w:t>
      </w:r>
      <w:r w:rsidR="00916967">
        <w:rPr>
          <w:spacing w:val="-2"/>
          <w:lang w:val="fr-FR"/>
        </w:rPr>
        <w:t xml:space="preserve">des citernes </w:t>
      </w:r>
      <w:r w:rsidR="00AE2429" w:rsidRPr="00857F59">
        <w:rPr>
          <w:spacing w:val="-2"/>
          <w:lang w:val="fr-FR"/>
        </w:rPr>
        <w:t>dans son interprétation des dispositions de construction du 6.9.1.3, à savoir que les citernes en matière plastique renforcée de fibres ne doivent pas être équipées d’éléments chauffants. Le représentant des Pays-Bas a fait observer que cette disposition n’était pas interprétée de la même façon dans son pays. La Réunion commune a invité les délégations à évaluer la nécessité d’une proposition visant à clarifier le texte de ce paragraphe.</w:t>
      </w:r>
      <w:r w:rsidR="00AE2429" w:rsidRPr="00FE09C7">
        <w:rPr>
          <w:lang w:val="fr-FR"/>
        </w:rPr>
        <w:t xml:space="preserve"> </w:t>
      </w:r>
    </w:p>
    <w:p w14:paraId="63D1E7F9" w14:textId="77777777" w:rsidR="00AE2429" w:rsidRPr="00F12E1F" w:rsidRDefault="00AE2429" w:rsidP="00AE2429">
      <w:pPr>
        <w:pStyle w:val="HChG"/>
      </w:pPr>
      <w:r w:rsidRPr="00F12E1F">
        <w:tab/>
        <w:t>IV.</w:t>
      </w:r>
      <w:r w:rsidRPr="00F12E1F">
        <w:tab/>
        <w:t>Normes (point 3 de l</w:t>
      </w:r>
      <w:r>
        <w:t>’</w:t>
      </w:r>
      <w:r w:rsidRPr="00F12E1F">
        <w:t>ordre du jour)</w:t>
      </w:r>
    </w:p>
    <w:p w14:paraId="06BD17B3" w14:textId="77777777" w:rsidR="00AE2429" w:rsidRPr="00F12E1F" w:rsidRDefault="00AE2429" w:rsidP="00AE2429">
      <w:pPr>
        <w:pStyle w:val="SingleTxtG"/>
        <w:keepNext/>
        <w:ind w:left="3119" w:hanging="1985"/>
        <w:jc w:val="left"/>
      </w:pPr>
      <w:r w:rsidRPr="00F12E1F">
        <w:rPr>
          <w:i/>
          <w:iCs/>
        </w:rPr>
        <w:t>Documents</w:t>
      </w:r>
      <w:r>
        <w:rPr>
          <w:i/>
          <w:iCs/>
        </w:rPr>
        <w:t> </w:t>
      </w:r>
      <w:r w:rsidRPr="00F12E1F">
        <w:rPr>
          <w:i/>
          <w:iCs/>
        </w:rPr>
        <w:t>:</w:t>
      </w:r>
      <w:r w:rsidRPr="00F12E1F">
        <w:tab/>
        <w:t>ECE/TRANS/WP.15/AC.1/2019/13 (CEN)</w:t>
      </w:r>
      <w:r>
        <w:br/>
      </w:r>
      <w:r w:rsidRPr="00F12E1F">
        <w:t>ECE/TRANS/WP.15/AC.1/2019/2 (Allemagne)</w:t>
      </w:r>
    </w:p>
    <w:p w14:paraId="1F42D225" w14:textId="22A8D9DF" w:rsidR="00AE2429" w:rsidRPr="00F12E1F" w:rsidRDefault="00AE2429" w:rsidP="00AE2429">
      <w:pPr>
        <w:pStyle w:val="SingleTxtG"/>
        <w:keepNext/>
        <w:ind w:left="3119" w:hanging="1985"/>
        <w:jc w:val="left"/>
      </w:pPr>
      <w:r w:rsidRPr="00F12E1F">
        <w:rPr>
          <w:i/>
          <w:iCs/>
        </w:rPr>
        <w:t>Documents informels</w:t>
      </w:r>
      <w:r>
        <w:rPr>
          <w:i/>
          <w:iCs/>
        </w:rPr>
        <w:t> </w:t>
      </w:r>
      <w:r w:rsidRPr="00F12E1F">
        <w:rPr>
          <w:i/>
          <w:iCs/>
        </w:rPr>
        <w:t>:</w:t>
      </w:r>
      <w:r w:rsidRPr="00F12E1F">
        <w:tab/>
      </w:r>
      <w:r w:rsidRPr="00F12E1F">
        <w:rPr>
          <w:iCs/>
        </w:rPr>
        <w:t>INF.20 (CEN)</w:t>
      </w:r>
      <w:r w:rsidR="00BC395F">
        <w:rPr>
          <w:iCs/>
        </w:rPr>
        <w:br/>
      </w:r>
      <w:r w:rsidR="00BC395F">
        <w:rPr>
          <w:lang w:val="fr-FR"/>
        </w:rPr>
        <w:t>INF.33 (Union européenne)</w:t>
      </w:r>
      <w:r w:rsidR="00BC395F">
        <w:rPr>
          <w:iCs/>
        </w:rPr>
        <w:t xml:space="preserve"> </w:t>
      </w:r>
    </w:p>
    <w:p w14:paraId="61849E0C" w14:textId="72384DA8" w:rsidR="00AE2429" w:rsidRDefault="00BC395F" w:rsidP="00AE2429">
      <w:pPr>
        <w:pStyle w:val="SingleTxtG"/>
      </w:pPr>
      <w:r>
        <w:t>15</w:t>
      </w:r>
      <w:r w:rsidR="00AE2429" w:rsidRPr="00F12E1F">
        <w:t>.</w:t>
      </w:r>
      <w:r w:rsidR="00AE2429" w:rsidRPr="00F12E1F">
        <w:tab/>
        <w:t>L</w:t>
      </w:r>
      <w:r w:rsidR="00AE2429">
        <w:t>’</w:t>
      </w:r>
      <w:r w:rsidR="00AE2429" w:rsidRPr="00F12E1F">
        <w:t>examen de tous les documents au titre du point 3 de l</w:t>
      </w:r>
      <w:r w:rsidR="00AE2429">
        <w:t>’</w:t>
      </w:r>
      <w:r w:rsidR="00AE2429" w:rsidRPr="00F12E1F">
        <w:t>ordre du jour ainsi que du document ECE/TRANS/WP.15/AC.1/2019/2 (point</w:t>
      </w:r>
      <w:r w:rsidR="00AE2429">
        <w:t> </w:t>
      </w:r>
      <w:r w:rsidR="00AE2429" w:rsidRPr="00F12E1F">
        <w:t>5</w:t>
      </w:r>
      <w:r w:rsidR="00AE2429">
        <w:t> </w:t>
      </w:r>
      <w:r w:rsidR="00AE2429" w:rsidRPr="00F12E1F">
        <w:t>b) de l</w:t>
      </w:r>
      <w:r w:rsidR="00AE2429">
        <w:t>’</w:t>
      </w:r>
      <w:r w:rsidR="00AE2429" w:rsidRPr="00F12E1F">
        <w:t>ordre du jour) (voir par</w:t>
      </w:r>
      <w:r w:rsidR="00AE2429">
        <w:t>. </w:t>
      </w:r>
      <w:r w:rsidR="00AE2429" w:rsidRPr="00F12E1F">
        <w:t>6</w:t>
      </w:r>
      <w:r>
        <w:t xml:space="preserve"> du présent rapport</w:t>
      </w:r>
      <w:r w:rsidR="00AE2429" w:rsidRPr="00F12E1F">
        <w:t>) a été confié au Groupe de travail des normes, qui s</w:t>
      </w:r>
      <w:r w:rsidR="00AE2429">
        <w:t>’</w:t>
      </w:r>
      <w:r w:rsidR="00AE2429" w:rsidRPr="00F12E1F">
        <w:t>est réuni pendant les pauses déjeuner.</w:t>
      </w:r>
    </w:p>
    <w:p w14:paraId="77DF318D" w14:textId="77777777" w:rsidR="00AE2429" w:rsidRPr="00662350" w:rsidRDefault="00AE2429" w:rsidP="00797C3E">
      <w:pPr>
        <w:pStyle w:val="H1G"/>
      </w:pPr>
      <w:r>
        <w:tab/>
      </w:r>
      <w:r w:rsidR="00A1736A">
        <w:t>A.</w:t>
      </w:r>
      <w:r>
        <w:tab/>
      </w:r>
      <w:r w:rsidRPr="00C443F0">
        <w:t xml:space="preserve">Rapport du Groupe de travail </w:t>
      </w:r>
      <w:r>
        <w:t>sur l</w:t>
      </w:r>
      <w:r w:rsidRPr="00C443F0">
        <w:t>es normes</w:t>
      </w:r>
    </w:p>
    <w:p w14:paraId="487CD95F" w14:textId="16A783E0" w:rsidR="00AE2429" w:rsidRPr="00662350" w:rsidRDefault="00AE2429" w:rsidP="00AE2429">
      <w:pPr>
        <w:pStyle w:val="SingleTxtG"/>
        <w:ind w:left="3119" w:hanging="1985"/>
        <w:jc w:val="left"/>
      </w:pPr>
      <w:r w:rsidRPr="007F554C">
        <w:rPr>
          <w:i/>
          <w:iCs/>
        </w:rPr>
        <w:t xml:space="preserve">Document informel </w:t>
      </w:r>
      <w:r w:rsidRPr="002250C8">
        <w:rPr>
          <w:iCs/>
        </w:rPr>
        <w:t>:</w:t>
      </w:r>
      <w:r w:rsidRPr="00662350">
        <w:tab/>
        <w:t>INF.35 (R</w:t>
      </w:r>
      <w:r w:rsidRPr="007F554C">
        <w:t>ap</w:t>
      </w:r>
      <w:r w:rsidRPr="00662350">
        <w:t xml:space="preserve">port </w:t>
      </w:r>
      <w:r w:rsidRPr="007F554C">
        <w:t xml:space="preserve">du Groupe de travail </w:t>
      </w:r>
      <w:r>
        <w:t xml:space="preserve">sur les </w:t>
      </w:r>
      <w:r w:rsidRPr="007F554C">
        <w:t>normes</w:t>
      </w:r>
      <w:r w:rsidRPr="00662350">
        <w:t>)</w:t>
      </w:r>
    </w:p>
    <w:p w14:paraId="78ABE1C2" w14:textId="0E30EAC3" w:rsidR="00AE2429" w:rsidRDefault="00BC395F" w:rsidP="00AE2429">
      <w:pPr>
        <w:pStyle w:val="SingleTxtG"/>
      </w:pPr>
      <w:r>
        <w:t>16</w:t>
      </w:r>
      <w:r w:rsidR="00AE2429" w:rsidRPr="00662350">
        <w:t>.</w:t>
      </w:r>
      <w:r w:rsidR="00AE2429" w:rsidRPr="00662350">
        <w:tab/>
      </w:r>
      <w:r w:rsidR="00AE2429" w:rsidRPr="007F554C">
        <w:t xml:space="preserve">La Réunion commune a </w:t>
      </w:r>
      <w:r w:rsidR="00AE2429">
        <w:t xml:space="preserve">pris note des recommandations et conclusions du Groupe de travail contenues dans le document informel </w:t>
      </w:r>
      <w:r w:rsidR="00AE2429" w:rsidRPr="00662350">
        <w:t xml:space="preserve">INF.35 </w:t>
      </w:r>
      <w:r w:rsidR="00AE2429" w:rsidRPr="002063F0">
        <w:t>et a adopté les</w:t>
      </w:r>
      <w:r w:rsidR="00AE2429">
        <w:t xml:space="preserve"> amendements à la section 6.2.5 ainsi qu’aux paragraphes </w:t>
      </w:r>
      <w:r w:rsidR="00AE2429" w:rsidRPr="00662350">
        <w:t xml:space="preserve">6.8.2.7 </w:t>
      </w:r>
      <w:r w:rsidR="00AE2429" w:rsidRPr="002063F0">
        <w:t xml:space="preserve">et </w:t>
      </w:r>
      <w:r w:rsidR="00AE2429" w:rsidRPr="00662350">
        <w:t xml:space="preserve">6.8.3.7 </w:t>
      </w:r>
      <w:r w:rsidR="00AE2429">
        <w:t xml:space="preserve">du </w:t>
      </w:r>
      <w:r w:rsidR="00AE2429" w:rsidRPr="00662350">
        <w:t xml:space="preserve">RID/ADR </w:t>
      </w:r>
      <w:r w:rsidR="00AE2429">
        <w:t xml:space="preserve">contenus dans le </w:t>
      </w:r>
      <w:r w:rsidR="00AE2429" w:rsidRPr="00662350">
        <w:t xml:space="preserve">document ECE/TRANS/WP.15/AC.1/2019/2 </w:t>
      </w:r>
      <w:r w:rsidR="00AE2429">
        <w:t>tel que modifié par l’</w:t>
      </w:r>
      <w:r w:rsidR="00AE2429" w:rsidRPr="00662350">
        <w:t>annex</w:t>
      </w:r>
      <w:r w:rsidR="00AE2429">
        <w:t>e </w:t>
      </w:r>
      <w:r w:rsidR="00AE2429" w:rsidRPr="00662350">
        <w:t xml:space="preserve">I </w:t>
      </w:r>
      <w:r w:rsidR="00AE2429">
        <w:t xml:space="preserve">du document informel </w:t>
      </w:r>
      <w:r w:rsidR="00AE2429" w:rsidRPr="00662350">
        <w:t xml:space="preserve">INF.35, </w:t>
      </w:r>
      <w:r w:rsidR="00AE2429">
        <w:t xml:space="preserve">avec une </w:t>
      </w:r>
      <w:r w:rsidR="00AE2429" w:rsidRPr="00662350">
        <w:t xml:space="preserve">modification </w:t>
      </w:r>
      <w:r w:rsidR="00AE2429">
        <w:t xml:space="preserve">supplémentaire </w:t>
      </w:r>
      <w:r w:rsidR="00AE2429" w:rsidRPr="00662350">
        <w:t>(</w:t>
      </w:r>
      <w:r w:rsidR="00AE2429">
        <w:t xml:space="preserve">voir </w:t>
      </w:r>
      <w:r w:rsidR="00AE2429" w:rsidRPr="00662350">
        <w:t>annex</w:t>
      </w:r>
      <w:r w:rsidR="00AE2429">
        <w:t>e</w:t>
      </w:r>
      <w:r>
        <w:t xml:space="preserve"> II</w:t>
      </w:r>
      <w:r w:rsidR="00AE2429" w:rsidRPr="00662350">
        <w:t>).</w:t>
      </w:r>
    </w:p>
    <w:p w14:paraId="0E72CA39" w14:textId="177EB311" w:rsidR="00AE2429" w:rsidRDefault="00AE2429" w:rsidP="00797C3E">
      <w:pPr>
        <w:pStyle w:val="SingleTxtG"/>
      </w:pPr>
      <w:r w:rsidRPr="00797C3E">
        <w:tab/>
      </w:r>
      <w:r w:rsidR="00BC395F" w:rsidRPr="00797C3E">
        <w:t>17</w:t>
      </w:r>
      <w:r w:rsidRPr="00797C3E">
        <w:t>.</w:t>
      </w:r>
      <w:r w:rsidRPr="00797C3E">
        <w:tab/>
        <w:t xml:space="preserve">La Réunion commune a </w:t>
      </w:r>
      <w:r w:rsidR="008F4682" w:rsidRPr="00797C3E">
        <w:t xml:space="preserve">été informé </w:t>
      </w:r>
      <w:r w:rsidRPr="00797C3E">
        <w:t>que le mandat confié par la Commission européenne au CEN en 1995 pour l’élaboration de normes (M/086), distribué dans le document informel INF.33 au cours de la session, serait annulé en raison d’un changement de politique au niveau de l’Union européenne.</w:t>
      </w:r>
    </w:p>
    <w:p w14:paraId="64C4AD98" w14:textId="443744D6" w:rsidR="00AE2429" w:rsidRDefault="00BC395F" w:rsidP="00AE2429">
      <w:pPr>
        <w:pStyle w:val="SingleTxtG"/>
      </w:pPr>
      <w:r>
        <w:rPr>
          <w:lang w:val="fr-FR"/>
        </w:rPr>
        <w:t>18</w:t>
      </w:r>
      <w:r w:rsidR="00AE2429">
        <w:rPr>
          <w:lang w:val="fr-FR"/>
        </w:rPr>
        <w:t>.</w:t>
      </w:r>
      <w:r w:rsidR="00AE2429">
        <w:rPr>
          <w:lang w:val="fr-FR"/>
        </w:rPr>
        <w:tab/>
        <w:t>La Réunion commune a pris note avec satisfaction de la proposition de certaines organisations non gouvernementales (ONG) participant activement aux travaux du Groupe de travail des normes, mentionnée au paragraphe 7.4 du document informel INF.35, et a noté que :</w:t>
      </w:r>
    </w:p>
    <w:p w14:paraId="68448598" w14:textId="17589ED6" w:rsidR="00AE2429" w:rsidRDefault="00AE2429" w:rsidP="00AE2429">
      <w:pPr>
        <w:pStyle w:val="SingleTxtG"/>
        <w:ind w:firstLine="567"/>
      </w:pPr>
      <w:r>
        <w:rPr>
          <w:lang w:val="fr-FR"/>
        </w:rPr>
        <w:t>a)</w:t>
      </w:r>
      <w:r>
        <w:rPr>
          <w:lang w:val="fr-FR"/>
        </w:rPr>
        <w:tab/>
        <w:t>Les ONG examinaient la possibilité d’engager un conseiller indépendant en matière de normes afin de remplacer l’ancien consultant CEN, conformément aux dispositions de l’annexe II du document informel INF.35 ;</w:t>
      </w:r>
    </w:p>
    <w:p w14:paraId="27C60F35" w14:textId="77777777" w:rsidR="00AE2429" w:rsidRDefault="00AE2429" w:rsidP="00AE2429">
      <w:pPr>
        <w:pStyle w:val="SingleTxtG"/>
        <w:ind w:firstLine="567"/>
      </w:pPr>
      <w:r>
        <w:rPr>
          <w:lang w:val="fr-FR"/>
        </w:rPr>
        <w:t>b)</w:t>
      </w:r>
      <w:r>
        <w:rPr>
          <w:lang w:val="fr-FR"/>
        </w:rPr>
        <w:tab/>
        <w:t>Le CEN et le Royaume-Uni continueraient d’appuyer les travaux du Groupe de travail des normes.</w:t>
      </w:r>
    </w:p>
    <w:p w14:paraId="744228CF" w14:textId="3DD22A18" w:rsidR="00AE2429" w:rsidRDefault="00BC395F" w:rsidP="00AE2429">
      <w:pPr>
        <w:pStyle w:val="SingleTxtG"/>
      </w:pPr>
      <w:r>
        <w:rPr>
          <w:lang w:val="fr-FR"/>
        </w:rPr>
        <w:t>19</w:t>
      </w:r>
      <w:r w:rsidR="00AE2429">
        <w:rPr>
          <w:lang w:val="fr-FR"/>
        </w:rPr>
        <w:t>.</w:t>
      </w:r>
      <w:r w:rsidR="00AE2429">
        <w:rPr>
          <w:lang w:val="fr-FR"/>
        </w:rPr>
        <w:tab/>
        <w:t>Il a été reconnu que cette proposition présentait deux avantages :</w:t>
      </w:r>
    </w:p>
    <w:p w14:paraId="2924951F" w14:textId="77777777" w:rsidR="00AE2429" w:rsidRDefault="00AE2429" w:rsidP="00AE2429">
      <w:pPr>
        <w:pStyle w:val="SingleTxtG"/>
        <w:ind w:firstLine="567"/>
      </w:pPr>
      <w:r>
        <w:rPr>
          <w:lang w:val="fr-FR"/>
        </w:rPr>
        <w:t>a)</w:t>
      </w:r>
      <w:r>
        <w:rPr>
          <w:lang w:val="fr-FR"/>
        </w:rPr>
        <w:tab/>
        <w:t>Surmonter les difficultés liées au consultant des normes harmonisées (consultant HAS), mises en évidence par la Réunion commune à sa session d’automne 2018 (voir le document ECE/TRANS/WP.15/AC.1/152, par. 7 à 14) ;</w:t>
      </w:r>
    </w:p>
    <w:p w14:paraId="7B798CEA" w14:textId="77777777" w:rsidR="00AE2429" w:rsidRDefault="00AE2429" w:rsidP="00AE2429">
      <w:pPr>
        <w:pStyle w:val="SingleTxtG"/>
        <w:ind w:firstLine="567"/>
      </w:pPr>
      <w:r>
        <w:rPr>
          <w:lang w:val="fr-FR"/>
        </w:rPr>
        <w:t>b)</w:t>
      </w:r>
      <w:r>
        <w:rPr>
          <w:lang w:val="fr-FR"/>
        </w:rPr>
        <w:tab/>
        <w:t xml:space="preserve">Maintenir la transparence et l’impartialité du processus, sachant que le conseiller indépendant soumettrait ses recommandations dans un rapport qui serait examiné </w:t>
      </w:r>
      <w:r>
        <w:rPr>
          <w:lang w:val="fr-FR"/>
        </w:rPr>
        <w:lastRenderedPageBreak/>
        <w:t>par le Groupe de travail des normes, lequel transmettrait ses conclusions à la Réunion commune pour examen et décision finale.</w:t>
      </w:r>
    </w:p>
    <w:p w14:paraId="011FF83B" w14:textId="6A689F7B" w:rsidR="00AE2429" w:rsidRDefault="00BC395F" w:rsidP="00AE2429">
      <w:pPr>
        <w:pStyle w:val="SingleTxtG"/>
      </w:pPr>
      <w:r>
        <w:rPr>
          <w:lang w:val="fr-FR"/>
        </w:rPr>
        <w:t>20</w:t>
      </w:r>
      <w:r w:rsidR="00AE2429">
        <w:rPr>
          <w:lang w:val="fr-FR"/>
        </w:rPr>
        <w:t>.</w:t>
      </w:r>
      <w:r w:rsidR="00AE2429">
        <w:rPr>
          <w:lang w:val="fr-FR"/>
        </w:rPr>
        <w:tab/>
        <w:t>La Réunion commune s’est félicitée de cette initiative et a invité les ONG à prendre les mesures requises pour la mettre en œuvre, étant entendu que le conseiller indépendant pour les normes travaillerait conformément au mandat que la Réunion commune avait confié à l’ancien consultant CEN, tel qu’il est énoncé dans le document ECE/TRANS/WP.15/AC.1/122/Add.2. Les délégations ont été invitées à examiner ce document afin de déterminer s’il devait être mis à jour de façon à mieux rendre compte des dispositions proposées par les ONG. La Réunion commune a encouragé les délégations gouvernementales à participer activement aux travaux du Groupe de travail.</w:t>
      </w:r>
    </w:p>
    <w:p w14:paraId="42828F6E" w14:textId="07E080E3" w:rsidR="00AE2429" w:rsidRDefault="00BC395F" w:rsidP="00AE2429">
      <w:pPr>
        <w:pStyle w:val="SingleTxtG"/>
      </w:pPr>
      <w:r>
        <w:rPr>
          <w:lang w:val="fr-FR"/>
        </w:rPr>
        <w:t>21</w:t>
      </w:r>
      <w:r w:rsidR="00AE2429">
        <w:rPr>
          <w:lang w:val="fr-FR"/>
        </w:rPr>
        <w:t>.</w:t>
      </w:r>
      <w:r w:rsidR="00AE2429">
        <w:rPr>
          <w:lang w:val="fr-FR"/>
        </w:rPr>
        <w:tab/>
      </w:r>
      <w:r>
        <w:rPr>
          <w:lang w:val="fr-FR"/>
        </w:rPr>
        <w:t>L</w:t>
      </w:r>
      <w:r w:rsidR="00AE2429">
        <w:rPr>
          <w:lang w:val="fr-FR"/>
        </w:rPr>
        <w:t xml:space="preserve">a Réunion commune </w:t>
      </w:r>
      <w:r>
        <w:rPr>
          <w:lang w:val="fr-FR"/>
        </w:rPr>
        <w:t xml:space="preserve">sera informé </w:t>
      </w:r>
      <w:r w:rsidR="00AE2429">
        <w:rPr>
          <w:lang w:val="fr-FR"/>
        </w:rPr>
        <w:t>de l’état d’avancement de la mise en œuvre de la proposition des ONG à la session d’automne 2019.</w:t>
      </w:r>
    </w:p>
    <w:p w14:paraId="19FFFAB6" w14:textId="4AEDB3E3" w:rsidR="00AE2429" w:rsidRPr="00F77E13" w:rsidRDefault="00AE2429" w:rsidP="00144D89">
      <w:pPr>
        <w:pStyle w:val="H1G"/>
      </w:pPr>
      <w:r w:rsidRPr="00F77E13">
        <w:rPr>
          <w:lang w:val="fr-FR"/>
        </w:rPr>
        <w:tab/>
      </w:r>
      <w:r w:rsidR="00A1736A">
        <w:rPr>
          <w:lang w:val="fr-FR"/>
        </w:rPr>
        <w:t>B</w:t>
      </w:r>
      <w:r w:rsidRPr="00F77E13">
        <w:rPr>
          <w:lang w:val="fr-FR"/>
        </w:rPr>
        <w:t>.</w:t>
      </w:r>
      <w:r w:rsidRPr="00F77E13">
        <w:rPr>
          <w:lang w:val="fr-FR"/>
        </w:rPr>
        <w:tab/>
        <w:t>Référence à la norme EN</w:t>
      </w:r>
      <w:r>
        <w:rPr>
          <w:lang w:val="fr-FR"/>
        </w:rPr>
        <w:t> </w:t>
      </w:r>
      <w:r w:rsidRPr="00F77E13">
        <w:rPr>
          <w:lang w:val="fr-FR"/>
        </w:rPr>
        <w:t>ISO/CEI</w:t>
      </w:r>
      <w:r>
        <w:rPr>
          <w:lang w:val="fr-FR"/>
        </w:rPr>
        <w:t> </w:t>
      </w:r>
      <w:r w:rsidRPr="00F77E13">
        <w:rPr>
          <w:lang w:val="fr-FR"/>
        </w:rPr>
        <w:t>17025</w:t>
      </w:r>
    </w:p>
    <w:p w14:paraId="0C41C9A6" w14:textId="1C1AF5B7" w:rsidR="00AE2429" w:rsidRPr="00F77E13" w:rsidRDefault="00AE2429" w:rsidP="00AE2429">
      <w:pPr>
        <w:pStyle w:val="SingleTxtG"/>
        <w:tabs>
          <w:tab w:val="left" w:pos="3119"/>
        </w:tabs>
        <w:jc w:val="left"/>
      </w:pPr>
      <w:r w:rsidRPr="00F77E13">
        <w:rPr>
          <w:i/>
          <w:iCs/>
          <w:lang w:val="fr-FR"/>
        </w:rPr>
        <w:t>Document informel</w:t>
      </w:r>
      <w:r>
        <w:rPr>
          <w:i/>
          <w:iCs/>
          <w:lang w:val="fr-FR"/>
        </w:rPr>
        <w:t> </w:t>
      </w:r>
      <w:r>
        <w:t>:</w:t>
      </w:r>
      <w:r w:rsidRPr="00F77E13">
        <w:rPr>
          <w:lang w:val="fr-FR"/>
        </w:rPr>
        <w:t xml:space="preserve"> </w:t>
      </w:r>
      <w:r w:rsidRPr="00F77E13">
        <w:rPr>
          <w:lang w:val="fr-FR"/>
        </w:rPr>
        <w:tab/>
        <w:t>INF.6 (Finlande)</w:t>
      </w:r>
    </w:p>
    <w:p w14:paraId="52E19B41" w14:textId="515136AF" w:rsidR="00AE2429" w:rsidRPr="00F77E13" w:rsidRDefault="00BC395F" w:rsidP="00AE2429">
      <w:pPr>
        <w:pStyle w:val="SingleTxtG"/>
      </w:pPr>
      <w:r>
        <w:rPr>
          <w:lang w:val="fr-FR"/>
        </w:rPr>
        <w:t>22</w:t>
      </w:r>
      <w:r w:rsidR="00AE2429" w:rsidRPr="00F77E13">
        <w:rPr>
          <w:lang w:val="fr-FR"/>
        </w:rPr>
        <w:t>.</w:t>
      </w:r>
      <w:r w:rsidR="00AE2429" w:rsidRPr="00F77E13">
        <w:rPr>
          <w:lang w:val="fr-FR"/>
        </w:rPr>
        <w:tab/>
        <w:t>Ayant noté que les organismes d’accréditation se référaient toujours à la version la plus récente des normes, la Réunion commune a décidé par principe que la référence à la norme EN</w:t>
      </w:r>
      <w:r w:rsidR="00AE2429">
        <w:rPr>
          <w:lang w:val="fr-FR"/>
        </w:rPr>
        <w:t> </w:t>
      </w:r>
      <w:r w:rsidR="00AE2429" w:rsidRPr="00F77E13">
        <w:rPr>
          <w:lang w:val="fr-FR"/>
        </w:rPr>
        <w:t>ISO/CEI</w:t>
      </w:r>
      <w:r w:rsidR="00AE2429">
        <w:rPr>
          <w:lang w:val="fr-FR"/>
        </w:rPr>
        <w:t> </w:t>
      </w:r>
      <w:proofErr w:type="gramStart"/>
      <w:r w:rsidR="00AE2429" w:rsidRPr="00F77E13">
        <w:rPr>
          <w:lang w:val="fr-FR"/>
        </w:rPr>
        <w:t>17025:</w:t>
      </w:r>
      <w:proofErr w:type="gramEnd"/>
      <w:r w:rsidR="00AE2429" w:rsidRPr="00F77E13">
        <w:rPr>
          <w:lang w:val="fr-FR"/>
        </w:rPr>
        <w:t>2005 devait être actualisée. Certaines délégations ont fait observer qu’il était peut-être nécessaire de mettre à jour également la référence à la norme EN ISO/CEI 17020.</w:t>
      </w:r>
    </w:p>
    <w:p w14:paraId="340DDE10" w14:textId="17AE7693" w:rsidR="00AE2429" w:rsidRPr="00F77E13" w:rsidRDefault="00BC395F" w:rsidP="00AE2429">
      <w:pPr>
        <w:pStyle w:val="SingleTxtG"/>
      </w:pPr>
      <w:r>
        <w:rPr>
          <w:lang w:val="fr-FR"/>
        </w:rPr>
        <w:t>23</w:t>
      </w:r>
      <w:r w:rsidR="00AE2429" w:rsidRPr="00F77E13">
        <w:rPr>
          <w:lang w:val="fr-FR"/>
        </w:rPr>
        <w:t>.</w:t>
      </w:r>
      <w:r w:rsidR="00AE2429" w:rsidRPr="00F77E13">
        <w:rPr>
          <w:lang w:val="fr-FR"/>
        </w:rPr>
        <w:tab/>
        <w:t>Nonobstant le fait que la version 2017 de la norme EN ISO/CEI</w:t>
      </w:r>
      <w:r w:rsidR="00AE2429">
        <w:rPr>
          <w:lang w:val="fr-FR"/>
        </w:rPr>
        <w:t> </w:t>
      </w:r>
      <w:r w:rsidR="00AE2429" w:rsidRPr="00F77E13">
        <w:rPr>
          <w:lang w:val="fr-FR"/>
        </w:rPr>
        <w:t>17025 pouvait déjà être utilisée, il a été noté que la version 2005 n’expirerait pas avant octobre 2020 et que, par conséquent, la version</w:t>
      </w:r>
      <w:r w:rsidR="00AE2429">
        <w:rPr>
          <w:lang w:val="fr-FR"/>
        </w:rPr>
        <w:t> </w:t>
      </w:r>
      <w:r w:rsidR="00AE2429" w:rsidRPr="00F77E13">
        <w:rPr>
          <w:lang w:val="fr-FR"/>
        </w:rPr>
        <w:t>2017 ne deviendrait obligatoire aux fins</w:t>
      </w:r>
      <w:r w:rsidR="00797C3E">
        <w:rPr>
          <w:lang w:val="fr-FR"/>
        </w:rPr>
        <w:t xml:space="preserve"> </w:t>
      </w:r>
      <w:r w:rsidR="00EE5684">
        <w:rPr>
          <w:lang w:val="fr-FR"/>
        </w:rPr>
        <w:t>du RID/</w:t>
      </w:r>
      <w:r w:rsidR="00AE2429" w:rsidRPr="00F77E13">
        <w:rPr>
          <w:lang w:val="fr-FR"/>
        </w:rPr>
        <w:t>ADR qu’après cette</w:t>
      </w:r>
      <w:r w:rsidR="00AE2429">
        <w:rPr>
          <w:lang w:val="fr-FR"/>
        </w:rPr>
        <w:t> </w:t>
      </w:r>
      <w:r w:rsidR="00AE2429" w:rsidRPr="00F77E13">
        <w:rPr>
          <w:lang w:val="fr-FR"/>
        </w:rPr>
        <w:t xml:space="preserve">date. </w:t>
      </w:r>
    </w:p>
    <w:p w14:paraId="130CD04D" w14:textId="30E42330" w:rsidR="00AE2429" w:rsidRPr="00F77E13" w:rsidRDefault="00BC395F" w:rsidP="00AE2429">
      <w:pPr>
        <w:pStyle w:val="SingleTxtG"/>
      </w:pPr>
      <w:r>
        <w:rPr>
          <w:lang w:val="fr-FR"/>
        </w:rPr>
        <w:t>24</w:t>
      </w:r>
      <w:r w:rsidR="00AE2429" w:rsidRPr="00F77E13">
        <w:rPr>
          <w:lang w:val="fr-FR"/>
        </w:rPr>
        <w:t>.</w:t>
      </w:r>
      <w:r w:rsidR="00AE2429" w:rsidRPr="00F77E13">
        <w:rPr>
          <w:lang w:val="fr-FR"/>
        </w:rPr>
        <w:tab/>
        <w:t xml:space="preserve">À titre de solution envisageable pour remédier à la nécessité de mettre à jour régulièrement les références données, il a été suggéré de les remplacer par des </w:t>
      </w:r>
      <w:r w:rsidR="00AE2429">
        <w:rPr>
          <w:lang w:val="fr-FR"/>
        </w:rPr>
        <w:t>« </w:t>
      </w:r>
      <w:r w:rsidR="00AE2429" w:rsidRPr="00F77E13">
        <w:rPr>
          <w:lang w:val="fr-FR"/>
        </w:rPr>
        <w:t>références dynamiques</w:t>
      </w:r>
      <w:r w:rsidR="00AE2429">
        <w:rPr>
          <w:lang w:val="fr-FR"/>
        </w:rPr>
        <w:t> »</w:t>
      </w:r>
      <w:r w:rsidR="00AE2429" w:rsidRPr="00F77E13">
        <w:rPr>
          <w:lang w:val="fr-FR"/>
        </w:rPr>
        <w:t xml:space="preserve"> (c’est-à-dire, par exemple, en mentionnant </w:t>
      </w:r>
      <w:r w:rsidR="00AE2429">
        <w:rPr>
          <w:lang w:val="fr-FR"/>
        </w:rPr>
        <w:t>« </w:t>
      </w:r>
      <w:r w:rsidR="00AE2429" w:rsidRPr="00F77E13">
        <w:rPr>
          <w:lang w:val="fr-FR"/>
        </w:rPr>
        <w:t>la dernière version applicable</w:t>
      </w:r>
      <w:r w:rsidR="00AE2429">
        <w:rPr>
          <w:lang w:val="fr-FR"/>
        </w:rPr>
        <w:t> »</w:t>
      </w:r>
      <w:r w:rsidR="00AE2429" w:rsidRPr="00F77E13">
        <w:rPr>
          <w:lang w:val="fr-FR"/>
        </w:rPr>
        <w:t xml:space="preserve"> au lieu d’une année), étant entendu que les versions antérieures pourraient toujours être utilisées jusqu’à la date de leur expiration. </w:t>
      </w:r>
    </w:p>
    <w:p w14:paraId="6D9FCE32" w14:textId="3B26C2BA" w:rsidR="00AE2429" w:rsidRPr="00F77E13" w:rsidRDefault="00BC395F" w:rsidP="00797C3E">
      <w:pPr>
        <w:pStyle w:val="SingleTxtG"/>
      </w:pPr>
      <w:r>
        <w:rPr>
          <w:lang w:val="fr-FR"/>
        </w:rPr>
        <w:t>25</w:t>
      </w:r>
      <w:r w:rsidR="00AE2429" w:rsidRPr="00F77E13">
        <w:rPr>
          <w:lang w:val="fr-FR"/>
        </w:rPr>
        <w:t>.</w:t>
      </w:r>
      <w:r w:rsidR="00AE2429" w:rsidRPr="00F77E13">
        <w:rPr>
          <w:lang w:val="fr-FR"/>
        </w:rPr>
        <w:tab/>
        <w:t xml:space="preserve">À l’issue d’un échange de vues, la Réunion commune a invité l’expert de la Finlande à soumettre à la session suivante une proposition tenant compte des observations qui avaient été faites. </w:t>
      </w:r>
    </w:p>
    <w:p w14:paraId="26B64528" w14:textId="77777777" w:rsidR="00AE2429" w:rsidRPr="00F77E13" w:rsidRDefault="00AE2429" w:rsidP="00AE2429">
      <w:pPr>
        <w:pStyle w:val="HChG"/>
      </w:pPr>
      <w:r w:rsidRPr="00F77E13">
        <w:rPr>
          <w:lang w:val="fr-FR"/>
        </w:rPr>
        <w:tab/>
        <w:t>V.</w:t>
      </w:r>
      <w:r w:rsidRPr="00F77E13">
        <w:rPr>
          <w:lang w:val="fr-FR"/>
        </w:rPr>
        <w:tab/>
        <w:t>Interprétation du RID/ADR/ADN (point 4 de l’ordre du jour)</w:t>
      </w:r>
    </w:p>
    <w:p w14:paraId="3987E613" w14:textId="59092EB0" w:rsidR="00AE2429" w:rsidRPr="00F77E13" w:rsidRDefault="00AE2429" w:rsidP="00797C3E">
      <w:pPr>
        <w:pStyle w:val="H1G"/>
      </w:pPr>
      <w:r w:rsidRPr="00F77E13">
        <w:rPr>
          <w:lang w:val="fr-FR"/>
        </w:rPr>
        <w:tab/>
      </w:r>
      <w:r w:rsidR="00BC395F">
        <w:rPr>
          <w:lang w:val="fr-FR"/>
        </w:rPr>
        <w:t>A</w:t>
      </w:r>
      <w:r w:rsidRPr="00F77E13">
        <w:rPr>
          <w:lang w:val="fr-FR"/>
        </w:rPr>
        <w:t>.</w:t>
      </w:r>
      <w:r w:rsidRPr="00F77E13">
        <w:rPr>
          <w:lang w:val="fr-FR"/>
        </w:rPr>
        <w:tab/>
        <w:t>Retrait du certificat de formation de conseiller à la sécurité pour le transport de</w:t>
      </w:r>
      <w:r>
        <w:rPr>
          <w:lang w:val="fr-FR"/>
        </w:rPr>
        <w:t> </w:t>
      </w:r>
      <w:r w:rsidRPr="00F77E13">
        <w:rPr>
          <w:lang w:val="fr-FR"/>
        </w:rPr>
        <w:t xml:space="preserve">marchandises dangereuses </w:t>
      </w:r>
    </w:p>
    <w:p w14:paraId="2D9238E0" w14:textId="5050FCF7" w:rsidR="00AE2429" w:rsidRPr="00F77E13" w:rsidRDefault="00AE2429" w:rsidP="00AE2429">
      <w:pPr>
        <w:pStyle w:val="SingleTxtG"/>
        <w:tabs>
          <w:tab w:val="left" w:pos="3119"/>
        </w:tabs>
      </w:pPr>
      <w:r w:rsidRPr="00F77E13">
        <w:rPr>
          <w:i/>
          <w:iCs/>
          <w:lang w:val="fr-FR"/>
        </w:rPr>
        <w:t>Document informel</w:t>
      </w:r>
      <w:r>
        <w:rPr>
          <w:i/>
          <w:iCs/>
          <w:lang w:val="fr-FR"/>
        </w:rPr>
        <w:t> </w:t>
      </w:r>
      <w:r>
        <w:t>:</w:t>
      </w:r>
      <w:r w:rsidRPr="00F77E13">
        <w:rPr>
          <w:lang w:val="fr-FR"/>
        </w:rPr>
        <w:t xml:space="preserve"> </w:t>
      </w:r>
      <w:r w:rsidRPr="00F77E13">
        <w:rPr>
          <w:lang w:val="fr-FR"/>
        </w:rPr>
        <w:tab/>
        <w:t>INF.26 (Pologne)</w:t>
      </w:r>
    </w:p>
    <w:p w14:paraId="5D9CB846" w14:textId="4E056034" w:rsidR="00AE2429" w:rsidRPr="00F77E13" w:rsidRDefault="00BC395F" w:rsidP="00AE2429">
      <w:pPr>
        <w:pStyle w:val="SingleTxtG"/>
      </w:pPr>
      <w:r>
        <w:rPr>
          <w:lang w:val="fr-FR"/>
        </w:rPr>
        <w:t>26</w:t>
      </w:r>
      <w:r w:rsidR="00AE2429" w:rsidRPr="00F77E13">
        <w:rPr>
          <w:lang w:val="fr-FR"/>
        </w:rPr>
        <w:t>.</w:t>
      </w:r>
      <w:r w:rsidR="00AE2429" w:rsidRPr="00F77E13">
        <w:rPr>
          <w:lang w:val="fr-FR"/>
        </w:rPr>
        <w:tab/>
        <w:t>Le représentant de la Pologne a retiré le document visé et expliqué qu’il envisagerait de soumettre une proposition révisée ultérieurement.</w:t>
      </w:r>
    </w:p>
    <w:p w14:paraId="60563988" w14:textId="3F4887E1" w:rsidR="00AE2429" w:rsidRPr="00F77E13" w:rsidRDefault="00AE2429" w:rsidP="00797C3E">
      <w:pPr>
        <w:pStyle w:val="H1G"/>
      </w:pPr>
      <w:r w:rsidRPr="00F77E13">
        <w:rPr>
          <w:lang w:val="fr-FR"/>
        </w:rPr>
        <w:tab/>
      </w:r>
      <w:r w:rsidR="00BC395F">
        <w:rPr>
          <w:lang w:val="fr-FR"/>
        </w:rPr>
        <w:t>B</w:t>
      </w:r>
      <w:r w:rsidRPr="00F77E13">
        <w:rPr>
          <w:lang w:val="fr-FR"/>
        </w:rPr>
        <w:t>.</w:t>
      </w:r>
      <w:r w:rsidRPr="00F77E13">
        <w:rPr>
          <w:lang w:val="fr-FR"/>
        </w:rPr>
        <w:tab/>
        <w:t>Délégation de tâches de contrôle à des entités accréditées conformément au 1.8.6.4.1</w:t>
      </w:r>
    </w:p>
    <w:p w14:paraId="66EA0A05" w14:textId="5C91862C" w:rsidR="00AE2429" w:rsidRPr="00F77E13" w:rsidRDefault="00AE2429" w:rsidP="00AE2429">
      <w:pPr>
        <w:pStyle w:val="SingleTxtG"/>
        <w:tabs>
          <w:tab w:val="left" w:pos="3119"/>
        </w:tabs>
      </w:pPr>
      <w:r w:rsidRPr="00F77E13">
        <w:rPr>
          <w:i/>
          <w:iCs/>
          <w:lang w:val="fr-FR"/>
        </w:rPr>
        <w:t>Document</w:t>
      </w:r>
      <w:r>
        <w:rPr>
          <w:i/>
          <w:iCs/>
          <w:lang w:val="fr-FR"/>
        </w:rPr>
        <w:t> </w:t>
      </w:r>
      <w:r>
        <w:t>:</w:t>
      </w:r>
      <w:r w:rsidRPr="00F77E13">
        <w:rPr>
          <w:lang w:val="fr-FR"/>
        </w:rPr>
        <w:t xml:space="preserve"> </w:t>
      </w:r>
      <w:r w:rsidRPr="00F77E13">
        <w:rPr>
          <w:lang w:val="fr-FR"/>
        </w:rPr>
        <w:tab/>
        <w:t>ECE/TRANS/WP.15/AC.1/2019/4 (Allemagne)</w:t>
      </w:r>
    </w:p>
    <w:p w14:paraId="3B8F4612" w14:textId="55D5321B" w:rsidR="00AE2429" w:rsidRPr="00F77E13" w:rsidRDefault="00AE2429" w:rsidP="00AE2429">
      <w:pPr>
        <w:pStyle w:val="SingleTxtG"/>
        <w:tabs>
          <w:tab w:val="left" w:pos="3119"/>
        </w:tabs>
        <w:jc w:val="left"/>
      </w:pPr>
      <w:r w:rsidRPr="00F77E13">
        <w:rPr>
          <w:i/>
          <w:iCs/>
          <w:lang w:val="fr-FR"/>
        </w:rPr>
        <w:t>Documents informels</w:t>
      </w:r>
      <w:r>
        <w:rPr>
          <w:i/>
          <w:iCs/>
          <w:lang w:val="fr-FR"/>
        </w:rPr>
        <w:t> </w:t>
      </w:r>
      <w:r>
        <w:t>:</w:t>
      </w:r>
      <w:r w:rsidRPr="00F77E13">
        <w:rPr>
          <w:lang w:val="fr-FR"/>
        </w:rPr>
        <w:t xml:space="preserve"> </w:t>
      </w:r>
      <w:r w:rsidRPr="00F77E13">
        <w:rPr>
          <w:lang w:val="fr-FR"/>
        </w:rPr>
        <w:tab/>
        <w:t>INF.17 (Pays-Bas)</w:t>
      </w:r>
      <w:r>
        <w:rPr>
          <w:lang w:val="fr-FR"/>
        </w:rPr>
        <w:br/>
      </w:r>
      <w:r w:rsidRPr="00F77E13">
        <w:rPr>
          <w:lang w:val="fr-FR"/>
        </w:rPr>
        <w:tab/>
        <w:t>INF.28 (France)</w:t>
      </w:r>
    </w:p>
    <w:p w14:paraId="027FFBBB" w14:textId="6EF013C4" w:rsidR="00AE2429" w:rsidRPr="00F77E13" w:rsidRDefault="00A1736A" w:rsidP="00AE2429">
      <w:pPr>
        <w:pStyle w:val="SingleTxtG"/>
        <w:keepNext/>
        <w:keepLines/>
      </w:pPr>
      <w:r>
        <w:rPr>
          <w:lang w:val="fr-FR"/>
        </w:rPr>
        <w:lastRenderedPageBreak/>
        <w:t>27</w:t>
      </w:r>
      <w:r w:rsidR="00AE2429" w:rsidRPr="00F77E13">
        <w:rPr>
          <w:lang w:val="fr-FR"/>
        </w:rPr>
        <w:t>.</w:t>
      </w:r>
      <w:r w:rsidR="00AE2429" w:rsidRPr="00F77E13">
        <w:rPr>
          <w:lang w:val="fr-FR"/>
        </w:rPr>
        <w:tab/>
        <w:t>La Réunion commune a approuvé l’interprétation faite par la France dans le document informel INF.28, à savoir</w:t>
      </w:r>
      <w:r w:rsidR="00AE2429">
        <w:rPr>
          <w:lang w:val="fr-FR"/>
        </w:rPr>
        <w:t> :</w:t>
      </w:r>
    </w:p>
    <w:p w14:paraId="02E8EA96" w14:textId="77777777" w:rsidR="00AE2429" w:rsidRPr="00F77E13" w:rsidRDefault="00AE2429" w:rsidP="00AE2429">
      <w:pPr>
        <w:pStyle w:val="SingleTxtG"/>
        <w:ind w:firstLine="567"/>
      </w:pPr>
      <w:r w:rsidRPr="00F77E13">
        <w:rPr>
          <w:lang w:val="fr-FR"/>
        </w:rPr>
        <w:t>a)</w:t>
      </w:r>
      <w:r w:rsidRPr="00F77E13">
        <w:rPr>
          <w:lang w:val="fr-FR"/>
        </w:rPr>
        <w:tab/>
        <w:t>Conformément au 1.8.6.4.1, un organisme de contrôle peut faire appel à des entités extérieures (des sous-traitants) pour exécuter certaines des tâches relevant de sa responsabilité</w:t>
      </w:r>
      <w:r>
        <w:rPr>
          <w:lang w:val="fr-FR"/>
        </w:rPr>
        <w:t> ;</w:t>
      </w:r>
    </w:p>
    <w:p w14:paraId="3C7C3212" w14:textId="04573C95" w:rsidR="00AE2429" w:rsidRPr="00F77E13" w:rsidRDefault="00AE2429" w:rsidP="00AE2429">
      <w:pPr>
        <w:pStyle w:val="SingleTxtG"/>
        <w:ind w:firstLine="567"/>
      </w:pPr>
      <w:r w:rsidRPr="00F77E13">
        <w:rPr>
          <w:lang w:val="fr-FR"/>
        </w:rPr>
        <w:t>b)</w:t>
      </w:r>
      <w:r w:rsidRPr="00F77E13">
        <w:rPr>
          <w:lang w:val="fr-FR"/>
        </w:rPr>
        <w:tab/>
        <w:t>Si le sous-traitant a déjà été accrédité par un organisme d’accréditation indépendant, l’organisme de contrôle n’est pas tenu de procéder aux vérifications déjà effectuées dans le cadre de l’accréditation du sous-traitant</w:t>
      </w:r>
      <w:r>
        <w:rPr>
          <w:lang w:val="fr-FR"/>
        </w:rPr>
        <w:t> ;</w:t>
      </w:r>
    </w:p>
    <w:p w14:paraId="0399A226" w14:textId="21BBD807" w:rsidR="00AE2429" w:rsidRPr="00F77E13" w:rsidRDefault="00AE2429" w:rsidP="00AE2429">
      <w:pPr>
        <w:pStyle w:val="SingleTxtG"/>
        <w:ind w:firstLine="567"/>
      </w:pPr>
      <w:r w:rsidRPr="00F77E13">
        <w:rPr>
          <w:lang w:val="fr-FR"/>
        </w:rPr>
        <w:t>c)</w:t>
      </w:r>
      <w:r w:rsidRPr="00F77E13">
        <w:rPr>
          <w:lang w:val="fr-FR"/>
        </w:rPr>
        <w:tab/>
        <w:t>Si le sous-traitant n’est pas accrédité de son côté, il peut être couvert par l’accréditation de l’organisme de contrôle. Cela ne signifie pas pour autant qu’il est accrédité par ledit organisme. L’évaluation du sous-traitant peut être effectuée par l’organisme de contrôle, mais la manière dont elle est effectuée est soumise à des procédures validées dans le cadre de l’accréditation par l’organisme d’accréditation. Un processus de contrôle continu se déroule dans le cadre de la procédure d’accréditation, qui permet au sous-traitant d’être pris en compte dans l’accréditation de l’organisme de contrôle</w:t>
      </w:r>
      <w:r>
        <w:rPr>
          <w:lang w:val="fr-FR"/>
        </w:rPr>
        <w:t> ;</w:t>
      </w:r>
    </w:p>
    <w:p w14:paraId="37EE2DD3" w14:textId="77777777" w:rsidR="00AE2429" w:rsidRPr="00F77E13" w:rsidRDefault="00AE2429" w:rsidP="00AE2429">
      <w:pPr>
        <w:pStyle w:val="SingleTxtG"/>
        <w:ind w:firstLine="567"/>
      </w:pPr>
      <w:r w:rsidRPr="00F77E13">
        <w:rPr>
          <w:lang w:val="fr-FR"/>
        </w:rPr>
        <w:t>d)</w:t>
      </w:r>
      <w:r w:rsidRPr="00F77E13">
        <w:rPr>
          <w:lang w:val="fr-FR"/>
        </w:rPr>
        <w:tab/>
        <w:t>L’organisme de contrôle donne au sous-traitant des spécifications relatives au système de gestion d’accréditation, conformément aux sections 6.3.1, 6.3.4, 6.1.12, 6.1.13 et 6.2.11 de la norme EN ISO/CEI 17020</w:t>
      </w:r>
      <w:r>
        <w:rPr>
          <w:lang w:val="fr-FR"/>
        </w:rPr>
        <w:t> ;</w:t>
      </w:r>
    </w:p>
    <w:p w14:paraId="4760BCF6" w14:textId="77777777" w:rsidR="00AE2429" w:rsidRPr="00F77E13" w:rsidRDefault="00AE2429" w:rsidP="00AE2429">
      <w:pPr>
        <w:pStyle w:val="SingleTxtG"/>
        <w:ind w:firstLine="567"/>
      </w:pPr>
      <w:r w:rsidRPr="00F77E13">
        <w:rPr>
          <w:lang w:val="fr-FR"/>
        </w:rPr>
        <w:t>e)</w:t>
      </w:r>
      <w:r w:rsidRPr="00F77E13">
        <w:rPr>
          <w:lang w:val="fr-FR"/>
        </w:rPr>
        <w:tab/>
        <w:t>L’organisme de contrôle tient un registre de tous les sous-traitants, conformément à la section</w:t>
      </w:r>
      <w:r>
        <w:rPr>
          <w:lang w:val="fr-FR"/>
        </w:rPr>
        <w:t> </w:t>
      </w:r>
      <w:r w:rsidRPr="00F77E13">
        <w:rPr>
          <w:lang w:val="fr-FR"/>
        </w:rPr>
        <w:t>6.3.4 de la norme EN</w:t>
      </w:r>
      <w:r>
        <w:rPr>
          <w:lang w:val="fr-FR"/>
        </w:rPr>
        <w:t> </w:t>
      </w:r>
      <w:r w:rsidRPr="00F77E13">
        <w:rPr>
          <w:lang w:val="fr-FR"/>
        </w:rPr>
        <w:t>ISO/CEI</w:t>
      </w:r>
      <w:r>
        <w:rPr>
          <w:lang w:val="fr-FR"/>
        </w:rPr>
        <w:t> </w:t>
      </w:r>
      <w:r w:rsidRPr="00F77E13">
        <w:rPr>
          <w:lang w:val="fr-FR"/>
        </w:rPr>
        <w:t>17020.</w:t>
      </w:r>
    </w:p>
    <w:p w14:paraId="653E03E1" w14:textId="0B333DDE" w:rsidR="00AE2429" w:rsidRPr="00F77E13" w:rsidRDefault="00A1736A" w:rsidP="00AE2429">
      <w:pPr>
        <w:pStyle w:val="SingleTxtG"/>
      </w:pPr>
      <w:r>
        <w:rPr>
          <w:lang w:val="fr-FR"/>
        </w:rPr>
        <w:t>28</w:t>
      </w:r>
      <w:r w:rsidR="00AE2429" w:rsidRPr="00F77E13">
        <w:rPr>
          <w:lang w:val="fr-FR"/>
        </w:rPr>
        <w:t>.</w:t>
      </w:r>
      <w:r w:rsidR="00AE2429" w:rsidRPr="00F77E13">
        <w:rPr>
          <w:lang w:val="fr-FR"/>
        </w:rPr>
        <w:tab/>
        <w:t xml:space="preserve">La représentante de l’Allemagne a pris note de l’interprétation faite par la Réunion commune et a dit qu’elle se renseignerait sur la façon dont cette question était traitée </w:t>
      </w:r>
      <w:proofErr w:type="gramStart"/>
      <w:r w:rsidR="00AE2429" w:rsidRPr="00F77E13">
        <w:rPr>
          <w:lang w:val="fr-FR"/>
        </w:rPr>
        <w:t>au</w:t>
      </w:r>
      <w:proofErr w:type="gramEnd"/>
      <w:r w:rsidR="00AE2429" w:rsidRPr="00F77E13">
        <w:rPr>
          <w:lang w:val="fr-FR"/>
        </w:rPr>
        <w:t xml:space="preserve"> plan national dans son pays et que, en fonction des informations recueillies, elle serait éventuellement amenée à demander des précisions supplémentaires.</w:t>
      </w:r>
    </w:p>
    <w:p w14:paraId="1727B8C4" w14:textId="77777777" w:rsidR="00AE2429" w:rsidRPr="003441F1" w:rsidRDefault="00AE2429" w:rsidP="00AE2429">
      <w:pPr>
        <w:pStyle w:val="HChG"/>
      </w:pPr>
      <w:r>
        <w:tab/>
      </w:r>
      <w:r w:rsidRPr="003441F1">
        <w:t>VI.</w:t>
      </w:r>
      <w:r w:rsidRPr="003441F1">
        <w:tab/>
        <w:t xml:space="preserve">Propositions d’amendements au RID/ADR/ADN </w:t>
      </w:r>
      <w:r>
        <w:br/>
      </w:r>
      <w:r w:rsidRPr="003441F1">
        <w:t xml:space="preserve">(point 5 de l’ordre du jour) </w:t>
      </w:r>
    </w:p>
    <w:p w14:paraId="69E7EB80" w14:textId="77777777" w:rsidR="00AE2429" w:rsidRPr="003441F1" w:rsidRDefault="00AE2429" w:rsidP="00AE2429">
      <w:pPr>
        <w:pStyle w:val="H1G"/>
      </w:pPr>
      <w:r w:rsidRPr="003441F1">
        <w:tab/>
        <w:t>A.</w:t>
      </w:r>
      <w:r w:rsidRPr="003441F1">
        <w:tab/>
        <w:t xml:space="preserve">Questions en suspens </w:t>
      </w:r>
    </w:p>
    <w:p w14:paraId="01428577" w14:textId="77777777" w:rsidR="00AE2429" w:rsidRPr="003441F1" w:rsidRDefault="00AE2429" w:rsidP="00AE2429">
      <w:pPr>
        <w:pStyle w:val="H23G"/>
      </w:pPr>
      <w:r w:rsidRPr="003441F1">
        <w:tab/>
      </w:r>
      <w:r w:rsidRPr="003441F1">
        <w:tab/>
        <w:t xml:space="preserve">Nom et description du </w:t>
      </w:r>
      <w:r>
        <w:t xml:space="preserve">No </w:t>
      </w:r>
      <w:r w:rsidRPr="003441F1">
        <w:t>ONU 1010 (Butadiènes stabilisés)</w:t>
      </w:r>
    </w:p>
    <w:p w14:paraId="7006D249" w14:textId="77777777" w:rsidR="00AE2429" w:rsidRPr="003441F1" w:rsidRDefault="00AE2429" w:rsidP="00AE2429">
      <w:pPr>
        <w:pStyle w:val="SingleTxtG"/>
        <w:ind w:left="2835" w:hanging="1701"/>
      </w:pPr>
      <w:r w:rsidRPr="003441F1">
        <w:rPr>
          <w:i/>
          <w:iCs/>
        </w:rPr>
        <w:t>Document</w:t>
      </w:r>
      <w:r>
        <w:rPr>
          <w:i/>
          <w:iCs/>
        </w:rPr>
        <w:t> </w:t>
      </w:r>
      <w:r>
        <w:t>:</w:t>
      </w:r>
      <w:r>
        <w:tab/>
      </w:r>
      <w:r w:rsidRPr="003441F1">
        <w:t xml:space="preserve">ECE/TRANS/WP.15/AC.1/2019/16 (Espagne) </w:t>
      </w:r>
    </w:p>
    <w:p w14:paraId="50BE333B" w14:textId="77777777" w:rsidR="00AE2429" w:rsidRPr="003441F1" w:rsidRDefault="00AE2429" w:rsidP="00AE2429">
      <w:pPr>
        <w:pStyle w:val="SingleTxtG"/>
        <w:ind w:left="2835" w:hanging="1701"/>
      </w:pPr>
      <w:r w:rsidRPr="00465524">
        <w:rPr>
          <w:i/>
          <w:iCs/>
        </w:rPr>
        <w:t>Document</w:t>
      </w:r>
      <w:r w:rsidRPr="005C7B1E">
        <w:rPr>
          <w:i/>
        </w:rPr>
        <w:t xml:space="preserve"> informel</w:t>
      </w:r>
      <w:r>
        <w:t> </w:t>
      </w:r>
      <w:r w:rsidRPr="003441F1">
        <w:t>:</w:t>
      </w:r>
      <w:r w:rsidRPr="003441F1">
        <w:tab/>
        <w:t>INF.27 (France)</w:t>
      </w:r>
      <w:r>
        <w:t>.</w:t>
      </w:r>
    </w:p>
    <w:p w14:paraId="2BC0356D" w14:textId="47D92445" w:rsidR="00AE2429" w:rsidRPr="003441F1" w:rsidRDefault="00A1736A" w:rsidP="00AE2429">
      <w:pPr>
        <w:pStyle w:val="SingleTxtG"/>
      </w:pPr>
      <w:r>
        <w:t>29</w:t>
      </w:r>
      <w:r w:rsidR="00AE2429" w:rsidRPr="003441F1">
        <w:t>.</w:t>
      </w:r>
      <w:r w:rsidR="00AE2429" w:rsidRPr="003441F1">
        <w:tab/>
        <w:t>La Réunion commune a estimé que l’introduction d’une disposition spéciale concernant les mélanges contenant moins de 40</w:t>
      </w:r>
      <w:r w:rsidR="00AE2429">
        <w:t> </w:t>
      </w:r>
      <w:r w:rsidR="00AE2429" w:rsidRPr="003441F1">
        <w:t xml:space="preserve">% </w:t>
      </w:r>
      <w:r w:rsidR="00901556">
        <w:t xml:space="preserve">de </w:t>
      </w:r>
      <w:r w:rsidR="00AE2429" w:rsidRPr="003441F1">
        <w:t>butadiène</w:t>
      </w:r>
      <w:r w:rsidR="003C0D54">
        <w:t>s</w:t>
      </w:r>
      <w:r w:rsidR="00AE2429" w:rsidRPr="003441F1">
        <w:t xml:space="preserve"> en regard d’une rubrique consacrée aux mélanges contenant plus </w:t>
      </w:r>
      <w:r w:rsidR="00AE2429">
        <w:t>de 40 </w:t>
      </w:r>
      <w:r w:rsidR="00AE2429" w:rsidRPr="003441F1">
        <w:t xml:space="preserve">% </w:t>
      </w:r>
      <w:r w:rsidR="00901556">
        <w:t xml:space="preserve">de </w:t>
      </w:r>
      <w:r w:rsidR="00AE2429" w:rsidRPr="003441F1">
        <w:t>butadiène</w:t>
      </w:r>
      <w:r w:rsidR="003C0D54">
        <w:t>s</w:t>
      </w:r>
      <w:r w:rsidR="00AE2429" w:rsidRPr="003441F1">
        <w:t xml:space="preserve"> serait une source de confusion et elle a donc décidé de ne pas soutenir la proposition 2. </w:t>
      </w:r>
    </w:p>
    <w:p w14:paraId="07CE6C05" w14:textId="7B318E67" w:rsidR="00AE2429" w:rsidRPr="003441F1" w:rsidRDefault="00A1736A" w:rsidP="00AE2429">
      <w:pPr>
        <w:pStyle w:val="SingleTxtG"/>
      </w:pPr>
      <w:r>
        <w:t>30</w:t>
      </w:r>
      <w:r w:rsidR="00AE2429" w:rsidRPr="003441F1">
        <w:t>.</w:t>
      </w:r>
      <w:r w:rsidR="00AE2429" w:rsidRPr="003441F1">
        <w:tab/>
        <w:t>La proposition 1 a été adoptée sans modification (voir annexe</w:t>
      </w:r>
      <w:r>
        <w:t xml:space="preserve"> II</w:t>
      </w:r>
      <w:r w:rsidR="00AE2429" w:rsidRPr="003441F1">
        <w:t>).</w:t>
      </w:r>
    </w:p>
    <w:p w14:paraId="1512B1FE" w14:textId="77777777" w:rsidR="00AE2429" w:rsidRPr="003441F1" w:rsidRDefault="00AE2429" w:rsidP="00AE2429">
      <w:pPr>
        <w:pStyle w:val="H1G"/>
      </w:pPr>
      <w:r w:rsidRPr="003441F1">
        <w:tab/>
        <w:t>B.</w:t>
      </w:r>
      <w:r w:rsidRPr="003441F1">
        <w:tab/>
        <w:t>Nouvelles propositions</w:t>
      </w:r>
    </w:p>
    <w:p w14:paraId="09431D44" w14:textId="77777777" w:rsidR="00AE2429" w:rsidRPr="003441F1" w:rsidRDefault="00AE2429" w:rsidP="00AE2429">
      <w:pPr>
        <w:pStyle w:val="H23G"/>
      </w:pPr>
      <w:r w:rsidRPr="003441F1">
        <w:tab/>
        <w:t>1.</w:t>
      </w:r>
      <w:r w:rsidRPr="003441F1">
        <w:tab/>
        <w:t>Cours de recyclage en ligne pour les conducteurs de véhicules transportant des</w:t>
      </w:r>
      <w:r>
        <w:t> </w:t>
      </w:r>
      <w:r w:rsidRPr="003441F1">
        <w:t>marchandises dangereuses</w:t>
      </w:r>
    </w:p>
    <w:p w14:paraId="6EC671D2" w14:textId="373109D1" w:rsidR="00AE2429" w:rsidRPr="003441F1" w:rsidRDefault="00AE2429" w:rsidP="00AE2429">
      <w:pPr>
        <w:pStyle w:val="SingleTxtG"/>
        <w:ind w:left="2835" w:hanging="1701"/>
      </w:pPr>
      <w:r w:rsidRPr="003441F1">
        <w:rPr>
          <w:i/>
          <w:iCs/>
        </w:rPr>
        <w:t>Document</w:t>
      </w:r>
      <w:r>
        <w:rPr>
          <w:i/>
          <w:iCs/>
        </w:rPr>
        <w:t> </w:t>
      </w:r>
      <w:r w:rsidRPr="00465524">
        <w:rPr>
          <w:iCs/>
        </w:rPr>
        <w:t>:</w:t>
      </w:r>
      <w:r w:rsidRPr="003441F1">
        <w:tab/>
        <w:t>ECE/TRANS/WP.15/AC.1/2019/5 (IRU)</w:t>
      </w:r>
    </w:p>
    <w:p w14:paraId="4E09875D" w14:textId="6F526F44" w:rsidR="00AE2429" w:rsidRPr="003441F1" w:rsidRDefault="00A1736A" w:rsidP="00AE2429">
      <w:pPr>
        <w:pStyle w:val="SingleTxtG"/>
      </w:pPr>
      <w:r>
        <w:t>31</w:t>
      </w:r>
      <w:r w:rsidR="00AE2429" w:rsidRPr="003441F1">
        <w:t>.</w:t>
      </w:r>
      <w:r w:rsidR="00AE2429" w:rsidRPr="003441F1">
        <w:tab/>
        <w:t>Un accord de principe a été donné à la proposition de permettre la formation en ligne des conducteurs, mais la Réunion commune a estimé que la proposition de l’IRU était trop vague et qu’il fallait l’élaborer davantage ava</w:t>
      </w:r>
      <w:r w:rsidR="00AE2429">
        <w:t>nt que son adoption puisse être</w:t>
      </w:r>
      <w:r w:rsidR="00AE2429" w:rsidRPr="003441F1">
        <w:t xml:space="preserve"> envisagée.</w:t>
      </w:r>
    </w:p>
    <w:p w14:paraId="5E9AE136" w14:textId="48836376" w:rsidR="00AE2429" w:rsidRPr="003441F1" w:rsidRDefault="00A1736A" w:rsidP="00AE2429">
      <w:pPr>
        <w:pStyle w:val="SingleTxtG"/>
        <w:keepNext/>
        <w:keepLines/>
      </w:pPr>
      <w:r>
        <w:lastRenderedPageBreak/>
        <w:t>32</w:t>
      </w:r>
      <w:r w:rsidR="00AE2429" w:rsidRPr="003441F1">
        <w:t>.</w:t>
      </w:r>
      <w:r w:rsidR="00AE2429" w:rsidRPr="003441F1">
        <w:tab/>
        <w:t>Certaines délégations ont souligné que la proposition, dans son projet actuel, ne donnait pas assez de détails sur la mesure dans laquelle les difficultés mises en évidence au paragraphe 4 du document pouvaient être surmontées par la formation en ligne ni comment il serait possible de le faire. Elles ont estimé que si des dispositions relatives à des cours de formation en ligne étaient introduites dans l’ADR elles devraient indiquer clairement aux autorités compétentes ce qui peut être autorisé et ce qui ne le peut pas, afin d’assurer une approche commune e</w:t>
      </w:r>
      <w:r w:rsidR="00AE2429">
        <w:t>ntre les parties contractantes.</w:t>
      </w:r>
    </w:p>
    <w:p w14:paraId="76BEBA11" w14:textId="738B8519" w:rsidR="00AE2429" w:rsidRPr="003441F1" w:rsidRDefault="00A1736A" w:rsidP="00AE2429">
      <w:pPr>
        <w:pStyle w:val="SingleTxtG"/>
      </w:pPr>
      <w:r>
        <w:t>33</w:t>
      </w:r>
      <w:r w:rsidR="00AE2429" w:rsidRPr="003441F1">
        <w:t>.</w:t>
      </w:r>
      <w:r w:rsidR="00AE2429" w:rsidRPr="003441F1">
        <w:tab/>
        <w:t>Après un bref débat, la Réunion commune a invité le représentant de l’IRU à soumettre une proposition révisée qui tienne compte des observations</w:t>
      </w:r>
      <w:r w:rsidR="00AE2429">
        <w:t xml:space="preserve"> formulées, et en particulier à </w:t>
      </w:r>
      <w:r w:rsidR="00AE2429" w:rsidRPr="003441F1">
        <w:t>:</w:t>
      </w:r>
    </w:p>
    <w:p w14:paraId="0DF51C22" w14:textId="3E5B4B5A" w:rsidR="00AE2429" w:rsidRPr="003441F1" w:rsidRDefault="00AE2429" w:rsidP="00AE2429">
      <w:pPr>
        <w:pStyle w:val="SingleTxtG"/>
        <w:ind w:firstLine="567"/>
      </w:pPr>
      <w:r w:rsidRPr="003441F1">
        <w:t>a)</w:t>
      </w:r>
      <w:r w:rsidRPr="003441F1">
        <w:tab/>
      </w:r>
      <w:r>
        <w:t>S</w:t>
      </w:r>
      <w:r w:rsidRPr="003441F1">
        <w:t>e demander si des dispositions semblables à celles qui sont proposées pour la formation en ligne des conducteurs ADR pourraient être élaborées pour la formation en ligne des experts ADN (voir le chapitre 8.2 de l’ADN)</w:t>
      </w:r>
      <w:r>
        <w:t> ;</w:t>
      </w:r>
    </w:p>
    <w:p w14:paraId="0F4504DE" w14:textId="4F66881F" w:rsidR="00AE2429" w:rsidRPr="003441F1" w:rsidRDefault="00AE2429" w:rsidP="00AE2429">
      <w:pPr>
        <w:pStyle w:val="SingleTxtG"/>
        <w:ind w:firstLine="567"/>
      </w:pPr>
      <w:r>
        <w:t>b)</w:t>
      </w:r>
      <w:r>
        <w:tab/>
        <w:t>I</w:t>
      </w:r>
      <w:r w:rsidRPr="003441F1">
        <w:t>nclure des dispositions permettant d’assurer que le cours de formation en ligne ne puisse être suivi qu’en une seul</w:t>
      </w:r>
      <w:r w:rsidR="00A1736A">
        <w:t>e</w:t>
      </w:r>
      <w:r w:rsidRPr="003441F1">
        <w:t xml:space="preserve"> session et pendant le temps de travail (c’est-à-dire en dehors des périodes de repos)</w:t>
      </w:r>
      <w:r>
        <w:t> </w:t>
      </w:r>
      <w:r w:rsidRPr="003441F1">
        <w:t>;</w:t>
      </w:r>
    </w:p>
    <w:p w14:paraId="65D87B2F" w14:textId="2B80F198" w:rsidR="00AE2429" w:rsidRPr="003441F1" w:rsidRDefault="00AE2429" w:rsidP="00AE2429">
      <w:pPr>
        <w:pStyle w:val="SingleTxtG"/>
        <w:ind w:firstLine="567"/>
      </w:pPr>
      <w:r w:rsidRPr="003441F1">
        <w:t>c)</w:t>
      </w:r>
      <w:r w:rsidRPr="003441F1">
        <w:tab/>
      </w:r>
      <w:r>
        <w:t>P</w:t>
      </w:r>
      <w:r w:rsidRPr="003441F1">
        <w:t>ermettre de combiner formation en personne et formation en ligne ;</w:t>
      </w:r>
    </w:p>
    <w:p w14:paraId="3CFA9F4E" w14:textId="0CC11004" w:rsidR="00AE2429" w:rsidRPr="003441F1" w:rsidRDefault="00AE2429" w:rsidP="00AE2429">
      <w:pPr>
        <w:pStyle w:val="SingleTxtG"/>
        <w:ind w:firstLine="567"/>
      </w:pPr>
      <w:r w:rsidRPr="003441F1">
        <w:t>d)</w:t>
      </w:r>
      <w:r w:rsidRPr="003441F1">
        <w:tab/>
      </w:r>
      <w:r>
        <w:t>F</w:t>
      </w:r>
      <w:r w:rsidRPr="003441F1">
        <w:t>ournir des détails sur le type de certificat ou de validation à délivrer par l’autorité compétente</w:t>
      </w:r>
      <w:r>
        <w:t> </w:t>
      </w:r>
      <w:r w:rsidRPr="003441F1">
        <w:t xml:space="preserve">; </w:t>
      </w:r>
    </w:p>
    <w:p w14:paraId="75BE3605" w14:textId="65901AFB" w:rsidR="00AE2429" w:rsidRPr="003441F1" w:rsidRDefault="00AE2429" w:rsidP="00AE2429">
      <w:pPr>
        <w:pStyle w:val="SingleTxtG"/>
        <w:ind w:firstLine="567"/>
      </w:pPr>
      <w:r>
        <w:t>e)</w:t>
      </w:r>
      <w:r>
        <w:tab/>
        <w:t>S</w:t>
      </w:r>
      <w:r w:rsidRPr="003441F1">
        <w:t>implifier la définition proposée et préciser le champ d’application et le type du cours de formation en ligne</w:t>
      </w:r>
      <w:r>
        <w:t> </w:t>
      </w:r>
      <w:r w:rsidRPr="003441F1">
        <w:t>;</w:t>
      </w:r>
    </w:p>
    <w:p w14:paraId="1D2B50FC" w14:textId="6467EB7E" w:rsidR="00AE2429" w:rsidRPr="003441F1" w:rsidRDefault="00AE2429" w:rsidP="00AE2429">
      <w:pPr>
        <w:pStyle w:val="SingleTxtG"/>
        <w:ind w:firstLine="567"/>
      </w:pPr>
      <w:r w:rsidRPr="003441F1">
        <w:t>f)</w:t>
      </w:r>
      <w:r w:rsidRPr="003441F1">
        <w:tab/>
      </w:r>
      <w:r>
        <w:t>E</w:t>
      </w:r>
      <w:r w:rsidRPr="003441F1">
        <w:t>nvisager d’ajouter les spécifications contenues au paragraphe 11 du document dans le chapitre 8.2.</w:t>
      </w:r>
    </w:p>
    <w:p w14:paraId="21CE8E11" w14:textId="4A7E0B1D" w:rsidR="00AE2429" w:rsidRPr="003441F1" w:rsidRDefault="00A1736A" w:rsidP="00AE2429">
      <w:pPr>
        <w:pStyle w:val="SingleTxtG"/>
      </w:pPr>
      <w:r>
        <w:t>34</w:t>
      </w:r>
      <w:r w:rsidR="00AE2429" w:rsidRPr="003441F1">
        <w:t>.</w:t>
      </w:r>
      <w:r w:rsidR="00AE2429" w:rsidRPr="003441F1">
        <w:tab/>
        <w:t>La Réunion commune a invité les délégations intéressées à faire part de leurs observations par écrit au représentant de l’IRU et à coopérer avec lui à l’élaboration d’une proposition révisée en vue de la prochaine session.</w:t>
      </w:r>
    </w:p>
    <w:p w14:paraId="0C2CF6B3" w14:textId="607D3B43" w:rsidR="00AE2429" w:rsidRPr="003441F1" w:rsidRDefault="00AE2429" w:rsidP="00AE2429">
      <w:pPr>
        <w:pStyle w:val="H23G"/>
      </w:pPr>
      <w:r w:rsidRPr="003441F1">
        <w:tab/>
        <w:t>2.</w:t>
      </w:r>
      <w:r w:rsidRPr="003441F1">
        <w:tab/>
        <w:t xml:space="preserve">Transport </w:t>
      </w:r>
      <w:r w:rsidR="008F4682" w:rsidRPr="003441F1">
        <w:t xml:space="preserve">en tant que déchets </w:t>
      </w:r>
      <w:r w:rsidRPr="003441F1">
        <w:t xml:space="preserve">des matières qui polymérisent </w:t>
      </w:r>
    </w:p>
    <w:p w14:paraId="3400E04F" w14:textId="3F57707A" w:rsidR="00AE2429" w:rsidRPr="003441F1" w:rsidRDefault="00AE2429" w:rsidP="00AE2429">
      <w:pPr>
        <w:pStyle w:val="SingleTxtG"/>
        <w:ind w:left="2835" w:hanging="1701"/>
      </w:pPr>
      <w:r w:rsidRPr="003441F1">
        <w:rPr>
          <w:i/>
          <w:iCs/>
        </w:rPr>
        <w:t>Document</w:t>
      </w:r>
      <w:r>
        <w:rPr>
          <w:i/>
          <w:iCs/>
        </w:rPr>
        <w:t> </w:t>
      </w:r>
      <w:r w:rsidRPr="003B23C2">
        <w:rPr>
          <w:iCs/>
        </w:rPr>
        <w:t>:</w:t>
      </w:r>
      <w:r w:rsidRPr="003441F1">
        <w:rPr>
          <w:i/>
          <w:iCs/>
        </w:rPr>
        <w:tab/>
      </w:r>
      <w:r w:rsidRPr="003441F1">
        <w:t>ECE/TRANS/WP.15/AC.1/2019/8 (Allemagne)</w:t>
      </w:r>
    </w:p>
    <w:p w14:paraId="20AA01C8" w14:textId="6DC0CEE1" w:rsidR="00AE2429" w:rsidRPr="003441F1" w:rsidRDefault="00A1736A" w:rsidP="00AE2429">
      <w:pPr>
        <w:pStyle w:val="SingleTxtG"/>
      </w:pPr>
      <w:r>
        <w:t>35</w:t>
      </w:r>
      <w:r w:rsidR="00AE2429" w:rsidRPr="003441F1">
        <w:t>.</w:t>
      </w:r>
      <w:r w:rsidR="00AE2429" w:rsidRPr="003441F1">
        <w:tab/>
        <w:t>La Réunion commune a décidé de confier l’examen des questions soulevées par l’Allemagne au Groupe de travail sur les déchets dirigé par la Fédération européenne des activités de la dépollution et de l’environnement (FEAD). Il a été noté que l</w:t>
      </w:r>
      <w:r w:rsidR="00AE2429">
        <w:t xml:space="preserve">e groupe se réunirait </w:t>
      </w:r>
      <w:r w:rsidR="00966F58">
        <w:t xml:space="preserve">les </w:t>
      </w:r>
      <w:r w:rsidR="00AE2429">
        <w:t xml:space="preserve">2 </w:t>
      </w:r>
      <w:r w:rsidR="00966F58">
        <w:t>et 3</w:t>
      </w:r>
      <w:r w:rsidR="00AE2429">
        <w:t> </w:t>
      </w:r>
      <w:r w:rsidR="00AE2429" w:rsidRPr="003441F1">
        <w:t xml:space="preserve">avril 2019 à Bruxelles. Les représentants des gouvernements ont été encouragés à participer aux activités du groupe de travail. </w:t>
      </w:r>
    </w:p>
    <w:p w14:paraId="35130948" w14:textId="77777777" w:rsidR="00AE2429" w:rsidRPr="003441F1" w:rsidRDefault="00AE2429" w:rsidP="00AE2429">
      <w:pPr>
        <w:pStyle w:val="H23G"/>
      </w:pPr>
      <w:r w:rsidRPr="003441F1">
        <w:tab/>
        <w:t>3.</w:t>
      </w:r>
      <w:r w:rsidRPr="003441F1">
        <w:tab/>
        <w:t>Modification de la disposition supplémentaire CW36/CV36 de la section 7.5.11</w:t>
      </w:r>
    </w:p>
    <w:p w14:paraId="3657EEC4" w14:textId="18CD6E06" w:rsidR="00AE2429" w:rsidRPr="003441F1" w:rsidRDefault="00AE2429" w:rsidP="00AE2429">
      <w:pPr>
        <w:pStyle w:val="SingleTxtG"/>
        <w:ind w:left="2835" w:hanging="1701"/>
      </w:pPr>
      <w:r w:rsidRPr="003441F1">
        <w:rPr>
          <w:i/>
          <w:iCs/>
        </w:rPr>
        <w:t>Document</w:t>
      </w:r>
      <w:r>
        <w:rPr>
          <w:i/>
          <w:iCs/>
        </w:rPr>
        <w:t> </w:t>
      </w:r>
      <w:r w:rsidRPr="003B23C2">
        <w:rPr>
          <w:iCs/>
        </w:rPr>
        <w:t>:</w:t>
      </w:r>
      <w:r w:rsidRPr="003441F1">
        <w:rPr>
          <w:i/>
          <w:iCs/>
        </w:rPr>
        <w:tab/>
      </w:r>
      <w:r w:rsidRPr="003441F1">
        <w:t>ECE/TRANS/WP.15/AC.1/2019/9 (Suisse)</w:t>
      </w:r>
    </w:p>
    <w:p w14:paraId="666FA659" w14:textId="5D4D35E3" w:rsidR="00AE2429" w:rsidRPr="003441F1" w:rsidRDefault="00A1736A" w:rsidP="00AE2429">
      <w:pPr>
        <w:pStyle w:val="SingleTxtG"/>
      </w:pPr>
      <w:r>
        <w:t>36</w:t>
      </w:r>
      <w:r w:rsidR="00AE2429" w:rsidRPr="003441F1">
        <w:t>.</w:t>
      </w:r>
      <w:r w:rsidR="00AE2429" w:rsidRPr="003441F1">
        <w:tab/>
        <w:t xml:space="preserve">La proposition </w:t>
      </w:r>
      <w:r w:rsidR="001106E4">
        <w:t>de modification de la</w:t>
      </w:r>
      <w:r w:rsidR="00AE2429" w:rsidRPr="003441F1">
        <w:t xml:space="preserve"> disposition supplémentaire CW36/CV36 pour prévenir </w:t>
      </w:r>
      <w:r w:rsidR="001106E4">
        <w:t>des</w:t>
      </w:r>
      <w:r w:rsidR="001106E4" w:rsidRPr="003441F1">
        <w:t xml:space="preserve"> </w:t>
      </w:r>
      <w:r w:rsidR="00AE2429" w:rsidRPr="003441F1">
        <w:t>échange</w:t>
      </w:r>
      <w:r w:rsidR="00EE5684">
        <w:t>s</w:t>
      </w:r>
      <w:r w:rsidR="00AE2429" w:rsidRPr="003441F1">
        <w:t xml:space="preserve"> gazeux pendant le transport a été adoptée (voir annexe</w:t>
      </w:r>
      <w:r>
        <w:t xml:space="preserve"> II</w:t>
      </w:r>
      <w:r w:rsidR="00AE2429" w:rsidRPr="003441F1">
        <w:t>).</w:t>
      </w:r>
    </w:p>
    <w:p w14:paraId="644D99AB" w14:textId="77777777" w:rsidR="00AE2429" w:rsidRPr="003441F1" w:rsidRDefault="00AE2429" w:rsidP="00AE2429">
      <w:pPr>
        <w:pStyle w:val="H23G"/>
      </w:pPr>
      <w:r w:rsidRPr="003441F1">
        <w:tab/>
        <w:t>4.</w:t>
      </w:r>
      <w:r w:rsidRPr="003441F1">
        <w:tab/>
        <w:t>Transport de gaz selon la disposition spéciale 653</w:t>
      </w:r>
    </w:p>
    <w:p w14:paraId="100D2032" w14:textId="76193016" w:rsidR="00AE2429" w:rsidRPr="003441F1" w:rsidRDefault="00AE2429" w:rsidP="00AE2429">
      <w:pPr>
        <w:pStyle w:val="SingleTxtG"/>
        <w:ind w:left="2835" w:hanging="1701"/>
      </w:pPr>
      <w:r w:rsidRPr="003441F1">
        <w:rPr>
          <w:i/>
          <w:iCs/>
        </w:rPr>
        <w:t>Document</w:t>
      </w:r>
      <w:r>
        <w:rPr>
          <w:i/>
          <w:iCs/>
        </w:rPr>
        <w:t> </w:t>
      </w:r>
      <w:r w:rsidRPr="003B23C2">
        <w:rPr>
          <w:iCs/>
        </w:rPr>
        <w:t>:</w:t>
      </w:r>
      <w:r w:rsidRPr="003441F1">
        <w:rPr>
          <w:i/>
          <w:iCs/>
        </w:rPr>
        <w:tab/>
      </w:r>
      <w:r w:rsidRPr="003441F1">
        <w:t>ECE/TRANS/WP.15/AC.1/2019/10 (Suisse)</w:t>
      </w:r>
    </w:p>
    <w:p w14:paraId="6298E74B" w14:textId="7A795EC5" w:rsidR="00AE2429" w:rsidRDefault="00A1736A" w:rsidP="00A1736A">
      <w:pPr>
        <w:pStyle w:val="SingleTxtG"/>
      </w:pPr>
      <w:r>
        <w:t>37</w:t>
      </w:r>
      <w:r w:rsidR="00AE2429" w:rsidRPr="003441F1">
        <w:t>.</w:t>
      </w:r>
      <w:r w:rsidR="00AE2429" w:rsidRPr="003441F1">
        <w:tab/>
        <w:t>La proposition d’introduire dans la disposition spéciale 653 une condition liée au respect des prescriptions de remplissage des bouteilles a été adoptée (voir annexe</w:t>
      </w:r>
      <w:r>
        <w:t xml:space="preserve"> II</w:t>
      </w:r>
      <w:r w:rsidRPr="003441F1">
        <w:t>).</w:t>
      </w:r>
    </w:p>
    <w:p w14:paraId="1EEE0CE1" w14:textId="1AB82368" w:rsidR="00AE2429" w:rsidRPr="00F77E13" w:rsidRDefault="00AE2429" w:rsidP="00AE2429">
      <w:pPr>
        <w:pStyle w:val="H23G"/>
      </w:pPr>
      <w:r>
        <w:rPr>
          <w:lang w:val="fr-FR"/>
        </w:rPr>
        <w:tab/>
      </w:r>
      <w:r w:rsidRPr="00F77E13">
        <w:rPr>
          <w:lang w:val="fr-FR"/>
        </w:rPr>
        <w:t>5.</w:t>
      </w:r>
      <w:r w:rsidRPr="00F77E13">
        <w:rPr>
          <w:lang w:val="fr-FR"/>
        </w:rPr>
        <w:tab/>
      </w:r>
      <w:r w:rsidR="008F4682">
        <w:rPr>
          <w:lang w:val="fr-FR"/>
        </w:rPr>
        <w:t>Utilisation des emballages, y compris les grands récipients pour vrac (GRV) et les grands emballages</w:t>
      </w:r>
    </w:p>
    <w:p w14:paraId="2D70C50B" w14:textId="25331BFB" w:rsidR="00AE2429" w:rsidRPr="00F77E13" w:rsidRDefault="00AE2429" w:rsidP="00AE2429">
      <w:pPr>
        <w:pStyle w:val="SingleTxtG"/>
        <w:tabs>
          <w:tab w:val="left" w:pos="3119"/>
        </w:tabs>
      </w:pPr>
      <w:r w:rsidRPr="00F77E13">
        <w:rPr>
          <w:i/>
          <w:iCs/>
          <w:lang w:val="fr-FR"/>
        </w:rPr>
        <w:t>Document</w:t>
      </w:r>
      <w:r>
        <w:rPr>
          <w:i/>
          <w:iCs/>
          <w:lang w:val="fr-FR"/>
        </w:rPr>
        <w:t> </w:t>
      </w:r>
      <w:r>
        <w:t>:</w:t>
      </w:r>
      <w:r w:rsidRPr="00F77E13">
        <w:rPr>
          <w:lang w:val="fr-FR"/>
        </w:rPr>
        <w:tab/>
        <w:t>ECE/TRANS/WP.15/AC.1/2019/15 (Espagne)</w:t>
      </w:r>
    </w:p>
    <w:p w14:paraId="5A43FE67" w14:textId="7B11B7E9" w:rsidR="00AE2429" w:rsidRPr="00F77E13" w:rsidRDefault="00A1736A" w:rsidP="00AE2429">
      <w:pPr>
        <w:pStyle w:val="SingleTxtG"/>
      </w:pPr>
      <w:r>
        <w:rPr>
          <w:lang w:val="fr-FR"/>
        </w:rPr>
        <w:t>38</w:t>
      </w:r>
      <w:r w:rsidR="00AE2429" w:rsidRPr="00F77E13">
        <w:rPr>
          <w:lang w:val="fr-FR"/>
        </w:rPr>
        <w:t>.</w:t>
      </w:r>
      <w:r w:rsidR="00AE2429" w:rsidRPr="00F77E13">
        <w:rPr>
          <w:lang w:val="fr-FR"/>
        </w:rPr>
        <w:tab/>
        <w:t xml:space="preserve">La proposition visant à supprimer la dernière phrase du 4.1.1.3 a été adoptée (voir annexe </w:t>
      </w:r>
      <w:r>
        <w:rPr>
          <w:lang w:val="fr-FR"/>
        </w:rPr>
        <w:t>II</w:t>
      </w:r>
      <w:r w:rsidR="00AE2429" w:rsidRPr="00F77E13">
        <w:rPr>
          <w:lang w:val="fr-FR"/>
        </w:rPr>
        <w:t>).</w:t>
      </w:r>
    </w:p>
    <w:p w14:paraId="7D83933A" w14:textId="77777777" w:rsidR="00AE2429" w:rsidRPr="00F77E13" w:rsidRDefault="00AE2429" w:rsidP="00AE2429">
      <w:pPr>
        <w:pStyle w:val="H23G"/>
      </w:pPr>
      <w:r w:rsidRPr="00F77E13">
        <w:rPr>
          <w:lang w:val="fr-FR"/>
        </w:rPr>
        <w:lastRenderedPageBreak/>
        <w:tab/>
        <w:t>6.</w:t>
      </w:r>
      <w:r w:rsidRPr="00F77E13">
        <w:rPr>
          <w:lang w:val="fr-FR"/>
        </w:rPr>
        <w:tab/>
        <w:t>Affectation d’une catégorie de transport aux trousses chimiques et aux trousses de</w:t>
      </w:r>
      <w:r>
        <w:rPr>
          <w:lang w:val="fr-FR"/>
        </w:rPr>
        <w:t> </w:t>
      </w:r>
      <w:r w:rsidRPr="00F77E13">
        <w:rPr>
          <w:lang w:val="fr-FR"/>
        </w:rPr>
        <w:t>premiers secours (</w:t>
      </w:r>
      <w:r>
        <w:rPr>
          <w:lang w:val="fr-FR"/>
        </w:rPr>
        <w:t xml:space="preserve">numéro </w:t>
      </w:r>
      <w:r w:rsidRPr="00F77E13">
        <w:rPr>
          <w:lang w:val="fr-FR"/>
        </w:rPr>
        <w:t>ONU</w:t>
      </w:r>
      <w:r>
        <w:rPr>
          <w:lang w:val="fr-FR"/>
        </w:rPr>
        <w:t> </w:t>
      </w:r>
      <w:r w:rsidRPr="00F77E13">
        <w:rPr>
          <w:lang w:val="fr-FR"/>
        </w:rPr>
        <w:t>3316)</w:t>
      </w:r>
    </w:p>
    <w:p w14:paraId="3BB401CB" w14:textId="71C9591B" w:rsidR="00AE2429" w:rsidRPr="00F77E13" w:rsidRDefault="00AE2429" w:rsidP="00AE2429">
      <w:pPr>
        <w:pStyle w:val="SingleTxtG"/>
        <w:tabs>
          <w:tab w:val="left" w:pos="3119"/>
        </w:tabs>
      </w:pPr>
      <w:r w:rsidRPr="00F77E13">
        <w:rPr>
          <w:i/>
          <w:iCs/>
          <w:lang w:val="fr-FR"/>
        </w:rPr>
        <w:t>Document</w:t>
      </w:r>
      <w:r>
        <w:rPr>
          <w:i/>
          <w:iCs/>
          <w:lang w:val="fr-FR"/>
        </w:rPr>
        <w:t> </w:t>
      </w:r>
      <w:r>
        <w:t>:</w:t>
      </w:r>
      <w:r w:rsidRPr="00F77E13">
        <w:rPr>
          <w:lang w:val="fr-FR"/>
        </w:rPr>
        <w:tab/>
        <w:t>ECE/TRANS/WP.15/AC.1/2019/20 (Royaume-Uni)</w:t>
      </w:r>
    </w:p>
    <w:p w14:paraId="03B5ADFA" w14:textId="6AB6098B" w:rsidR="00AE2429" w:rsidRPr="00F77E13" w:rsidRDefault="00A1736A" w:rsidP="00AE2429">
      <w:pPr>
        <w:pStyle w:val="SingleTxtG"/>
      </w:pPr>
      <w:r>
        <w:rPr>
          <w:lang w:val="fr-FR"/>
        </w:rPr>
        <w:t>39</w:t>
      </w:r>
      <w:r w:rsidR="00AE2429" w:rsidRPr="00F77E13">
        <w:rPr>
          <w:lang w:val="fr-FR"/>
        </w:rPr>
        <w:t>.</w:t>
      </w:r>
      <w:r w:rsidR="00AE2429" w:rsidRPr="00F77E13">
        <w:rPr>
          <w:lang w:val="fr-FR"/>
        </w:rPr>
        <w:tab/>
        <w:t xml:space="preserve">La proposition visant à modifier </w:t>
      </w:r>
      <w:r w:rsidR="00EE5684">
        <w:rPr>
          <w:lang w:val="fr-FR"/>
        </w:rPr>
        <w:t>la</w:t>
      </w:r>
      <w:r w:rsidR="00EE5684" w:rsidRPr="00F77E13">
        <w:rPr>
          <w:lang w:val="fr-FR"/>
        </w:rPr>
        <w:t xml:space="preserve"> </w:t>
      </w:r>
      <w:r w:rsidR="00AE2429" w:rsidRPr="00F77E13">
        <w:rPr>
          <w:lang w:val="fr-FR"/>
        </w:rPr>
        <w:t>disposition spéciale 671 a été adoptée (voir annexe</w:t>
      </w:r>
      <w:r w:rsidR="00797C3E">
        <w:rPr>
          <w:lang w:val="fr-FR"/>
        </w:rPr>
        <w:t> </w:t>
      </w:r>
      <w:r>
        <w:rPr>
          <w:lang w:val="fr-FR"/>
        </w:rPr>
        <w:t>II</w:t>
      </w:r>
      <w:r w:rsidR="00AE2429" w:rsidRPr="00F77E13">
        <w:rPr>
          <w:lang w:val="fr-FR"/>
        </w:rPr>
        <w:t>). Il a été noté que les amendements adoptés étaient également pertinents pour l’ADN.</w:t>
      </w:r>
    </w:p>
    <w:p w14:paraId="6BE01281" w14:textId="77777777" w:rsidR="00AE2429" w:rsidRPr="00662350" w:rsidRDefault="00AE2429" w:rsidP="00AE2429">
      <w:pPr>
        <w:pStyle w:val="H23G"/>
      </w:pPr>
      <w:r>
        <w:tab/>
      </w:r>
      <w:r w:rsidRPr="00662350">
        <w:t>7.</w:t>
      </w:r>
      <w:r w:rsidRPr="00662350">
        <w:tab/>
        <w:t xml:space="preserve">Utilisation </w:t>
      </w:r>
      <w:r>
        <w:t>d</w:t>
      </w:r>
      <w:r w:rsidRPr="00662350">
        <w:t>es termes « risque » et « danger » dans le contexte du RID/ADR/ADN</w:t>
      </w:r>
    </w:p>
    <w:p w14:paraId="0E32D208" w14:textId="3387BD58" w:rsidR="00AE2429" w:rsidRPr="00662350" w:rsidRDefault="00AE2429" w:rsidP="00AE2429">
      <w:pPr>
        <w:pStyle w:val="SingleTxtG"/>
        <w:ind w:left="3119" w:hanging="1985"/>
        <w:jc w:val="left"/>
      </w:pPr>
      <w:r w:rsidRPr="00662350">
        <w:rPr>
          <w:i/>
          <w:iCs/>
        </w:rPr>
        <w:t>Document</w:t>
      </w:r>
      <w:r>
        <w:rPr>
          <w:i/>
          <w:iCs/>
        </w:rPr>
        <w:t> </w:t>
      </w:r>
      <w:r w:rsidRPr="004C60EE">
        <w:rPr>
          <w:iCs/>
        </w:rPr>
        <w:t>:</w:t>
      </w:r>
      <w:r w:rsidRPr="00662350">
        <w:rPr>
          <w:i/>
          <w:iCs/>
        </w:rPr>
        <w:tab/>
      </w:r>
      <w:r w:rsidRPr="00662350">
        <w:t>ECE/TRANS/WP.15/AC.1/2019/7 (Ro</w:t>
      </w:r>
      <w:r>
        <w:t>u</w:t>
      </w:r>
      <w:r w:rsidRPr="00662350">
        <w:t>mani</w:t>
      </w:r>
      <w:r>
        <w:t>e</w:t>
      </w:r>
      <w:r w:rsidRPr="00662350">
        <w:t>)</w:t>
      </w:r>
    </w:p>
    <w:p w14:paraId="4EB0376D" w14:textId="7977B19B" w:rsidR="00AE2429" w:rsidRDefault="00AE2429" w:rsidP="00AE2429">
      <w:pPr>
        <w:pStyle w:val="SingleTxtG"/>
        <w:ind w:left="3119" w:hanging="1985"/>
        <w:jc w:val="left"/>
      </w:pPr>
      <w:r w:rsidRPr="008B42BE">
        <w:rPr>
          <w:i/>
          <w:iCs/>
        </w:rPr>
        <w:t>D</w:t>
      </w:r>
      <w:r w:rsidRPr="00662350">
        <w:rPr>
          <w:i/>
          <w:iCs/>
        </w:rPr>
        <w:t>ocument</w:t>
      </w:r>
      <w:r w:rsidRPr="008B42BE">
        <w:rPr>
          <w:i/>
          <w:iCs/>
        </w:rPr>
        <w:t xml:space="preserve"> informel</w:t>
      </w:r>
      <w:r>
        <w:rPr>
          <w:i/>
          <w:iCs/>
        </w:rPr>
        <w:t> </w:t>
      </w:r>
      <w:r w:rsidRPr="004C60EE">
        <w:rPr>
          <w:iCs/>
        </w:rPr>
        <w:t>:</w:t>
      </w:r>
      <w:r w:rsidRPr="00662350">
        <w:t xml:space="preserve"> </w:t>
      </w:r>
      <w:r w:rsidRPr="00662350">
        <w:tab/>
        <w:t>INF.34 (Belgi</w:t>
      </w:r>
      <w:r w:rsidRPr="008B42BE">
        <w:t>q</w:t>
      </w:r>
      <w:r w:rsidRPr="00662350">
        <w:t>u</w:t>
      </w:r>
      <w:r w:rsidRPr="008B42BE">
        <w:t>e</w:t>
      </w:r>
      <w:r w:rsidRPr="00662350">
        <w:t>)</w:t>
      </w:r>
    </w:p>
    <w:p w14:paraId="594B251E" w14:textId="7FE582F0" w:rsidR="00AE2429" w:rsidRPr="00662350" w:rsidRDefault="00A1736A" w:rsidP="00AE2429">
      <w:pPr>
        <w:kinsoku/>
        <w:overflowPunct/>
        <w:autoSpaceDE/>
        <w:autoSpaceDN/>
        <w:adjustRightInd/>
        <w:snapToGrid/>
        <w:spacing w:after="120"/>
        <w:ind w:left="1134" w:right="1134"/>
        <w:jc w:val="both"/>
      </w:pPr>
      <w:r>
        <w:t>40</w:t>
      </w:r>
      <w:r w:rsidR="00AE2429" w:rsidRPr="00662350">
        <w:t>.</w:t>
      </w:r>
      <w:r w:rsidR="00AE2429" w:rsidRPr="00662350">
        <w:tab/>
      </w:r>
      <w:r w:rsidR="00AE2429" w:rsidRPr="008B42BE">
        <w:t>La Réunion commune a</w:t>
      </w:r>
      <w:r w:rsidR="00AE2429">
        <w:t xml:space="preserve"> pris note des propositions contenues au </w:t>
      </w:r>
      <w:r w:rsidR="00AE2429" w:rsidRPr="00662350">
        <w:t>paragraph</w:t>
      </w:r>
      <w:r w:rsidR="00AE2429" w:rsidRPr="008B42BE">
        <w:t>e</w:t>
      </w:r>
      <w:r w:rsidR="00AE2429">
        <w:t> </w:t>
      </w:r>
      <w:r w:rsidR="00AE2429" w:rsidRPr="00662350">
        <w:t xml:space="preserve">9 </w:t>
      </w:r>
      <w:r w:rsidR="00AE2429">
        <w:t>du</w:t>
      </w:r>
      <w:r w:rsidR="00AE2429" w:rsidRPr="00662350">
        <w:t xml:space="preserve"> document ECE/TRANS/WP.15/AC.1/2019/7, </w:t>
      </w:r>
      <w:r w:rsidR="00AE2429">
        <w:t xml:space="preserve">des observations et propositions contenues dans le document </w:t>
      </w:r>
      <w:r w:rsidR="00AE2429" w:rsidRPr="00662350">
        <w:t>inform</w:t>
      </w:r>
      <w:r w:rsidR="00AE2429">
        <w:t>e</w:t>
      </w:r>
      <w:r w:rsidR="00AE2429" w:rsidRPr="00662350">
        <w:t xml:space="preserve">l INF.34 </w:t>
      </w:r>
      <w:r w:rsidR="00AE2429">
        <w:t>ainsi que des observations supplémentaires formulées pendant la discussion.</w:t>
      </w:r>
    </w:p>
    <w:p w14:paraId="32DBC58B" w14:textId="0FE0D072" w:rsidR="00AE2429" w:rsidRPr="00CE4C8C" w:rsidRDefault="00A1736A" w:rsidP="00AE2429">
      <w:pPr>
        <w:kinsoku/>
        <w:overflowPunct/>
        <w:autoSpaceDE/>
        <w:autoSpaceDN/>
        <w:adjustRightInd/>
        <w:snapToGrid/>
        <w:spacing w:after="120"/>
        <w:ind w:left="1134" w:right="1134"/>
        <w:jc w:val="both"/>
      </w:pPr>
      <w:r>
        <w:t>41</w:t>
      </w:r>
      <w:r w:rsidR="00AE2429" w:rsidRPr="00662350">
        <w:t>.</w:t>
      </w:r>
      <w:r w:rsidR="00AE2429" w:rsidRPr="00662350">
        <w:tab/>
      </w:r>
      <w:r w:rsidR="00AE2429" w:rsidRPr="008B42BE">
        <w:t>À la suite d</w:t>
      </w:r>
      <w:r w:rsidR="00AE2429">
        <w:t>’</w:t>
      </w:r>
      <w:r w:rsidR="00AE2429" w:rsidRPr="008B42BE">
        <w:t>un échange de vues</w:t>
      </w:r>
      <w:r w:rsidR="00AE2429">
        <w:t xml:space="preserve"> concernant la justification de certains des amendements proposés, la </w:t>
      </w:r>
      <w:r w:rsidR="00AE2429" w:rsidRPr="000C1636">
        <w:t>Réunion commune a</w:t>
      </w:r>
      <w:r w:rsidR="00AE2429">
        <w:t xml:space="preserve"> convenu de ce que les termes « </w:t>
      </w:r>
      <w:r w:rsidR="00AE2429" w:rsidRPr="000C1636">
        <w:t>danger</w:t>
      </w:r>
      <w:r w:rsidR="00AE2429">
        <w:t> »</w:t>
      </w:r>
      <w:r w:rsidR="00AE2429" w:rsidRPr="00662350">
        <w:t xml:space="preserve"> </w:t>
      </w:r>
      <w:r w:rsidR="00AE2429" w:rsidRPr="000C1636">
        <w:t>et</w:t>
      </w:r>
      <w:r w:rsidR="00AE2429" w:rsidRPr="00662350">
        <w:t xml:space="preserve"> </w:t>
      </w:r>
      <w:r w:rsidR="00AE2429">
        <w:t>« </w:t>
      </w:r>
      <w:r w:rsidR="00AE2429" w:rsidRPr="00662350">
        <w:t>ris</w:t>
      </w:r>
      <w:r w:rsidR="00AE2429" w:rsidRPr="000C1636">
        <w:t>que</w:t>
      </w:r>
      <w:r w:rsidR="00AE2429">
        <w:t> » ne devraient être utilisés qu’en cas d’extrême nécessité et de manière cohérente dans tou</w:t>
      </w:r>
      <w:r w:rsidR="008F4682">
        <w:t>t</w:t>
      </w:r>
      <w:r w:rsidR="00AE2429">
        <w:t xml:space="preserve"> le texte du </w:t>
      </w:r>
      <w:r w:rsidR="00AE2429" w:rsidRPr="00662350">
        <w:t xml:space="preserve">RID/ADR/ADN. </w:t>
      </w:r>
      <w:r w:rsidR="00AE2429">
        <w:t xml:space="preserve">Il s’agit également d’harmoniser la terminologie du </w:t>
      </w:r>
      <w:r w:rsidR="00AE2429" w:rsidRPr="00662350">
        <w:t xml:space="preserve">RID/ADR/ADN </w:t>
      </w:r>
      <w:r w:rsidR="00AE2429" w:rsidRPr="000C1636">
        <w:t xml:space="preserve">avec celle du Règlement type et du </w:t>
      </w:r>
      <w:r w:rsidR="00AE2429">
        <w:t xml:space="preserve">SGH, en partant du principe que toute question liée à l’utilisation actuelle de ces termes dans le Règlement type, le Manuel </w:t>
      </w:r>
      <w:r w:rsidR="00AE2429" w:rsidRPr="000C1636">
        <w:t>d</w:t>
      </w:r>
      <w:r w:rsidR="00AE2429">
        <w:t>’</w:t>
      </w:r>
      <w:r w:rsidR="00AE2429" w:rsidRPr="000C1636">
        <w:t>épreuves et de critères</w:t>
      </w:r>
      <w:r w:rsidR="00AE2429">
        <w:t xml:space="preserve"> et le SGH doit être portée à l’attention du Sous-Comité</w:t>
      </w:r>
      <w:r w:rsidR="00AE2429" w:rsidRPr="00CE4C8C">
        <w:t xml:space="preserve"> d</w:t>
      </w:r>
      <w:r w:rsidR="00AE2429">
        <w:t>’</w:t>
      </w:r>
      <w:r w:rsidR="00AE2429" w:rsidRPr="00CE4C8C">
        <w:t>experts du transport des marchandises dangereuses</w:t>
      </w:r>
      <w:r w:rsidR="00AE2429">
        <w:t xml:space="preserve"> ou au </w:t>
      </w:r>
      <w:r w:rsidR="00AE2429" w:rsidRPr="00CE4C8C">
        <w:t>Sous-Comité d</w:t>
      </w:r>
      <w:r w:rsidR="00AE2429">
        <w:t>’</w:t>
      </w:r>
      <w:r w:rsidR="00AE2429" w:rsidRPr="00CE4C8C">
        <w:t>experts du SGH</w:t>
      </w:r>
      <w:r w:rsidR="00AE2429">
        <w:t>, selon les cas.</w:t>
      </w:r>
    </w:p>
    <w:p w14:paraId="34363093" w14:textId="3EA95E6F" w:rsidR="00AE2429" w:rsidRDefault="00A1736A" w:rsidP="00AE2429">
      <w:pPr>
        <w:kinsoku/>
        <w:overflowPunct/>
        <w:autoSpaceDE/>
        <w:autoSpaceDN/>
        <w:adjustRightInd/>
        <w:snapToGrid/>
        <w:spacing w:after="120"/>
        <w:ind w:left="1134" w:right="1134"/>
        <w:jc w:val="both"/>
      </w:pPr>
      <w:r>
        <w:t>42</w:t>
      </w:r>
      <w:r w:rsidR="00AE2429" w:rsidRPr="00662350">
        <w:t>.</w:t>
      </w:r>
      <w:r w:rsidR="00AE2429" w:rsidRPr="00662350">
        <w:tab/>
      </w:r>
      <w:r w:rsidR="00AE2429" w:rsidRPr="00CE4C8C">
        <w:t>Le représentant de la Roumanie a expliqué que les propositions contenues dans le d</w:t>
      </w:r>
      <w:r w:rsidR="00AE2429" w:rsidRPr="00662350">
        <w:t>ocument ECE/TRANS/WP.15/AC.1/2019/7</w:t>
      </w:r>
      <w:r w:rsidR="00AE2429" w:rsidRPr="00CE4C8C">
        <w:t xml:space="preserve"> ne portaient que sur </w:t>
      </w:r>
      <w:r w:rsidR="00AE2429">
        <w:t>les textes dans lesquels avaient été mis en évidence des incohérences dans l’utilisation des termes « </w:t>
      </w:r>
      <w:r w:rsidR="00AE2429" w:rsidRPr="000C1636">
        <w:t>danger</w:t>
      </w:r>
      <w:r w:rsidR="00AE2429">
        <w:t> »</w:t>
      </w:r>
      <w:r w:rsidR="00AE2429" w:rsidRPr="00662350">
        <w:t xml:space="preserve"> </w:t>
      </w:r>
      <w:r w:rsidR="00AE2429" w:rsidRPr="000C1636">
        <w:t>et</w:t>
      </w:r>
      <w:r w:rsidR="00AE2429" w:rsidRPr="00662350">
        <w:t xml:space="preserve"> </w:t>
      </w:r>
      <w:r w:rsidR="00AE2429">
        <w:t>« </w:t>
      </w:r>
      <w:r w:rsidR="00AE2429" w:rsidRPr="00662350">
        <w:t>ris</w:t>
      </w:r>
      <w:r w:rsidR="00AE2429" w:rsidRPr="000C1636">
        <w:t>que</w:t>
      </w:r>
      <w:r w:rsidR="00AE2429">
        <w:t xml:space="preserve"> » entre les différentes versions linguistiques du </w:t>
      </w:r>
      <w:r w:rsidR="00AE2429" w:rsidRPr="00662350">
        <w:t>RID/ADR/ADN</w:t>
      </w:r>
      <w:r w:rsidR="00AE2429">
        <w:t>,</w:t>
      </w:r>
      <w:r w:rsidR="00AE2429" w:rsidRPr="00662350">
        <w:t xml:space="preserve"> </w:t>
      </w:r>
      <w:r w:rsidR="00AE2429">
        <w:t xml:space="preserve">et que dans une deuxième étape le groupe de travail se proposait d’analyser la manière dont ces termes sont utilisés actuellement dans d’autres parties des textes pour voir si d’autres harmonisations s’imposent. </w:t>
      </w:r>
    </w:p>
    <w:p w14:paraId="1DF25165" w14:textId="0298AAEF" w:rsidR="00AE2429" w:rsidRPr="00662350" w:rsidRDefault="00A1736A" w:rsidP="00AE2429">
      <w:pPr>
        <w:kinsoku/>
        <w:overflowPunct/>
        <w:autoSpaceDE/>
        <w:autoSpaceDN/>
        <w:adjustRightInd/>
        <w:snapToGrid/>
        <w:spacing w:after="120"/>
        <w:ind w:left="1134" w:right="1134"/>
        <w:jc w:val="both"/>
      </w:pPr>
      <w:r>
        <w:t>43</w:t>
      </w:r>
      <w:r w:rsidR="00AE2429" w:rsidRPr="00662350">
        <w:t>.</w:t>
      </w:r>
      <w:r w:rsidR="00AE2429" w:rsidRPr="00662350">
        <w:tab/>
      </w:r>
      <w:r w:rsidR="00AE2429" w:rsidRPr="00A22502">
        <w:t>La Réunion commune a invité le groupe de travail à</w:t>
      </w:r>
      <w:r w:rsidR="00AE2429">
        <w:t xml:space="preserve"> revoir les amendements proposés à la lumière des observations faites et de revenir avec une proposition révisée qui regrouperait les amendements par type </w:t>
      </w:r>
      <w:r w:rsidR="00AE2429" w:rsidRPr="00662350">
        <w:t>(</w:t>
      </w:r>
      <w:r w:rsidR="00AE2429" w:rsidRPr="00A53176">
        <w:t>p</w:t>
      </w:r>
      <w:r w:rsidR="00AE2429">
        <w:t>ar exemple </w:t>
      </w:r>
      <w:r w:rsidR="00AE2429" w:rsidRPr="00662350">
        <w:t>: amend</w:t>
      </w:r>
      <w:r w:rsidR="00AE2429">
        <w:t>e</w:t>
      </w:r>
      <w:r w:rsidR="00AE2429" w:rsidRPr="00662350">
        <w:t xml:space="preserve">ments </w:t>
      </w:r>
      <w:r w:rsidR="00AE2429">
        <w:t>portant sur le r</w:t>
      </w:r>
      <w:r w:rsidR="00AE2429" w:rsidRPr="00662350">
        <w:t>e</w:t>
      </w:r>
      <w:r w:rsidR="00AE2429">
        <w:t>m</w:t>
      </w:r>
      <w:r w:rsidR="00AE2429" w:rsidRPr="00662350">
        <w:t xml:space="preserve">placement </w:t>
      </w:r>
      <w:r w:rsidR="00AE2429">
        <w:t>de</w:t>
      </w:r>
      <w:r w:rsidR="00AE2429" w:rsidRPr="00662350">
        <w:t xml:space="preserve"> </w:t>
      </w:r>
      <w:r w:rsidR="00AE2429">
        <w:t>« danger »</w:t>
      </w:r>
      <w:r w:rsidR="00AE2429" w:rsidRPr="00662350">
        <w:t xml:space="preserve"> o</w:t>
      </w:r>
      <w:r w:rsidR="00AE2429">
        <w:t>u de</w:t>
      </w:r>
      <w:r w:rsidR="00AE2429" w:rsidRPr="00662350">
        <w:t xml:space="preserve"> </w:t>
      </w:r>
      <w:r w:rsidR="00AE2429">
        <w:t>« </w:t>
      </w:r>
      <w:r w:rsidR="00AE2429" w:rsidRPr="00662350">
        <w:t>ris</w:t>
      </w:r>
      <w:r w:rsidR="00AE2429">
        <w:t>que »</w:t>
      </w:r>
      <w:r w:rsidR="00AE2429" w:rsidRPr="00662350">
        <w:t xml:space="preserve"> </w:t>
      </w:r>
      <w:r w:rsidR="00AE2429">
        <w:t xml:space="preserve">par un autre terme ; </w:t>
      </w:r>
      <w:r w:rsidR="00AE2429" w:rsidRPr="00A53176">
        <w:t xml:space="preserve">amendements portant sur le remplacement </w:t>
      </w:r>
      <w:r w:rsidR="00AE2429">
        <w:t>de</w:t>
      </w:r>
      <w:r w:rsidR="00AE2429" w:rsidRPr="00A53176">
        <w:t xml:space="preserve"> </w:t>
      </w:r>
      <w:r w:rsidR="00AE2429">
        <w:t>« </w:t>
      </w:r>
      <w:r w:rsidR="00AE2429" w:rsidRPr="00A53176">
        <w:t>danger</w:t>
      </w:r>
      <w:r w:rsidR="00AE2429">
        <w:t> »</w:t>
      </w:r>
      <w:r w:rsidR="00AE2429" w:rsidRPr="00A53176">
        <w:t xml:space="preserve"> </w:t>
      </w:r>
      <w:r w:rsidR="00AE2429">
        <w:t>par « </w:t>
      </w:r>
      <w:r w:rsidR="00AE2429" w:rsidRPr="00662350">
        <w:t>ris</w:t>
      </w:r>
      <w:r w:rsidR="00AE2429">
        <w:t>que » ou inversement</w:t>
      </w:r>
      <w:r w:rsidR="00AE2429" w:rsidRPr="00662350">
        <w:t>, etc.).</w:t>
      </w:r>
    </w:p>
    <w:p w14:paraId="742948EF" w14:textId="77777777" w:rsidR="00AE2429" w:rsidRPr="00662350" w:rsidRDefault="00AE2429" w:rsidP="00AE2429">
      <w:pPr>
        <w:pStyle w:val="H23G"/>
      </w:pPr>
      <w:r w:rsidRPr="00A53176">
        <w:tab/>
      </w:r>
      <w:r w:rsidRPr="00662350">
        <w:t>8.</w:t>
      </w:r>
      <w:r w:rsidRPr="00662350">
        <w:tab/>
        <w:t>Amendement au paragraphe 5.4.1.1.1</w:t>
      </w:r>
    </w:p>
    <w:p w14:paraId="6EDFF055" w14:textId="35E247CD" w:rsidR="00AE2429" w:rsidRPr="00662350" w:rsidRDefault="00AE2429" w:rsidP="00AE2429">
      <w:pPr>
        <w:pStyle w:val="SingleTxtG"/>
        <w:ind w:left="3119" w:hanging="1985"/>
        <w:jc w:val="left"/>
      </w:pPr>
      <w:r w:rsidRPr="00662350">
        <w:rPr>
          <w:i/>
          <w:iCs/>
        </w:rPr>
        <w:t>Document informel</w:t>
      </w:r>
      <w:r>
        <w:rPr>
          <w:i/>
          <w:iCs/>
        </w:rPr>
        <w:t> </w:t>
      </w:r>
      <w:r w:rsidRPr="000A69DC">
        <w:rPr>
          <w:iCs/>
        </w:rPr>
        <w:t>:</w:t>
      </w:r>
      <w:r w:rsidRPr="00662350">
        <w:t xml:space="preserve"> </w:t>
      </w:r>
      <w:r w:rsidRPr="00662350">
        <w:tab/>
        <w:t>INF.7 (Ukraine)</w:t>
      </w:r>
    </w:p>
    <w:p w14:paraId="2013E24B" w14:textId="44E9470F" w:rsidR="00AE2429" w:rsidRPr="00662350" w:rsidRDefault="00A1736A" w:rsidP="00AE2429">
      <w:pPr>
        <w:pStyle w:val="SingleTxtG"/>
      </w:pPr>
      <w:r>
        <w:t>44</w:t>
      </w:r>
      <w:r w:rsidR="00AE2429" w:rsidRPr="00662350">
        <w:t>.</w:t>
      </w:r>
      <w:r w:rsidR="00AE2429" w:rsidRPr="00662350">
        <w:tab/>
        <w:t>Le représentant de l</w:t>
      </w:r>
      <w:r w:rsidR="00AE2429">
        <w:t>’</w:t>
      </w:r>
      <w:r w:rsidR="00AE2429" w:rsidRPr="00662350">
        <w:t>Ukraine n</w:t>
      </w:r>
      <w:r w:rsidR="00AE2429">
        <w:t>’</w:t>
      </w:r>
      <w:r w:rsidR="00AE2429" w:rsidRPr="00662350">
        <w:t>ayant pas assisté à la session,</w:t>
      </w:r>
      <w:r w:rsidR="00AE2429">
        <w:t xml:space="preserve"> </w:t>
      </w:r>
      <w:r w:rsidR="00AE2429" w:rsidRPr="00662350">
        <w:t>la Réunion commune a</w:t>
      </w:r>
      <w:r w:rsidR="00AE2429">
        <w:t xml:space="preserve"> </w:t>
      </w:r>
      <w:r w:rsidR="00AE2429" w:rsidRPr="00662350">
        <w:t>décidé de reporter l</w:t>
      </w:r>
      <w:r w:rsidR="00AE2429">
        <w:t>’</w:t>
      </w:r>
      <w:r w:rsidR="00AE2429" w:rsidRPr="00662350">
        <w:t>examen de cette proposition à sa session suivante, sous réserve</w:t>
      </w:r>
      <w:r w:rsidR="00AE2429">
        <w:t xml:space="preserve"> </w:t>
      </w:r>
      <w:r w:rsidR="00AE2429" w:rsidRPr="00662350">
        <w:t>qu</w:t>
      </w:r>
      <w:r w:rsidR="00AE2429">
        <w:t>’</w:t>
      </w:r>
      <w:r w:rsidR="00AE2429" w:rsidRPr="00662350">
        <w:t>elle</w:t>
      </w:r>
      <w:r w:rsidR="00AE2429">
        <w:t xml:space="preserve"> </w:t>
      </w:r>
      <w:r w:rsidR="00AE2429" w:rsidRPr="00662350">
        <w:t>soit soumise dans un document officiel.</w:t>
      </w:r>
    </w:p>
    <w:p w14:paraId="35DD2300" w14:textId="77777777" w:rsidR="00AE2429" w:rsidRPr="00662350" w:rsidRDefault="00AE2429" w:rsidP="00AE2429">
      <w:pPr>
        <w:pStyle w:val="H23G"/>
      </w:pPr>
      <w:r w:rsidRPr="00662350">
        <w:tab/>
        <w:t>9.</w:t>
      </w:r>
      <w:r w:rsidRPr="00662350">
        <w:tab/>
      </w:r>
      <w:r w:rsidRPr="008B42BE">
        <w:t xml:space="preserve">Mise à jour de la référence à la norme </w:t>
      </w:r>
      <w:r w:rsidRPr="00662350">
        <w:t xml:space="preserve">EN 12972 </w:t>
      </w:r>
      <w:r w:rsidRPr="008B42BE">
        <w:t xml:space="preserve">au paragraphe </w:t>
      </w:r>
      <w:r w:rsidRPr="00662350">
        <w:t>1.8.7.8</w:t>
      </w:r>
    </w:p>
    <w:p w14:paraId="7F9482F9" w14:textId="4457F526" w:rsidR="00AE2429" w:rsidRPr="00662350" w:rsidRDefault="00AE2429" w:rsidP="00AE2429">
      <w:pPr>
        <w:pStyle w:val="SingleTxtG"/>
        <w:ind w:left="3119" w:hanging="1985"/>
        <w:jc w:val="left"/>
      </w:pPr>
      <w:r w:rsidRPr="00662350">
        <w:rPr>
          <w:i/>
          <w:iCs/>
        </w:rPr>
        <w:t>Document informel</w:t>
      </w:r>
      <w:r>
        <w:rPr>
          <w:i/>
          <w:iCs/>
        </w:rPr>
        <w:t> </w:t>
      </w:r>
      <w:r w:rsidRPr="000A69DC">
        <w:rPr>
          <w:iCs/>
        </w:rPr>
        <w:t>:</w:t>
      </w:r>
      <w:r w:rsidRPr="00662350">
        <w:t xml:space="preserve"> </w:t>
      </w:r>
      <w:r w:rsidRPr="00662350">
        <w:tab/>
        <w:t xml:space="preserve">INF.9 (secrétariat </w:t>
      </w:r>
      <w:r>
        <w:t>de l’</w:t>
      </w:r>
      <w:r w:rsidRPr="00662350">
        <w:t>OTIF)</w:t>
      </w:r>
    </w:p>
    <w:p w14:paraId="7F7191B3" w14:textId="137A7E61" w:rsidR="00AE2429" w:rsidRPr="00662350" w:rsidRDefault="00A1736A" w:rsidP="00AE2429">
      <w:pPr>
        <w:pStyle w:val="SingleTxtG"/>
      </w:pPr>
      <w:r>
        <w:t>45</w:t>
      </w:r>
      <w:r w:rsidR="00AE2429" w:rsidRPr="00662350">
        <w:t>.</w:t>
      </w:r>
      <w:r w:rsidR="00AE2429" w:rsidRPr="00662350">
        <w:tab/>
      </w:r>
      <w:r w:rsidR="00AE2429" w:rsidRPr="00DD4AAB">
        <w:t xml:space="preserve">La Réunion commune a convenu </w:t>
      </w:r>
      <w:r w:rsidR="00AE2429">
        <w:t xml:space="preserve">qu’il était nécessaire </w:t>
      </w:r>
      <w:r w:rsidR="00AE2429" w:rsidRPr="00DD4AAB">
        <w:t xml:space="preserve">que les références </w:t>
      </w:r>
      <w:r w:rsidR="00AE2429">
        <w:t>à la norme </w:t>
      </w:r>
      <w:r w:rsidR="00AE2429" w:rsidRPr="00662350">
        <w:t xml:space="preserve">EN 12972 </w:t>
      </w:r>
      <w:r w:rsidR="00AE2429">
        <w:t xml:space="preserve">aux paragraphes </w:t>
      </w:r>
      <w:r w:rsidR="00AE2429" w:rsidRPr="00662350">
        <w:t xml:space="preserve">6.8.2.6.1 </w:t>
      </w:r>
      <w:r w:rsidR="00AE2429">
        <w:t xml:space="preserve">et </w:t>
      </w:r>
      <w:r w:rsidR="00AE2429" w:rsidRPr="00662350">
        <w:t xml:space="preserve">1.8.7.8 </w:t>
      </w:r>
      <w:r w:rsidR="00AE2429">
        <w:t xml:space="preserve">soient harmonisées et elle a adopté l’amendement proposé au </w:t>
      </w:r>
      <w:r w:rsidR="00AE2429" w:rsidRPr="00662350">
        <w:t>paragraph</w:t>
      </w:r>
      <w:r w:rsidR="00AE2429">
        <w:t>e</w:t>
      </w:r>
      <w:r w:rsidR="00AE2429" w:rsidRPr="00662350">
        <w:t xml:space="preserve"> 5 </w:t>
      </w:r>
      <w:r w:rsidR="00AE2429">
        <w:t xml:space="preserve">du </w:t>
      </w:r>
      <w:r w:rsidR="00AE2429" w:rsidRPr="00662350">
        <w:t>document (</w:t>
      </w:r>
      <w:r w:rsidR="00AE2429">
        <w:t xml:space="preserve">voir </w:t>
      </w:r>
      <w:r w:rsidR="00AE2429" w:rsidRPr="00662350">
        <w:t>anne</w:t>
      </w:r>
      <w:r w:rsidR="00AE2429">
        <w:t>x</w:t>
      </w:r>
      <w:r w:rsidR="00AE2429" w:rsidRPr="00662350">
        <w:t>e</w:t>
      </w:r>
      <w:r>
        <w:t xml:space="preserve"> II</w:t>
      </w:r>
      <w:r w:rsidR="00AE2429" w:rsidRPr="00662350">
        <w:t>).</w:t>
      </w:r>
    </w:p>
    <w:p w14:paraId="42EF7AFC" w14:textId="77777777" w:rsidR="00AE2429" w:rsidRPr="00D23515" w:rsidRDefault="00AE2429" w:rsidP="0066112C">
      <w:pPr>
        <w:pStyle w:val="H23G"/>
      </w:pPr>
      <w:r w:rsidRPr="00DD4AAB">
        <w:lastRenderedPageBreak/>
        <w:tab/>
      </w:r>
      <w:r w:rsidRPr="00662350">
        <w:t>10.</w:t>
      </w:r>
      <w:r w:rsidRPr="00662350">
        <w:tab/>
      </w:r>
      <w:r>
        <w:t>T</w:t>
      </w:r>
      <w:r w:rsidRPr="00DD4AAB">
        <w:t>ransport des matières stabilisées par régulation de température conformément</w:t>
      </w:r>
      <w:r>
        <w:br/>
        <w:t xml:space="preserve">à la section </w:t>
      </w:r>
      <w:r w:rsidRPr="00662350">
        <w:t>7.1.7</w:t>
      </w:r>
    </w:p>
    <w:p w14:paraId="784DF23B" w14:textId="5D4EFED1" w:rsidR="00AE2429" w:rsidRPr="00662350" w:rsidRDefault="00AE2429" w:rsidP="0066112C">
      <w:pPr>
        <w:pStyle w:val="SingleTxtG"/>
        <w:keepNext/>
        <w:keepLines/>
        <w:ind w:left="3119" w:hanging="1985"/>
        <w:jc w:val="left"/>
      </w:pPr>
      <w:r w:rsidRPr="005B4816">
        <w:rPr>
          <w:i/>
          <w:iCs/>
        </w:rPr>
        <w:t>Document informel</w:t>
      </w:r>
      <w:r>
        <w:rPr>
          <w:i/>
          <w:iCs/>
        </w:rPr>
        <w:t> </w:t>
      </w:r>
      <w:r w:rsidRPr="00D23515">
        <w:rPr>
          <w:iCs/>
        </w:rPr>
        <w:t>:</w:t>
      </w:r>
      <w:r w:rsidRPr="00662350">
        <w:t xml:space="preserve"> </w:t>
      </w:r>
      <w:r w:rsidRPr="00662350">
        <w:tab/>
        <w:t>INF.10 (</w:t>
      </w:r>
      <w:r w:rsidRPr="005B4816">
        <w:t>Allemagne</w:t>
      </w:r>
      <w:r w:rsidRPr="00662350">
        <w:t>)</w:t>
      </w:r>
    </w:p>
    <w:p w14:paraId="6152B5B8" w14:textId="3A927EE1" w:rsidR="00AE2429" w:rsidRPr="005B4816" w:rsidRDefault="00A1736A" w:rsidP="00AE2429">
      <w:pPr>
        <w:pStyle w:val="SingleTxtG"/>
      </w:pPr>
      <w:r>
        <w:t>46</w:t>
      </w:r>
      <w:r w:rsidR="00AE2429" w:rsidRPr="00662350">
        <w:t>.</w:t>
      </w:r>
      <w:r w:rsidR="00AE2429" w:rsidRPr="00662350">
        <w:tab/>
      </w:r>
      <w:r w:rsidR="00AE2429">
        <w:t>L’a</w:t>
      </w:r>
      <w:r w:rsidR="00AE2429" w:rsidRPr="005B4816">
        <w:t xml:space="preserve">ttribution des obligations </w:t>
      </w:r>
      <w:r w:rsidR="00AE2429">
        <w:t xml:space="preserve">contenues dans le document INF.10 a </w:t>
      </w:r>
      <w:r w:rsidR="00AE2429" w:rsidRPr="005B4816">
        <w:t>reçu un certain appui de principe</w:t>
      </w:r>
      <w:r w:rsidR="00AE2429">
        <w:t>. Une délégation a dit préférer des références moins spécifiques au mode qui puissent faciliter une mise en œuvre dans différents modes de transport.</w:t>
      </w:r>
    </w:p>
    <w:p w14:paraId="3D125073" w14:textId="211A473F" w:rsidR="00AE2429" w:rsidRPr="00662350" w:rsidRDefault="00A1736A" w:rsidP="00AE2429">
      <w:pPr>
        <w:pStyle w:val="SingleTxtG"/>
      </w:pPr>
      <w:r>
        <w:t>47</w:t>
      </w:r>
      <w:r w:rsidR="00AE2429" w:rsidRPr="00662350">
        <w:t>.</w:t>
      </w:r>
      <w:r w:rsidR="00AE2429" w:rsidRPr="00662350">
        <w:tab/>
      </w:r>
      <w:r w:rsidR="00AE2429" w:rsidRPr="005B4816">
        <w:t>La représentante de l</w:t>
      </w:r>
      <w:r w:rsidR="00AE2429">
        <w:t>’</w:t>
      </w:r>
      <w:r w:rsidR="00AE2429" w:rsidRPr="005B4816">
        <w:t>Allemagne a déclaré qu</w:t>
      </w:r>
      <w:r w:rsidR="00AE2429">
        <w:t>’</w:t>
      </w:r>
      <w:r w:rsidR="00AE2429" w:rsidRPr="005B4816">
        <w:t xml:space="preserve">elle tiendrait compte des observations </w:t>
      </w:r>
      <w:r w:rsidR="00AE2429">
        <w:t>faites et qu’elle travaillerait en collaboration avec l’industrie et d’autres parties prenantes pour réviser la proposition en la développant afin qu’elle couvre tous les scénarios possibles.</w:t>
      </w:r>
    </w:p>
    <w:p w14:paraId="02A5283E" w14:textId="77777777" w:rsidR="00AE2429" w:rsidRPr="00662350" w:rsidRDefault="00AE2429" w:rsidP="00AE2429">
      <w:pPr>
        <w:pStyle w:val="H23G"/>
      </w:pPr>
      <w:r>
        <w:tab/>
      </w:r>
      <w:r w:rsidRPr="00662350">
        <w:t>11.</w:t>
      </w:r>
      <w:r w:rsidRPr="00662350">
        <w:tab/>
        <w:t>C</w:t>
      </w:r>
      <w:r w:rsidRPr="007F554C">
        <w:t>ertificat d</w:t>
      </w:r>
      <w:r>
        <w:t>’</w:t>
      </w:r>
      <w:r w:rsidRPr="007F554C">
        <w:t>empotage du conteneur</w:t>
      </w:r>
      <w:r w:rsidRPr="00662350">
        <w:t>/v</w:t>
      </w:r>
      <w:r w:rsidRPr="007F554C">
        <w:t>é</w:t>
      </w:r>
      <w:r w:rsidRPr="00662350">
        <w:t>hic</w:t>
      </w:r>
      <w:r w:rsidRPr="007F554C">
        <w:t>u</w:t>
      </w:r>
      <w:r w:rsidRPr="00662350">
        <w:t>le</w:t>
      </w:r>
    </w:p>
    <w:p w14:paraId="15058B8C" w14:textId="082BF6A2" w:rsidR="00AE2429" w:rsidRPr="00662350" w:rsidRDefault="00AE2429" w:rsidP="00AE2429">
      <w:pPr>
        <w:pStyle w:val="SingleTxtG"/>
        <w:ind w:left="3119" w:hanging="1985"/>
        <w:jc w:val="left"/>
      </w:pPr>
      <w:r w:rsidRPr="00662350">
        <w:rPr>
          <w:i/>
          <w:iCs/>
        </w:rPr>
        <w:t>Document informel</w:t>
      </w:r>
      <w:r>
        <w:rPr>
          <w:i/>
          <w:iCs/>
        </w:rPr>
        <w:t> </w:t>
      </w:r>
      <w:r w:rsidRPr="00D23515">
        <w:rPr>
          <w:iCs/>
        </w:rPr>
        <w:t>:</w:t>
      </w:r>
      <w:r w:rsidRPr="00D23515">
        <w:t xml:space="preserve"> </w:t>
      </w:r>
      <w:r w:rsidRPr="00662350">
        <w:tab/>
        <w:t>INF.15 (Pays-Bas)</w:t>
      </w:r>
    </w:p>
    <w:p w14:paraId="10C7361B" w14:textId="601C4549" w:rsidR="00AE2429" w:rsidRPr="007F554C" w:rsidRDefault="00A1736A" w:rsidP="00AE2429">
      <w:pPr>
        <w:kinsoku/>
        <w:overflowPunct/>
        <w:autoSpaceDE/>
        <w:autoSpaceDN/>
        <w:adjustRightInd/>
        <w:snapToGrid/>
        <w:spacing w:after="120"/>
        <w:ind w:left="1134" w:right="1134"/>
        <w:jc w:val="both"/>
      </w:pPr>
      <w:r>
        <w:t>48</w:t>
      </w:r>
      <w:r w:rsidR="00AE2429" w:rsidRPr="00662350">
        <w:t>.</w:t>
      </w:r>
      <w:r w:rsidR="00AE2429" w:rsidRPr="00662350">
        <w:tab/>
      </w:r>
      <w:r w:rsidR="00AE2429" w:rsidRPr="007F554C">
        <w:t>La Réunion commune a approuvé en principe la proposition</w:t>
      </w:r>
      <w:r w:rsidR="00AE2429">
        <w:t xml:space="preserve"> des Pays-Bas de supprimer l’obligation de fournir le </w:t>
      </w:r>
      <w:r w:rsidR="00AE2429" w:rsidRPr="007F554C">
        <w:t>certificat d</w:t>
      </w:r>
      <w:r w:rsidR="00AE2429">
        <w:t>’</w:t>
      </w:r>
      <w:r w:rsidR="00AE2429" w:rsidRPr="007F554C">
        <w:t>empotage du conteneur</w:t>
      </w:r>
      <w:r w:rsidR="00AE2429">
        <w:t xml:space="preserve">/véhicule avec le document de transport durant </w:t>
      </w:r>
      <w:r w:rsidR="008F4682">
        <w:t>l’étape</w:t>
      </w:r>
      <w:r w:rsidR="00AE2429">
        <w:t xml:space="preserve"> intérieure du voyage d’un conteneur.</w:t>
      </w:r>
    </w:p>
    <w:p w14:paraId="457375C9" w14:textId="379AF416" w:rsidR="00AE2429" w:rsidRPr="007D254B" w:rsidRDefault="00A1736A" w:rsidP="00AE2429">
      <w:pPr>
        <w:kinsoku/>
        <w:overflowPunct/>
        <w:autoSpaceDE/>
        <w:autoSpaceDN/>
        <w:adjustRightInd/>
        <w:snapToGrid/>
        <w:spacing w:after="120"/>
        <w:ind w:left="1134" w:right="1134"/>
        <w:jc w:val="both"/>
      </w:pPr>
      <w:r>
        <w:t>49</w:t>
      </w:r>
      <w:r w:rsidR="00AE2429" w:rsidRPr="00662350">
        <w:t>.</w:t>
      </w:r>
      <w:r w:rsidR="00AE2429" w:rsidRPr="00662350">
        <w:tab/>
      </w:r>
      <w:r w:rsidR="00AE2429" w:rsidRPr="002E453B">
        <w:t>Le représentant des Pays-Bas a déclaré qu</w:t>
      </w:r>
      <w:r w:rsidR="00AE2429">
        <w:t>’</w:t>
      </w:r>
      <w:r w:rsidR="00AE2429" w:rsidRPr="002E453B">
        <w:t xml:space="preserve">il soumettrait une proposition officielle à la prochaine session. </w:t>
      </w:r>
    </w:p>
    <w:p w14:paraId="797A80E6" w14:textId="77777777" w:rsidR="00AE2429" w:rsidRPr="00D23515" w:rsidRDefault="00AE2429" w:rsidP="00AE2429">
      <w:pPr>
        <w:pStyle w:val="H23G"/>
      </w:pPr>
      <w:r w:rsidRPr="007D254B">
        <w:tab/>
      </w:r>
      <w:r w:rsidRPr="00D23515">
        <w:t>12.</w:t>
      </w:r>
      <w:r w:rsidRPr="00D23515">
        <w:tab/>
        <w:t>Disposition spéciale 389</w:t>
      </w:r>
    </w:p>
    <w:p w14:paraId="6BAFF26F" w14:textId="4E92BF6A" w:rsidR="00AE2429" w:rsidRPr="00662350" w:rsidRDefault="00AE2429" w:rsidP="00AE2429">
      <w:pPr>
        <w:pStyle w:val="SingleTxtG"/>
        <w:ind w:left="3119" w:hanging="1985"/>
        <w:jc w:val="left"/>
      </w:pPr>
      <w:r w:rsidRPr="00662350">
        <w:rPr>
          <w:i/>
          <w:iCs/>
        </w:rPr>
        <w:t>Document informel</w:t>
      </w:r>
      <w:r w:rsidRPr="00D23515">
        <w:rPr>
          <w:iCs/>
        </w:rPr>
        <w:t xml:space="preserve"> :</w:t>
      </w:r>
      <w:r w:rsidRPr="00662350">
        <w:t xml:space="preserve"> </w:t>
      </w:r>
      <w:r w:rsidRPr="00662350">
        <w:tab/>
        <w:t xml:space="preserve">INF.22 (secrétariat </w:t>
      </w:r>
      <w:r>
        <w:t>de l’</w:t>
      </w:r>
      <w:r w:rsidRPr="00662350">
        <w:t>OTIF)</w:t>
      </w:r>
    </w:p>
    <w:p w14:paraId="57F48854" w14:textId="6498FDAD" w:rsidR="00AE2429" w:rsidRPr="00AA20D8" w:rsidRDefault="00A1736A" w:rsidP="00AE2429">
      <w:pPr>
        <w:kinsoku/>
        <w:overflowPunct/>
        <w:autoSpaceDE/>
        <w:autoSpaceDN/>
        <w:adjustRightInd/>
        <w:snapToGrid/>
        <w:spacing w:after="120"/>
        <w:ind w:left="1134" w:right="1134"/>
        <w:jc w:val="both"/>
      </w:pPr>
      <w:r>
        <w:t>50</w:t>
      </w:r>
      <w:r w:rsidR="00AE2429" w:rsidRPr="00662350">
        <w:t>.</w:t>
      </w:r>
      <w:r w:rsidR="00AE2429" w:rsidRPr="00662350">
        <w:tab/>
      </w:r>
      <w:r w:rsidR="00AE2429" w:rsidRPr="00D16D38">
        <w:t>La Réunion commune a noté que malgré la désignation officielle de transport attribué</w:t>
      </w:r>
      <w:r w:rsidR="00AE2429">
        <w:t>e au No</w:t>
      </w:r>
      <w:r w:rsidR="00797C3E">
        <w:t>.</w:t>
      </w:r>
      <w:r w:rsidR="00AE2429">
        <w:t xml:space="preserve"> ONU 3536, les objets couverts par cette rubrique s’apparentaient davantage à des machines qu’à des </w:t>
      </w:r>
      <w:r w:rsidR="00AE2429" w:rsidRPr="00AA20D8">
        <w:t>engin</w:t>
      </w:r>
      <w:r w:rsidR="00AE2429">
        <w:t>s</w:t>
      </w:r>
      <w:r w:rsidR="00AE2429" w:rsidRPr="00AA20D8">
        <w:t xml:space="preserve"> de transport</w:t>
      </w:r>
      <w:r w:rsidR="00AE2429">
        <w:t>. Il pourrait donc être inapproprié de les assimiler à des wagons, à des véhicules ou à des conteneurs à des fins de placardage et de marquage. Certaines délégations ont estimé que le numéro ONU constituait l’information la plus précieuse à afficher car il donne des détails sur le type d’objet.</w:t>
      </w:r>
    </w:p>
    <w:p w14:paraId="5B1EF008" w14:textId="5C48C112" w:rsidR="00AE2429" w:rsidRPr="00662350" w:rsidRDefault="00A1736A" w:rsidP="00AE2429">
      <w:pPr>
        <w:kinsoku/>
        <w:overflowPunct/>
        <w:autoSpaceDE/>
        <w:autoSpaceDN/>
        <w:adjustRightInd/>
        <w:snapToGrid/>
        <w:spacing w:after="120"/>
        <w:ind w:left="1134" w:right="1134"/>
        <w:jc w:val="both"/>
      </w:pPr>
      <w:r>
        <w:t>51</w:t>
      </w:r>
      <w:r w:rsidR="00AE2429" w:rsidRPr="00662350">
        <w:t>.</w:t>
      </w:r>
      <w:r w:rsidR="00AE2429" w:rsidRPr="00662350">
        <w:tab/>
      </w:r>
      <w:r w:rsidR="00AE2429" w:rsidRPr="00C0525F">
        <w:t>A</w:t>
      </w:r>
      <w:r w:rsidR="00AE2429">
        <w:t xml:space="preserve">u terme </w:t>
      </w:r>
      <w:r w:rsidR="00AE2429" w:rsidRPr="00C0525F">
        <w:t>d</w:t>
      </w:r>
      <w:r w:rsidR="00AE2429">
        <w:t>’</w:t>
      </w:r>
      <w:r w:rsidR="00AE2429" w:rsidRPr="00C0525F">
        <w:t>un échange de vue</w:t>
      </w:r>
      <w:r w:rsidR="00AE2429">
        <w:t>s</w:t>
      </w:r>
      <w:r w:rsidR="00AE2429" w:rsidRPr="00C0525F">
        <w:t xml:space="preserve"> </w:t>
      </w:r>
      <w:r w:rsidR="00AE2429">
        <w:t xml:space="preserve">et ayant noté que le transport d’objets </w:t>
      </w:r>
      <w:r w:rsidR="00AE2429" w:rsidRPr="00C0525F">
        <w:t xml:space="preserve">portant le </w:t>
      </w:r>
      <w:r w:rsidR="00AE2429">
        <w:t>No</w:t>
      </w:r>
      <w:r w:rsidR="00797C3E">
        <w:t>.</w:t>
      </w:r>
      <w:r w:rsidR="00AE2429">
        <w:t> </w:t>
      </w:r>
      <w:r w:rsidR="00AE2429" w:rsidRPr="00C0525F">
        <w:t>ONU</w:t>
      </w:r>
      <w:r w:rsidR="00AE2429">
        <w:t> 3536 comportait souvent un segment maritime suivi ou précédé d’un parcours terrestre, l</w:t>
      </w:r>
      <w:r w:rsidR="00AE2429" w:rsidRPr="002063F0">
        <w:t>a Réunion commune a</w:t>
      </w:r>
      <w:r w:rsidR="00AE2429">
        <w:t xml:space="preserve"> considéré que cette question devait être portée à l’attention du </w:t>
      </w:r>
      <w:r w:rsidR="00AE2429" w:rsidRPr="002063F0">
        <w:t>Sous-</w:t>
      </w:r>
      <w:r w:rsidR="00AE2429">
        <w:t>C</w:t>
      </w:r>
      <w:r w:rsidR="00AE2429" w:rsidRPr="002063F0">
        <w:t>omité d</w:t>
      </w:r>
      <w:r w:rsidR="00AE2429">
        <w:t>’</w:t>
      </w:r>
      <w:r w:rsidR="00AE2429" w:rsidRPr="002063F0">
        <w:t>experts du transport des marchandises dangereuses</w:t>
      </w:r>
      <w:r w:rsidR="00AE2429">
        <w:t xml:space="preserve">. Le secrétariat de l’OTIF a été invité à soumettre un document officiel pour la prochaine session du </w:t>
      </w:r>
      <w:r w:rsidR="00AE2429" w:rsidRPr="002063F0">
        <w:t>Sous</w:t>
      </w:r>
      <w:r w:rsidR="00AE2429">
        <w:noBreakHyphen/>
        <w:t>C</w:t>
      </w:r>
      <w:r w:rsidR="00AE2429" w:rsidRPr="002063F0">
        <w:t>omité</w:t>
      </w:r>
      <w:r w:rsidR="00AE2429">
        <w:t xml:space="preserve">, sollicitant son avis sur l’interprétation des dispositions actuellement applicables au placardage et au marquage, ainsi que sur le fait de savoir si </w:t>
      </w:r>
      <w:r w:rsidR="00AE2429" w:rsidRPr="002063F0">
        <w:t xml:space="preserve">la désignation officielle de transport </w:t>
      </w:r>
      <w:r w:rsidR="00AE2429">
        <w:t>est appropriée compte tenu des caractéristiques des objets en question.</w:t>
      </w:r>
    </w:p>
    <w:p w14:paraId="4CEB43DD" w14:textId="6E23A69A" w:rsidR="00AE2429" w:rsidRPr="00662350" w:rsidRDefault="00AE2429" w:rsidP="00AE2429">
      <w:pPr>
        <w:keepNext/>
        <w:keepLines/>
        <w:tabs>
          <w:tab w:val="right" w:pos="851"/>
        </w:tabs>
        <w:kinsoku/>
        <w:overflowPunct/>
        <w:autoSpaceDE/>
        <w:autoSpaceDN/>
        <w:adjustRightInd/>
        <w:snapToGrid/>
        <w:spacing w:before="240" w:after="120" w:line="240" w:lineRule="exact"/>
        <w:ind w:left="360" w:right="1134"/>
        <w:rPr>
          <w:b/>
        </w:rPr>
      </w:pPr>
      <w:r w:rsidRPr="005E0E20">
        <w:rPr>
          <w:b/>
        </w:rPr>
        <w:tab/>
      </w:r>
      <w:r w:rsidRPr="00662350">
        <w:rPr>
          <w:b/>
        </w:rPr>
        <w:t>13.</w:t>
      </w:r>
      <w:r w:rsidRPr="00662350">
        <w:rPr>
          <w:b/>
        </w:rPr>
        <w:tab/>
      </w:r>
      <w:r w:rsidRPr="00C443F0">
        <w:rPr>
          <w:b/>
        </w:rPr>
        <w:t xml:space="preserve">Classement des objets contenant des marchandises dangereuses </w:t>
      </w:r>
      <w:r w:rsidRPr="00662350">
        <w:rPr>
          <w:b/>
        </w:rPr>
        <w:t>(</w:t>
      </w:r>
      <w:r w:rsidRPr="00A84999">
        <w:rPr>
          <w:b/>
        </w:rPr>
        <w:t>No</w:t>
      </w:r>
      <w:r w:rsidR="00797C3E">
        <w:rPr>
          <w:b/>
        </w:rPr>
        <w:t>.</w:t>
      </w:r>
      <w:r w:rsidRPr="00A84999">
        <w:rPr>
          <w:b/>
        </w:rPr>
        <w:t> </w:t>
      </w:r>
      <w:r>
        <w:rPr>
          <w:b/>
        </w:rPr>
        <w:t xml:space="preserve">ONU </w:t>
      </w:r>
      <w:r w:rsidRPr="00662350">
        <w:rPr>
          <w:b/>
        </w:rPr>
        <w:t>3363)</w:t>
      </w:r>
    </w:p>
    <w:p w14:paraId="789750C5" w14:textId="18D908BA" w:rsidR="00AE2429" w:rsidRPr="00662350" w:rsidRDefault="00AE2429" w:rsidP="00AE2429">
      <w:pPr>
        <w:pStyle w:val="SingleTxtG"/>
        <w:ind w:left="3119" w:hanging="1985"/>
        <w:jc w:val="left"/>
      </w:pPr>
      <w:r w:rsidRPr="00662350">
        <w:rPr>
          <w:i/>
          <w:iCs/>
        </w:rPr>
        <w:t>Document</w:t>
      </w:r>
      <w:r>
        <w:rPr>
          <w:i/>
          <w:iCs/>
        </w:rPr>
        <w:t> </w:t>
      </w:r>
      <w:r w:rsidRPr="000C65E1">
        <w:rPr>
          <w:iCs/>
        </w:rPr>
        <w:t>:</w:t>
      </w:r>
      <w:r w:rsidRPr="00662350">
        <w:rPr>
          <w:i/>
          <w:iCs/>
        </w:rPr>
        <w:tab/>
      </w:r>
      <w:r w:rsidRPr="00662350">
        <w:t>ECE/TRANS/WP.15/AC.1/2019/12 (S</w:t>
      </w:r>
      <w:r>
        <w:t>uisse</w:t>
      </w:r>
      <w:r w:rsidRPr="00662350">
        <w:t>)</w:t>
      </w:r>
    </w:p>
    <w:p w14:paraId="60028D73" w14:textId="5930980B" w:rsidR="00AE2429" w:rsidRPr="007D254B" w:rsidRDefault="00AE2429" w:rsidP="00AE2429">
      <w:pPr>
        <w:pStyle w:val="SingleTxtG"/>
        <w:ind w:left="3119" w:hanging="1985"/>
        <w:jc w:val="left"/>
      </w:pPr>
      <w:r w:rsidRPr="007D254B">
        <w:rPr>
          <w:i/>
          <w:iCs/>
        </w:rPr>
        <w:t xml:space="preserve">Document informel </w:t>
      </w:r>
      <w:r w:rsidRPr="000C65E1">
        <w:rPr>
          <w:iCs/>
        </w:rPr>
        <w:t>:</w:t>
      </w:r>
      <w:r w:rsidRPr="007D254B">
        <w:t xml:space="preserve"> </w:t>
      </w:r>
      <w:r w:rsidRPr="007D254B">
        <w:tab/>
        <w:t>INF.36 (</w:t>
      </w:r>
      <w:r w:rsidR="00EE5684">
        <w:t xml:space="preserve">Allemagne, </w:t>
      </w:r>
      <w:r w:rsidRPr="007D254B">
        <w:t>Suisse)</w:t>
      </w:r>
    </w:p>
    <w:p w14:paraId="5CF96698" w14:textId="662318FB" w:rsidR="00AE2429" w:rsidRPr="00662350" w:rsidRDefault="00A1736A" w:rsidP="00AE2429">
      <w:pPr>
        <w:kinsoku/>
        <w:overflowPunct/>
        <w:autoSpaceDE/>
        <w:autoSpaceDN/>
        <w:adjustRightInd/>
        <w:snapToGrid/>
        <w:spacing w:after="120"/>
        <w:ind w:left="1134" w:right="1134"/>
        <w:jc w:val="both"/>
      </w:pPr>
      <w:r>
        <w:t>52</w:t>
      </w:r>
      <w:r w:rsidR="00AE2429" w:rsidRPr="00662350">
        <w:t>.</w:t>
      </w:r>
      <w:r w:rsidR="00AE2429" w:rsidRPr="00662350">
        <w:tab/>
      </w:r>
      <w:r w:rsidR="00AE2429" w:rsidRPr="007F554C">
        <w:t xml:space="preserve">Les propositions du </w:t>
      </w:r>
      <w:r w:rsidR="00AE2429" w:rsidRPr="00662350">
        <w:t xml:space="preserve">document </w:t>
      </w:r>
      <w:r w:rsidR="00AE2429" w:rsidRPr="007F554C">
        <w:t xml:space="preserve">informel </w:t>
      </w:r>
      <w:r w:rsidR="00AE2429" w:rsidRPr="00662350">
        <w:t xml:space="preserve">INF.36 </w:t>
      </w:r>
      <w:r w:rsidR="00AE2429" w:rsidRPr="007F554C">
        <w:t>visant à modifier</w:t>
      </w:r>
      <w:r w:rsidR="00AE2429">
        <w:t xml:space="preserve"> le NOTA </w:t>
      </w:r>
      <w:r w:rsidR="00AE2429" w:rsidRPr="00C443F0">
        <w:t>sous le titre</w:t>
      </w:r>
      <w:r w:rsidR="00AE2429">
        <w:t xml:space="preserve"> de la section </w:t>
      </w:r>
      <w:r w:rsidR="00AE2429" w:rsidRPr="00662350">
        <w:t xml:space="preserve">2.1.5 </w:t>
      </w:r>
      <w:r w:rsidR="00AE2429" w:rsidRPr="00C443F0">
        <w:t>et à supprimer</w:t>
      </w:r>
      <w:r w:rsidR="00AE2429">
        <w:t xml:space="preserve"> par conséquent </w:t>
      </w:r>
      <w:r w:rsidR="00AE2429" w:rsidRPr="00C443F0">
        <w:t xml:space="preserve">le </w:t>
      </w:r>
      <w:r w:rsidR="00AE2429">
        <w:t>NOTA</w:t>
      </w:r>
      <w:r w:rsidR="00AE2429" w:rsidRPr="00C443F0">
        <w:t xml:space="preserve"> de la disposition spéciale</w:t>
      </w:r>
      <w:r w:rsidR="00AE2429">
        <w:t xml:space="preserve"> </w:t>
      </w:r>
      <w:r w:rsidR="00AE2429" w:rsidRPr="00662350">
        <w:t xml:space="preserve">301 </w:t>
      </w:r>
      <w:r w:rsidR="00AE2429" w:rsidRPr="00C443F0">
        <w:t xml:space="preserve">ont été adoptées </w:t>
      </w:r>
      <w:r w:rsidR="00AE2429" w:rsidRPr="00662350">
        <w:t>(</w:t>
      </w:r>
      <w:r w:rsidR="00AE2429">
        <w:t xml:space="preserve">voir </w:t>
      </w:r>
      <w:r w:rsidR="00AE2429" w:rsidRPr="00662350">
        <w:t>annex</w:t>
      </w:r>
      <w:r w:rsidR="00AE2429">
        <w:t>e</w:t>
      </w:r>
      <w:r>
        <w:t xml:space="preserve"> II</w:t>
      </w:r>
      <w:r w:rsidR="00AE2429" w:rsidRPr="00662350">
        <w:t>).</w:t>
      </w:r>
    </w:p>
    <w:p w14:paraId="66E1ABAF" w14:textId="77777777" w:rsidR="00AE2429" w:rsidRDefault="00AE2429" w:rsidP="00AE2429">
      <w:pPr>
        <w:pStyle w:val="H23G"/>
      </w:pPr>
      <w:r>
        <w:rPr>
          <w:lang w:val="fr-FR"/>
        </w:rPr>
        <w:tab/>
        <w:t>14.</w:t>
      </w:r>
      <w:r>
        <w:rPr>
          <w:lang w:val="fr-FR"/>
        </w:rPr>
        <w:tab/>
        <w:t>Champ d’application de la disposition spéciale 667</w:t>
      </w:r>
    </w:p>
    <w:p w14:paraId="7A8449F0" w14:textId="1438F155" w:rsidR="00AE2429" w:rsidRPr="00EE6B53" w:rsidRDefault="00AE2429" w:rsidP="00AE2429">
      <w:pPr>
        <w:pStyle w:val="SingleTxtG"/>
        <w:tabs>
          <w:tab w:val="left" w:pos="3402"/>
        </w:tabs>
        <w:rPr>
          <w:i/>
          <w:iCs/>
        </w:rPr>
      </w:pPr>
      <w:r>
        <w:rPr>
          <w:i/>
          <w:iCs/>
          <w:lang w:val="fr-FR"/>
        </w:rPr>
        <w:t>Document </w:t>
      </w:r>
      <w:r w:rsidRPr="007A5628">
        <w:rPr>
          <w:iCs/>
          <w:lang w:val="fr-FR"/>
        </w:rPr>
        <w:t>:</w:t>
      </w:r>
      <w:r>
        <w:rPr>
          <w:lang w:val="fr-FR"/>
        </w:rPr>
        <w:tab/>
        <w:t>ECE/TRANS/WP.15/AC.1/2019/11 (Suisse)</w:t>
      </w:r>
    </w:p>
    <w:p w14:paraId="40157592" w14:textId="678EF436" w:rsidR="00AE2429" w:rsidRDefault="00AE2429" w:rsidP="00AE2429">
      <w:pPr>
        <w:pStyle w:val="SingleTxtG"/>
        <w:tabs>
          <w:tab w:val="left" w:pos="3402"/>
        </w:tabs>
      </w:pPr>
      <w:r>
        <w:rPr>
          <w:i/>
          <w:iCs/>
          <w:lang w:val="fr-FR"/>
        </w:rPr>
        <w:t>Document informel </w:t>
      </w:r>
      <w:r w:rsidRPr="007A5628">
        <w:rPr>
          <w:iCs/>
          <w:lang w:val="fr-FR"/>
        </w:rPr>
        <w:t>:</w:t>
      </w:r>
      <w:r>
        <w:rPr>
          <w:lang w:val="fr-FR"/>
        </w:rPr>
        <w:tab/>
        <w:t>INF.37 (</w:t>
      </w:r>
      <w:r w:rsidR="00EE5684">
        <w:rPr>
          <w:lang w:val="fr-FR"/>
        </w:rPr>
        <w:t>Allemagne,</w:t>
      </w:r>
      <w:r>
        <w:rPr>
          <w:lang w:val="fr-FR"/>
        </w:rPr>
        <w:t xml:space="preserve"> Suisse)</w:t>
      </w:r>
    </w:p>
    <w:p w14:paraId="124C45C6" w14:textId="68251648" w:rsidR="00AE2429" w:rsidRDefault="00A1736A" w:rsidP="00AE2429">
      <w:pPr>
        <w:pStyle w:val="SingleTxtG"/>
        <w:rPr>
          <w:lang w:val="fr-FR"/>
        </w:rPr>
      </w:pPr>
      <w:r>
        <w:rPr>
          <w:lang w:val="fr-FR"/>
        </w:rPr>
        <w:t>53</w:t>
      </w:r>
      <w:r w:rsidR="00AE2429">
        <w:rPr>
          <w:lang w:val="fr-FR"/>
        </w:rPr>
        <w:t>.</w:t>
      </w:r>
      <w:r w:rsidR="00AE2429">
        <w:rPr>
          <w:lang w:val="fr-FR"/>
        </w:rPr>
        <w:tab/>
        <w:t>La proposition visant à préciser le champ d’application de la disposition spéciale 667, formulée dans le document ECE/TRANS/WP.15/AC.1/2019/11, a été adoptée telle que modifiée par le document informel INF.37 (voir annexe</w:t>
      </w:r>
      <w:r>
        <w:rPr>
          <w:lang w:val="fr-FR"/>
        </w:rPr>
        <w:t xml:space="preserve"> II</w:t>
      </w:r>
      <w:r w:rsidR="00AE2429">
        <w:rPr>
          <w:lang w:val="fr-FR"/>
        </w:rPr>
        <w:t>).</w:t>
      </w:r>
    </w:p>
    <w:p w14:paraId="131D6758" w14:textId="737F1150" w:rsidR="00AE2429" w:rsidRPr="00306EE5" w:rsidRDefault="00AE2429" w:rsidP="00AE2429">
      <w:pPr>
        <w:pStyle w:val="HChG"/>
        <w:rPr>
          <w:i/>
          <w:iCs/>
        </w:rPr>
      </w:pPr>
      <w:r>
        <w:rPr>
          <w:lang w:val="fr-FR"/>
        </w:rPr>
        <w:lastRenderedPageBreak/>
        <w:tab/>
      </w:r>
      <w:r w:rsidRPr="00306EE5">
        <w:rPr>
          <w:lang w:val="fr-FR"/>
        </w:rPr>
        <w:t>VII.</w:t>
      </w:r>
      <w:r w:rsidRPr="00306EE5">
        <w:rPr>
          <w:lang w:val="fr-FR"/>
        </w:rPr>
        <w:tab/>
        <w:t>Rapports de</w:t>
      </w:r>
      <w:r>
        <w:rPr>
          <w:lang w:val="fr-FR"/>
        </w:rPr>
        <w:t xml:space="preserve">s groupes de travail informels </w:t>
      </w:r>
      <w:r w:rsidRPr="00306EE5">
        <w:rPr>
          <w:lang w:val="fr-FR"/>
        </w:rPr>
        <w:t xml:space="preserve">(point 6 de l’ordre du jour) </w:t>
      </w:r>
    </w:p>
    <w:p w14:paraId="6A124719" w14:textId="68BB64B1" w:rsidR="00AE2429" w:rsidRPr="00306EE5" w:rsidRDefault="00AE2429" w:rsidP="00AE2429">
      <w:pPr>
        <w:pStyle w:val="H1G"/>
      </w:pPr>
      <w:r w:rsidRPr="00306EE5">
        <w:rPr>
          <w:lang w:val="fr-FR"/>
        </w:rPr>
        <w:tab/>
      </w:r>
      <w:r w:rsidR="00A1736A">
        <w:rPr>
          <w:lang w:val="fr-FR"/>
        </w:rPr>
        <w:t>A</w:t>
      </w:r>
      <w:r w:rsidRPr="00306EE5">
        <w:rPr>
          <w:lang w:val="fr-FR"/>
        </w:rPr>
        <w:t>.</w:t>
      </w:r>
      <w:r w:rsidRPr="00306EE5">
        <w:rPr>
          <w:lang w:val="fr-FR"/>
        </w:rPr>
        <w:tab/>
      </w:r>
      <w:r w:rsidRPr="008F4682">
        <w:rPr>
          <w:lang w:val="fr-FR"/>
        </w:rPr>
        <w:t xml:space="preserve">Rapport du groupe de travail informel </w:t>
      </w:r>
      <w:r w:rsidRPr="003C0D54">
        <w:rPr>
          <w:lang w:val="fr-FR"/>
        </w:rPr>
        <w:t>de la réduction du risque</w:t>
      </w:r>
      <w:r w:rsidRPr="003C0D54">
        <w:rPr>
          <w:lang w:val="fr-FR"/>
        </w:rPr>
        <w:br/>
        <w:t xml:space="preserve">de </w:t>
      </w:r>
      <w:r w:rsidRPr="008F4682">
        <w:rPr>
          <w:lang w:val="fr-FR"/>
        </w:rPr>
        <w:t>BLEVE au cours du transport de marchandises dangereuses</w:t>
      </w:r>
    </w:p>
    <w:p w14:paraId="5A3E89C2" w14:textId="7812D927" w:rsidR="00AE2429" w:rsidRPr="00306EE5" w:rsidRDefault="00AE2429" w:rsidP="00AE2429">
      <w:pPr>
        <w:pStyle w:val="SingleTxtG"/>
        <w:ind w:left="3119" w:hanging="1985"/>
        <w:jc w:val="left"/>
      </w:pPr>
      <w:r w:rsidRPr="00306EE5">
        <w:rPr>
          <w:i/>
          <w:iCs/>
          <w:lang w:val="fr-FR"/>
        </w:rPr>
        <w:t>Documents informels</w:t>
      </w:r>
      <w:r>
        <w:rPr>
          <w:i/>
          <w:iCs/>
          <w:lang w:val="fr-FR"/>
        </w:rPr>
        <w:t> </w:t>
      </w:r>
      <w:r w:rsidRPr="00F52821">
        <w:rPr>
          <w:iCs/>
          <w:lang w:val="fr-FR"/>
        </w:rPr>
        <w:t>:</w:t>
      </w:r>
      <w:r w:rsidRPr="00306EE5">
        <w:rPr>
          <w:lang w:val="fr-FR"/>
        </w:rPr>
        <w:tab/>
        <w:t>INF.8 et Add.1 à 6 (Espagne)</w:t>
      </w:r>
      <w:r>
        <w:rPr>
          <w:lang w:val="fr-FR"/>
        </w:rPr>
        <w:br/>
      </w:r>
      <w:r w:rsidRPr="00306EE5">
        <w:rPr>
          <w:lang w:val="fr-FR"/>
        </w:rPr>
        <w:t>INF.23 (Espagne</w:t>
      </w:r>
      <w:r w:rsidR="00430A4D">
        <w:rPr>
          <w:lang w:val="fr-FR"/>
        </w:rPr>
        <w:t>,</w:t>
      </w:r>
      <w:r w:rsidRPr="00306EE5">
        <w:rPr>
          <w:lang w:val="fr-FR"/>
        </w:rPr>
        <w:t xml:space="preserve"> France)</w:t>
      </w:r>
    </w:p>
    <w:p w14:paraId="2C37C519" w14:textId="134BC517" w:rsidR="00AE2429" w:rsidRPr="00306EE5" w:rsidRDefault="00A1736A" w:rsidP="00AE2429">
      <w:pPr>
        <w:pStyle w:val="SingleTxtG"/>
      </w:pPr>
      <w:r>
        <w:rPr>
          <w:lang w:val="fr-FR"/>
        </w:rPr>
        <w:t>54</w:t>
      </w:r>
      <w:r w:rsidR="00AE2429" w:rsidRPr="00306EE5">
        <w:rPr>
          <w:lang w:val="fr-FR"/>
        </w:rPr>
        <w:t>.</w:t>
      </w:r>
      <w:r w:rsidR="00AE2429" w:rsidRPr="00306EE5">
        <w:rPr>
          <w:lang w:val="fr-FR"/>
        </w:rPr>
        <w:tab/>
        <w:t>La Réunion commune a pris note du rapport et de l’état d’avancement des travaux du groupe de travail informel, ainsi que d’un exposé sur l’utilisation des alliages d’aluminium 3D décrits dans le document informel INF.23 pour protéger les citernes et les récipients remplis de liquides ou de gaz inflammables contre l’explosion. Les concepteurs de ces alliages ont été invités à communiquer au groupe de travail informel les résultats des essais et les informations relatives à la certification.</w:t>
      </w:r>
    </w:p>
    <w:p w14:paraId="72911FF4" w14:textId="7E88DC33" w:rsidR="00AE2429" w:rsidRPr="00306EE5" w:rsidRDefault="00A1736A" w:rsidP="00AE2429">
      <w:pPr>
        <w:pStyle w:val="SingleTxtG"/>
      </w:pPr>
      <w:r>
        <w:rPr>
          <w:lang w:val="fr-FR"/>
        </w:rPr>
        <w:t>55</w:t>
      </w:r>
      <w:r w:rsidR="00AE2429" w:rsidRPr="00306EE5">
        <w:rPr>
          <w:lang w:val="fr-FR"/>
        </w:rPr>
        <w:t>.</w:t>
      </w:r>
      <w:r w:rsidR="00AE2429" w:rsidRPr="00306EE5">
        <w:rPr>
          <w:lang w:val="fr-FR"/>
        </w:rPr>
        <w:tab/>
        <w:t>La Réunion commune a confié l’examen de cette technologie au groupe de travail informel de la réduction du risque de BLEVE, en lui demandant d’étudier en particulier ses caractéristiques du point de vue des améliorations sur le plan de la sécurité, des coûts, des avantages et des applications envisageables pour d’autres types de marchandises dangereuses ou d’autres situations pouvant se présenter au cours d’un transport.</w:t>
      </w:r>
    </w:p>
    <w:p w14:paraId="4483C59B" w14:textId="07D03F7B" w:rsidR="00AE2429" w:rsidRPr="00306EE5" w:rsidRDefault="00A1736A" w:rsidP="00AE2429">
      <w:pPr>
        <w:pStyle w:val="SingleTxtG"/>
      </w:pPr>
      <w:r>
        <w:rPr>
          <w:lang w:val="fr-FR"/>
        </w:rPr>
        <w:t>56</w:t>
      </w:r>
      <w:r w:rsidR="00AE2429" w:rsidRPr="00306EE5">
        <w:rPr>
          <w:lang w:val="fr-FR"/>
        </w:rPr>
        <w:t>.</w:t>
      </w:r>
      <w:r w:rsidR="00AE2429" w:rsidRPr="00306EE5">
        <w:rPr>
          <w:lang w:val="fr-FR"/>
        </w:rPr>
        <w:tab/>
        <w:t xml:space="preserve">La Réunion commune a noté que la prochaine réunion du groupe de travail informel se tiendrait à Madrid </w:t>
      </w:r>
      <w:r>
        <w:rPr>
          <w:lang w:val="fr-FR"/>
        </w:rPr>
        <w:t>du 22 au 24 octobre 2019</w:t>
      </w:r>
      <w:r w:rsidR="00AE2429" w:rsidRPr="00306EE5">
        <w:rPr>
          <w:lang w:val="fr-FR"/>
        </w:rPr>
        <w:t>.</w:t>
      </w:r>
    </w:p>
    <w:p w14:paraId="0E40AFCA" w14:textId="5B2002AF" w:rsidR="00AE2429" w:rsidRPr="00306EE5" w:rsidRDefault="00AE2429" w:rsidP="00144D89">
      <w:pPr>
        <w:pStyle w:val="H1G"/>
      </w:pPr>
      <w:r w:rsidRPr="00306EE5">
        <w:rPr>
          <w:lang w:val="fr-FR"/>
        </w:rPr>
        <w:tab/>
      </w:r>
      <w:r w:rsidR="00A1736A">
        <w:rPr>
          <w:lang w:val="fr-FR"/>
        </w:rPr>
        <w:t>B</w:t>
      </w:r>
      <w:r w:rsidRPr="00306EE5">
        <w:rPr>
          <w:lang w:val="fr-FR"/>
        </w:rPr>
        <w:t>.</w:t>
      </w:r>
      <w:r w:rsidRPr="00306EE5">
        <w:rPr>
          <w:lang w:val="fr-FR"/>
        </w:rPr>
        <w:tab/>
        <w:t>Groupe de travail informel de la télématique</w:t>
      </w:r>
    </w:p>
    <w:p w14:paraId="62A4A21C" w14:textId="77777777" w:rsidR="00AE2429" w:rsidRPr="00306EE5" w:rsidRDefault="00AE2429" w:rsidP="00AE2429">
      <w:pPr>
        <w:pStyle w:val="SingleTxtG"/>
        <w:ind w:left="3119" w:hanging="1985"/>
        <w:jc w:val="left"/>
      </w:pPr>
      <w:r w:rsidRPr="00306EE5">
        <w:rPr>
          <w:i/>
          <w:iCs/>
          <w:lang w:val="fr-FR"/>
        </w:rPr>
        <w:t>Document</w:t>
      </w:r>
      <w:r>
        <w:rPr>
          <w:i/>
          <w:iCs/>
          <w:lang w:val="fr-FR"/>
        </w:rPr>
        <w:t> </w:t>
      </w:r>
      <w:r w:rsidRPr="00F52821">
        <w:rPr>
          <w:iCs/>
          <w:lang w:val="fr-FR"/>
        </w:rPr>
        <w:t>:</w:t>
      </w:r>
      <w:r w:rsidRPr="00306EE5">
        <w:rPr>
          <w:lang w:val="fr-FR"/>
        </w:rPr>
        <w:tab/>
        <w:t>ECE/TR</w:t>
      </w:r>
      <w:r>
        <w:rPr>
          <w:lang w:val="fr-FR"/>
        </w:rPr>
        <w:t>ANS/WP.15/AC.1/2019/21 (France)</w:t>
      </w:r>
    </w:p>
    <w:p w14:paraId="60EC022F" w14:textId="723BAD81" w:rsidR="00AE2429" w:rsidRPr="00306EE5" w:rsidRDefault="00AE2429" w:rsidP="00AE2429">
      <w:pPr>
        <w:pStyle w:val="SingleTxtG"/>
        <w:ind w:left="3119" w:hanging="1985"/>
        <w:jc w:val="left"/>
      </w:pPr>
      <w:r w:rsidRPr="00306EE5">
        <w:rPr>
          <w:i/>
          <w:iCs/>
          <w:lang w:val="fr-FR"/>
        </w:rPr>
        <w:t>Documents informels</w:t>
      </w:r>
      <w:r>
        <w:rPr>
          <w:i/>
          <w:iCs/>
          <w:lang w:val="fr-FR"/>
        </w:rPr>
        <w:t> </w:t>
      </w:r>
      <w:r w:rsidRPr="00F52821">
        <w:rPr>
          <w:iCs/>
          <w:lang w:val="fr-FR"/>
        </w:rPr>
        <w:t>:</w:t>
      </w:r>
      <w:r>
        <w:rPr>
          <w:lang w:val="fr-FR"/>
        </w:rPr>
        <w:tab/>
      </w:r>
      <w:r w:rsidRPr="00306EE5">
        <w:rPr>
          <w:lang w:val="fr-FR"/>
        </w:rPr>
        <w:t>INF.3 et INF.4 (France)</w:t>
      </w:r>
      <w:r>
        <w:rPr>
          <w:lang w:val="fr-FR"/>
        </w:rPr>
        <w:br/>
      </w:r>
      <w:r w:rsidRPr="00306EE5">
        <w:rPr>
          <w:lang w:val="fr-FR"/>
        </w:rPr>
        <w:t>INF.18 (Pays-Bas)</w:t>
      </w:r>
      <w:r>
        <w:rPr>
          <w:lang w:val="fr-FR"/>
        </w:rPr>
        <w:br/>
      </w:r>
      <w:r w:rsidRPr="00306EE5">
        <w:rPr>
          <w:lang w:val="fr-FR"/>
        </w:rPr>
        <w:t>INF.32 (France)</w:t>
      </w:r>
    </w:p>
    <w:p w14:paraId="591CA222" w14:textId="7613EBD5" w:rsidR="00AE2429" w:rsidRPr="00306EE5" w:rsidRDefault="00A1736A" w:rsidP="00AE2429">
      <w:pPr>
        <w:pStyle w:val="SingleTxtG"/>
      </w:pPr>
      <w:r>
        <w:rPr>
          <w:lang w:val="fr-FR"/>
        </w:rPr>
        <w:t>57</w:t>
      </w:r>
      <w:r w:rsidR="00AE2429" w:rsidRPr="00306EE5">
        <w:rPr>
          <w:lang w:val="fr-FR"/>
        </w:rPr>
        <w:t>.</w:t>
      </w:r>
      <w:r w:rsidR="00AE2429" w:rsidRPr="00306EE5">
        <w:rPr>
          <w:lang w:val="fr-FR"/>
        </w:rPr>
        <w:tab/>
        <w:t>La Réunion commune a pris note des résultats des travaux du groupe de travail informel et de sa recommandation visant à transformer le mémorandum d’accord précédemment approuvé en lignes directrices pour l’application du paragraphe 5.4.0.2 du RID/ADR/ADN afin de faciliter la mise en œuvre des dispositions. Les lignes directrices, ainsi que la liste des Parties contractantes qui les appliquent et toute autre information pertinente approuvée par la Réunion commune, seraient mises à disposition sur les sites Web des secrétariats de la CEE et de l’OTIF.</w:t>
      </w:r>
    </w:p>
    <w:p w14:paraId="3A84E31F" w14:textId="537D17EB" w:rsidR="00AE2429" w:rsidRPr="00306EE5" w:rsidRDefault="00A1736A" w:rsidP="00AE2429">
      <w:pPr>
        <w:pStyle w:val="SingleTxtG"/>
      </w:pPr>
      <w:r>
        <w:rPr>
          <w:lang w:val="fr-FR"/>
        </w:rPr>
        <w:t>58</w:t>
      </w:r>
      <w:r w:rsidR="00AE2429" w:rsidRPr="00306EE5">
        <w:rPr>
          <w:lang w:val="fr-FR"/>
        </w:rPr>
        <w:t>.</w:t>
      </w:r>
      <w:r w:rsidR="00AE2429" w:rsidRPr="00306EE5">
        <w:rPr>
          <w:lang w:val="fr-FR"/>
        </w:rPr>
        <w:tab/>
        <w:t xml:space="preserve">Les participants à la Réunion commune ont appuyé les prochaines étapes proposées par le groupe de travail informel. Il a toutefois été noté que des travaux supplémentaires devraient être menés pour remanier et simplifier la section 2 du document </w:t>
      </w:r>
      <w:r w:rsidR="00E13D28">
        <w:rPr>
          <w:lang w:val="fr-FR"/>
        </w:rPr>
        <w:br/>
      </w:r>
      <w:r w:rsidR="00AE2429" w:rsidRPr="00306EE5">
        <w:rPr>
          <w:lang w:val="fr-FR"/>
        </w:rPr>
        <w:t>ECE/TRANS/</w:t>
      </w:r>
      <w:r w:rsidR="00AE2429">
        <w:rPr>
          <w:lang w:val="fr-FR"/>
        </w:rPr>
        <w:t xml:space="preserve"> </w:t>
      </w:r>
      <w:r w:rsidR="00AE2429" w:rsidRPr="00306EE5">
        <w:rPr>
          <w:lang w:val="fr-FR"/>
        </w:rPr>
        <w:t>WP.15/AC.1/2019/21. Les délégations intéressées ont été invitées à communiquer leurs observations par écrit au représentant de la France, de sorte qu’elles puissent être incorporées à une version révisée du document à soumettre au groupe de travail informel à sa prochaine réunion, qu</w:t>
      </w:r>
      <w:r w:rsidR="00AE2429">
        <w:rPr>
          <w:lang w:val="fr-FR"/>
        </w:rPr>
        <w:t xml:space="preserve">i se tiendra à </w:t>
      </w:r>
      <w:proofErr w:type="spellStart"/>
      <w:r w:rsidR="00EE5684">
        <w:rPr>
          <w:lang w:val="fr-FR"/>
        </w:rPr>
        <w:t>Tegernsee</w:t>
      </w:r>
      <w:proofErr w:type="spellEnd"/>
      <w:r w:rsidR="00EE5684">
        <w:rPr>
          <w:lang w:val="fr-FR"/>
        </w:rPr>
        <w:t xml:space="preserve"> les 6 et</w:t>
      </w:r>
      <w:r w:rsidR="00AE2429">
        <w:rPr>
          <w:lang w:val="fr-FR"/>
        </w:rPr>
        <w:t xml:space="preserve"> 7 </w:t>
      </w:r>
      <w:r w:rsidR="00AE2429" w:rsidRPr="00306EE5">
        <w:rPr>
          <w:lang w:val="fr-FR"/>
        </w:rPr>
        <w:t>juin 2019</w:t>
      </w:r>
      <w:r w:rsidR="00707AAA">
        <w:rPr>
          <w:lang w:val="fr-FR"/>
        </w:rPr>
        <w:t>, précédée par un atelier qui aura lieu à Munich pendant l’édition 2019 du Salon du transport et de la logistique</w:t>
      </w:r>
      <w:r w:rsidR="00707AAA" w:rsidRPr="003837A7">
        <w:rPr>
          <w:rStyle w:val="FootnoteReference"/>
          <w:sz w:val="20"/>
        </w:rPr>
        <w:footnoteReference w:id="5"/>
      </w:r>
      <w:r w:rsidR="00AE2429" w:rsidRPr="00306EE5">
        <w:rPr>
          <w:lang w:val="fr-FR"/>
        </w:rPr>
        <w:t>. Le groupe de travail informel rendra compte des résultats de ces travaux à la session d’automne 2019 de la Réunion commune.</w:t>
      </w:r>
    </w:p>
    <w:p w14:paraId="1709DDE7" w14:textId="3E540089" w:rsidR="00AE2429" w:rsidRDefault="00A1736A" w:rsidP="00AE2429">
      <w:pPr>
        <w:pStyle w:val="SingleTxtG"/>
        <w:rPr>
          <w:lang w:val="fr-FR"/>
        </w:rPr>
      </w:pPr>
      <w:r>
        <w:rPr>
          <w:lang w:val="fr-FR"/>
        </w:rPr>
        <w:t>59</w:t>
      </w:r>
      <w:r w:rsidR="00AE2429" w:rsidRPr="00306EE5">
        <w:rPr>
          <w:lang w:val="fr-FR"/>
        </w:rPr>
        <w:t>.</w:t>
      </w:r>
      <w:r w:rsidR="00AE2429" w:rsidRPr="00306EE5">
        <w:rPr>
          <w:lang w:val="fr-FR"/>
        </w:rPr>
        <w:tab/>
        <w:t>La Réunion commune a également pris note des travaux en cours au niveau de l’Union européenne en vue de l’élaboration d’un règlement portant sur les informations électroniques relatives aux transports de marchandises (</w:t>
      </w:r>
      <w:proofErr w:type="spellStart"/>
      <w:r w:rsidR="00AE2429" w:rsidRPr="00306EE5">
        <w:rPr>
          <w:lang w:val="fr-FR"/>
        </w:rPr>
        <w:t>eFTI</w:t>
      </w:r>
      <w:proofErr w:type="spellEnd"/>
      <w:r w:rsidR="00AE2429" w:rsidRPr="00306EE5">
        <w:rPr>
          <w:lang w:val="fr-FR"/>
        </w:rPr>
        <w:t xml:space="preserve">). </w:t>
      </w:r>
      <w:r w:rsidR="00707AAA">
        <w:rPr>
          <w:lang w:val="fr-FR"/>
        </w:rPr>
        <w:t>Il a été constaté</w:t>
      </w:r>
      <w:r w:rsidR="00AE2429" w:rsidRPr="00306EE5">
        <w:rPr>
          <w:lang w:val="fr-FR"/>
        </w:rPr>
        <w:t xml:space="preserve"> qu’après l’adoption de ce règlement il pourrait être nécessaire de réexaminer les lignes directrices afin de s’assurer qu’elles ne sont pas en conflit avec </w:t>
      </w:r>
      <w:r w:rsidR="00707AAA">
        <w:rPr>
          <w:lang w:val="fr-FR"/>
        </w:rPr>
        <w:t xml:space="preserve">son </w:t>
      </w:r>
      <w:r w:rsidR="00AE2429" w:rsidRPr="00306EE5">
        <w:rPr>
          <w:lang w:val="fr-FR"/>
        </w:rPr>
        <w:t>cadre réglementaire</w:t>
      </w:r>
      <w:r w:rsidR="00707AAA">
        <w:rPr>
          <w:lang w:val="fr-FR"/>
        </w:rPr>
        <w:t>.</w:t>
      </w:r>
      <w:r w:rsidR="00707AAA" w:rsidRPr="00707AAA">
        <w:t xml:space="preserve"> </w:t>
      </w:r>
      <w:r w:rsidR="00707AAA" w:rsidRPr="00707AAA">
        <w:rPr>
          <w:lang w:val="fr-FR"/>
        </w:rPr>
        <w:t xml:space="preserve">La compatibilité avec </w:t>
      </w:r>
      <w:r w:rsidR="00707AAA">
        <w:rPr>
          <w:lang w:val="fr-FR"/>
        </w:rPr>
        <w:t>d’</w:t>
      </w:r>
      <w:r w:rsidR="00707AAA" w:rsidRPr="00707AAA">
        <w:rPr>
          <w:lang w:val="fr-FR"/>
        </w:rPr>
        <w:t xml:space="preserve">autres </w:t>
      </w:r>
      <w:r w:rsidR="00707AAA" w:rsidRPr="00707AAA">
        <w:rPr>
          <w:lang w:val="fr-FR"/>
        </w:rPr>
        <w:lastRenderedPageBreak/>
        <w:t xml:space="preserve">systèmes et dispositions légales applicables </w:t>
      </w:r>
      <w:r w:rsidR="00E13D28">
        <w:rPr>
          <w:lang w:val="fr-FR"/>
        </w:rPr>
        <w:t>devrait</w:t>
      </w:r>
      <w:r w:rsidR="00707AAA" w:rsidRPr="00707AAA">
        <w:rPr>
          <w:lang w:val="fr-FR"/>
        </w:rPr>
        <w:t xml:space="preserve"> également être vérifiée</w:t>
      </w:r>
      <w:r w:rsidR="00707AAA">
        <w:rPr>
          <w:lang w:val="fr-FR"/>
        </w:rPr>
        <w:t>.</w:t>
      </w:r>
      <w:r w:rsidR="00AE2429" w:rsidRPr="00306EE5">
        <w:rPr>
          <w:lang w:val="fr-FR"/>
        </w:rPr>
        <w:t xml:space="preserve"> </w:t>
      </w:r>
      <w:r w:rsidR="00707AAA">
        <w:rPr>
          <w:lang w:val="fr-FR"/>
        </w:rPr>
        <w:t>L</w:t>
      </w:r>
      <w:r w:rsidR="00707AAA" w:rsidRPr="00306EE5">
        <w:rPr>
          <w:lang w:val="fr-FR"/>
        </w:rPr>
        <w:t xml:space="preserve">a </w:t>
      </w:r>
      <w:r w:rsidR="00AE2429" w:rsidRPr="00306EE5">
        <w:rPr>
          <w:lang w:val="fr-FR"/>
        </w:rPr>
        <w:t xml:space="preserve">Réunion commune a estimé que le groupe de travail informel devrait s’efforcer d’établir </w:t>
      </w:r>
      <w:r w:rsidR="00707AAA">
        <w:rPr>
          <w:lang w:val="fr-FR"/>
        </w:rPr>
        <w:t xml:space="preserve">les lignes directrices </w:t>
      </w:r>
      <w:r w:rsidR="00AE2429" w:rsidRPr="00306EE5">
        <w:rPr>
          <w:lang w:val="fr-FR"/>
        </w:rPr>
        <w:t>sous leur forme définitive avant la fin de 2019.</w:t>
      </w:r>
    </w:p>
    <w:p w14:paraId="70929EE3" w14:textId="77777777" w:rsidR="00AE2429" w:rsidRPr="00FE09C7" w:rsidRDefault="00AE2429" w:rsidP="00AE2429">
      <w:pPr>
        <w:pStyle w:val="H1G"/>
      </w:pPr>
      <w:r>
        <w:rPr>
          <w:lang w:val="fr-FR"/>
        </w:rPr>
        <w:tab/>
      </w:r>
      <w:r w:rsidRPr="00FE09C7">
        <w:rPr>
          <w:lang w:val="fr-FR"/>
        </w:rPr>
        <w:t>C.</w:t>
      </w:r>
      <w:r w:rsidRPr="00FE09C7">
        <w:rPr>
          <w:lang w:val="fr-FR"/>
        </w:rPr>
        <w:tab/>
        <w:t xml:space="preserve">Transport de récipients à pression agréés par le Département </w:t>
      </w:r>
      <w:r>
        <w:rPr>
          <w:lang w:val="fr-FR"/>
        </w:rPr>
        <w:br/>
      </w:r>
      <w:r w:rsidRPr="00FE09C7">
        <w:rPr>
          <w:lang w:val="fr-FR"/>
        </w:rPr>
        <w:t>des transports des États-Unis d’Amérique</w:t>
      </w:r>
    </w:p>
    <w:p w14:paraId="43E65E9B" w14:textId="77777777" w:rsidR="00AE2429" w:rsidRPr="00FE09C7" w:rsidRDefault="00AE2429" w:rsidP="00AE2429">
      <w:pPr>
        <w:pStyle w:val="SingleTxtG"/>
        <w:ind w:left="3119" w:hanging="1985"/>
      </w:pPr>
      <w:r w:rsidRPr="00FE09C7">
        <w:rPr>
          <w:i/>
          <w:iCs/>
          <w:lang w:val="fr-FR"/>
        </w:rPr>
        <w:t>Document</w:t>
      </w:r>
      <w:r>
        <w:rPr>
          <w:i/>
          <w:iCs/>
          <w:lang w:val="fr-FR"/>
        </w:rPr>
        <w:t> </w:t>
      </w:r>
      <w:r w:rsidRPr="00C04038">
        <w:rPr>
          <w:iCs/>
          <w:lang w:val="fr-FR"/>
        </w:rPr>
        <w:t>:</w:t>
      </w:r>
      <w:r w:rsidRPr="00FE09C7">
        <w:rPr>
          <w:lang w:val="fr-FR"/>
        </w:rPr>
        <w:tab/>
        <w:t>ECE/TRANS/WP.15/AC.1/2019/14 (EIGA)</w:t>
      </w:r>
    </w:p>
    <w:p w14:paraId="77C828C3" w14:textId="37A55672" w:rsidR="00AE2429" w:rsidRPr="00FE09C7" w:rsidRDefault="00AE2429" w:rsidP="00AE2429">
      <w:pPr>
        <w:pStyle w:val="SingleTxtG"/>
        <w:ind w:left="3119" w:hanging="1985"/>
      </w:pPr>
      <w:r w:rsidRPr="00FE09C7">
        <w:rPr>
          <w:i/>
          <w:iCs/>
          <w:lang w:val="fr-FR"/>
        </w:rPr>
        <w:t>Documents informels</w:t>
      </w:r>
      <w:r>
        <w:rPr>
          <w:i/>
          <w:iCs/>
          <w:lang w:val="fr-FR"/>
        </w:rPr>
        <w:t> </w:t>
      </w:r>
      <w:r w:rsidRPr="00C04038">
        <w:rPr>
          <w:iCs/>
          <w:lang w:val="fr-FR"/>
        </w:rPr>
        <w:t>:</w:t>
      </w:r>
      <w:r w:rsidRPr="00FE09C7">
        <w:rPr>
          <w:lang w:val="fr-FR"/>
        </w:rPr>
        <w:tab/>
        <w:t>INF.38 et INF.38/Rev.1 (Royaume-Uni)</w:t>
      </w:r>
    </w:p>
    <w:p w14:paraId="54D0B37B" w14:textId="5026BAA6" w:rsidR="00AE2429" w:rsidRPr="00FE09C7" w:rsidRDefault="00A1736A" w:rsidP="00AE2429">
      <w:pPr>
        <w:pStyle w:val="SingleTxtG"/>
      </w:pPr>
      <w:r>
        <w:rPr>
          <w:lang w:val="fr-FR"/>
        </w:rPr>
        <w:t>60</w:t>
      </w:r>
      <w:r w:rsidR="00AE2429" w:rsidRPr="00FE09C7">
        <w:rPr>
          <w:lang w:val="fr-FR"/>
        </w:rPr>
        <w:t>.</w:t>
      </w:r>
      <w:r w:rsidR="00AE2429" w:rsidRPr="00FE09C7">
        <w:rPr>
          <w:lang w:val="fr-FR"/>
        </w:rPr>
        <w:tab/>
        <w:t xml:space="preserve">À la suite d’un échange de vues, la Réunion commune a </w:t>
      </w:r>
      <w:r w:rsidR="00916967">
        <w:rPr>
          <w:lang w:val="fr-FR"/>
        </w:rPr>
        <w:t>pris note</w:t>
      </w:r>
      <w:r w:rsidR="00916967" w:rsidRPr="00FE09C7">
        <w:rPr>
          <w:lang w:val="fr-FR"/>
        </w:rPr>
        <w:t xml:space="preserve"> </w:t>
      </w:r>
      <w:r w:rsidR="00E13D28">
        <w:rPr>
          <w:lang w:val="fr-FR"/>
        </w:rPr>
        <w:t xml:space="preserve">de </w:t>
      </w:r>
      <w:r w:rsidR="00AE2429" w:rsidRPr="00FE09C7">
        <w:rPr>
          <w:lang w:val="fr-FR"/>
        </w:rPr>
        <w:t>la proposition formulée dans le document informel INF.38/Rev.1, relative à un accord multilatéral portant sur le transport de gaz de la classe 2 dans des récipients à pression rechargeables agréés par le Département des transports des États-Unis d’Amérique. Il a été noté que le Royaume-Uni avait l’intention de proposer cet accord et que celui-ci remplacerait l’accord M299 (lequel expire le 1</w:t>
      </w:r>
      <w:r w:rsidR="00AE2429" w:rsidRPr="005A3DD3">
        <w:rPr>
          <w:vertAlign w:val="superscript"/>
          <w:lang w:val="fr-FR"/>
        </w:rPr>
        <w:t>er</w:t>
      </w:r>
      <w:r w:rsidR="00AE2429">
        <w:rPr>
          <w:lang w:val="fr-FR"/>
        </w:rPr>
        <w:t xml:space="preserve"> </w:t>
      </w:r>
      <w:r w:rsidR="00AE2429" w:rsidRPr="00FE09C7">
        <w:rPr>
          <w:lang w:val="fr-FR"/>
        </w:rPr>
        <w:t>juin 2019).</w:t>
      </w:r>
    </w:p>
    <w:p w14:paraId="65824C39" w14:textId="77777777" w:rsidR="00AE2429" w:rsidRPr="00155C77" w:rsidRDefault="00AE2429" w:rsidP="00AE2429">
      <w:pPr>
        <w:pStyle w:val="HChG"/>
      </w:pPr>
      <w:r>
        <w:rPr>
          <w:lang w:val="fr-FR"/>
        </w:rPr>
        <w:tab/>
      </w:r>
      <w:r w:rsidRPr="00155C77">
        <w:rPr>
          <w:lang w:val="fr-FR"/>
        </w:rPr>
        <w:t>VIII.</w:t>
      </w:r>
      <w:r w:rsidRPr="00155C77">
        <w:rPr>
          <w:lang w:val="fr-FR"/>
        </w:rPr>
        <w:tab/>
        <w:t>Accidents et gestion des risques (point 7 de l’ordre du jour)</w:t>
      </w:r>
    </w:p>
    <w:p w14:paraId="52B31F0B" w14:textId="232BA811" w:rsidR="00AE2429" w:rsidRPr="00155C77" w:rsidRDefault="00A1736A" w:rsidP="00AE2429">
      <w:pPr>
        <w:pStyle w:val="SingleTxtG"/>
      </w:pPr>
      <w:r>
        <w:rPr>
          <w:lang w:val="fr-FR"/>
        </w:rPr>
        <w:t>61</w:t>
      </w:r>
      <w:r w:rsidR="00AE2429" w:rsidRPr="00155C77">
        <w:rPr>
          <w:lang w:val="fr-FR"/>
        </w:rPr>
        <w:t>.</w:t>
      </w:r>
      <w:r w:rsidR="00AE2429" w:rsidRPr="00155C77">
        <w:rPr>
          <w:lang w:val="fr-FR"/>
        </w:rPr>
        <w:tab/>
        <w:t xml:space="preserve">La Réunion commune a été informée que la première réunion du groupe de travail informel de l’amélioration du rapport d’accident dirigé par la France était provisoirement prévue </w:t>
      </w:r>
      <w:r w:rsidR="00F720CD">
        <w:rPr>
          <w:lang w:val="fr-FR"/>
        </w:rPr>
        <w:t>les</w:t>
      </w:r>
      <w:r w:rsidR="00F720CD" w:rsidRPr="00155C77">
        <w:rPr>
          <w:lang w:val="fr-FR"/>
        </w:rPr>
        <w:t xml:space="preserve"> </w:t>
      </w:r>
      <w:r w:rsidR="00AE2429" w:rsidRPr="00155C77">
        <w:rPr>
          <w:lang w:val="fr-FR"/>
        </w:rPr>
        <w:t xml:space="preserve">19 </w:t>
      </w:r>
      <w:r w:rsidR="00F720CD">
        <w:rPr>
          <w:lang w:val="fr-FR"/>
        </w:rPr>
        <w:t xml:space="preserve">et 20 </w:t>
      </w:r>
      <w:r w:rsidR="00AE2429" w:rsidRPr="00155C77">
        <w:rPr>
          <w:lang w:val="fr-FR"/>
        </w:rPr>
        <w:t>juin 2019 à La Haye</w:t>
      </w:r>
      <w:r w:rsidR="00AE2429" w:rsidRPr="003837A7">
        <w:rPr>
          <w:rStyle w:val="FootnoteReference"/>
          <w:sz w:val="20"/>
        </w:rPr>
        <w:footnoteReference w:id="6"/>
      </w:r>
      <w:r w:rsidR="00AE2429" w:rsidRPr="00155C77">
        <w:rPr>
          <w:lang w:val="fr-FR"/>
        </w:rPr>
        <w:t xml:space="preserve">. Cette réunion se tiendra immédiatement après la cinquième réunion de l’EUDG (Expert </w:t>
      </w:r>
      <w:proofErr w:type="spellStart"/>
      <w:r w:rsidR="00AE2429" w:rsidRPr="00155C77">
        <w:rPr>
          <w:lang w:val="fr-FR"/>
        </w:rPr>
        <w:t>Users</w:t>
      </w:r>
      <w:proofErr w:type="spellEnd"/>
      <w:r w:rsidR="00AE2429" w:rsidRPr="00155C77">
        <w:rPr>
          <w:lang w:val="fr-FR"/>
        </w:rPr>
        <w:t xml:space="preserve"> and </w:t>
      </w:r>
      <w:proofErr w:type="spellStart"/>
      <w:r w:rsidR="00AE2429" w:rsidRPr="00155C77">
        <w:rPr>
          <w:lang w:val="fr-FR"/>
        </w:rPr>
        <w:t>Development</w:t>
      </w:r>
      <w:proofErr w:type="spellEnd"/>
      <w:r w:rsidR="00AE2429" w:rsidRPr="00155C77">
        <w:rPr>
          <w:lang w:val="fr-FR"/>
        </w:rPr>
        <w:t xml:space="preserve"> Group) prévue les 17 et 18</w:t>
      </w:r>
      <w:r w:rsidR="00AE2429">
        <w:rPr>
          <w:lang w:val="fr-FR"/>
        </w:rPr>
        <w:t> </w:t>
      </w:r>
      <w:r w:rsidR="00AE2429" w:rsidRPr="00155C77">
        <w:rPr>
          <w:lang w:val="fr-FR"/>
        </w:rPr>
        <w:t xml:space="preserve">juin. </w:t>
      </w:r>
    </w:p>
    <w:p w14:paraId="3CBAB7E5" w14:textId="5CDB49C0" w:rsidR="00AE2429" w:rsidRPr="00155C77" w:rsidRDefault="00A1736A" w:rsidP="00AE2429">
      <w:pPr>
        <w:pStyle w:val="SingleTxtG"/>
      </w:pPr>
      <w:r>
        <w:rPr>
          <w:lang w:val="fr-FR"/>
        </w:rPr>
        <w:t>62</w:t>
      </w:r>
      <w:r w:rsidR="00AE2429" w:rsidRPr="00155C77">
        <w:rPr>
          <w:lang w:val="fr-FR"/>
        </w:rPr>
        <w:t>.</w:t>
      </w:r>
      <w:r w:rsidR="00AE2429" w:rsidRPr="00155C77">
        <w:rPr>
          <w:lang w:val="fr-FR"/>
        </w:rPr>
        <w:tab/>
        <w:t>Le représentant de l’ERA a dit que les guides visant à faciliter l’utilisation du cadre technique harmonisé concernant le transport des marchandises dangereuses pour le transport intérieur élaborés par l’Agence et par la Commission européenne étaient disponibles sur le site Web de l’ERA</w:t>
      </w:r>
      <w:r w:rsidR="00AE2429" w:rsidRPr="003837A7">
        <w:rPr>
          <w:rStyle w:val="FootnoteReference"/>
          <w:sz w:val="20"/>
        </w:rPr>
        <w:footnoteReference w:id="7"/>
      </w:r>
      <w:r w:rsidR="00AE2429" w:rsidRPr="00155C77">
        <w:rPr>
          <w:lang w:val="fr-FR"/>
        </w:rPr>
        <w:t xml:space="preserve">. Il s’agit notamment d’un guide cadre, d’un guide sur l’évaluation du risque, d’un guide pour la prise de décisions et d’un glossaire. </w:t>
      </w:r>
    </w:p>
    <w:p w14:paraId="622DB04B" w14:textId="63A91FB8" w:rsidR="00AE2429" w:rsidRDefault="00A1736A" w:rsidP="00AE2429">
      <w:pPr>
        <w:pStyle w:val="SingleTxtG"/>
        <w:rPr>
          <w:lang w:val="fr-FR"/>
        </w:rPr>
      </w:pPr>
      <w:r>
        <w:rPr>
          <w:lang w:val="fr-FR"/>
        </w:rPr>
        <w:t>63</w:t>
      </w:r>
      <w:r w:rsidR="00AE2429" w:rsidRPr="00155C77">
        <w:rPr>
          <w:lang w:val="fr-FR"/>
        </w:rPr>
        <w:t>.</w:t>
      </w:r>
      <w:r w:rsidR="00AE2429" w:rsidRPr="00155C77">
        <w:rPr>
          <w:lang w:val="fr-FR"/>
        </w:rPr>
        <w:tab/>
        <w:t>La sixième réunion de l’EUDG se tiendra à Berlin les 30 et 31</w:t>
      </w:r>
      <w:r w:rsidR="00AE2429">
        <w:rPr>
          <w:lang w:val="fr-FR"/>
        </w:rPr>
        <w:t> </w:t>
      </w:r>
      <w:r w:rsidR="00AE2429" w:rsidRPr="00155C77">
        <w:rPr>
          <w:lang w:val="fr-FR"/>
        </w:rPr>
        <w:t>octobre. Elle sera précédée, le 29 octobre, d’un atelier sur la diffusion des guides.</w:t>
      </w:r>
    </w:p>
    <w:p w14:paraId="0DD120DD" w14:textId="77777777" w:rsidR="00AE2429" w:rsidRPr="00FE09C7" w:rsidRDefault="00AE2429" w:rsidP="00AE2429">
      <w:pPr>
        <w:pStyle w:val="HChG"/>
      </w:pPr>
      <w:r w:rsidRPr="00FE09C7">
        <w:rPr>
          <w:lang w:val="fr-FR"/>
        </w:rPr>
        <w:tab/>
        <w:t>IX.</w:t>
      </w:r>
      <w:r w:rsidRPr="00FE09C7">
        <w:rPr>
          <w:lang w:val="fr-FR"/>
        </w:rPr>
        <w:tab/>
        <w:t>Travaux futurs (point 8 de l’ordre du jour)</w:t>
      </w:r>
    </w:p>
    <w:p w14:paraId="2AE67C2D" w14:textId="6A32AEEE" w:rsidR="00AE2429" w:rsidRPr="00FE09C7" w:rsidRDefault="00F720CD" w:rsidP="00AE2429">
      <w:pPr>
        <w:pStyle w:val="SingleTxtG"/>
      </w:pPr>
      <w:r>
        <w:rPr>
          <w:lang w:val="fr-FR"/>
        </w:rPr>
        <w:t>64</w:t>
      </w:r>
      <w:r w:rsidR="00AE2429" w:rsidRPr="00FE09C7">
        <w:rPr>
          <w:lang w:val="fr-FR"/>
        </w:rPr>
        <w:t>.</w:t>
      </w:r>
      <w:r w:rsidR="00AE2429" w:rsidRPr="00FE09C7">
        <w:rPr>
          <w:lang w:val="fr-FR"/>
        </w:rPr>
        <w:tab/>
        <w:t>La Réunion commune a été informée que sa prochaine session se tiendrait à Genève du 17 au 27 septembre 2019 et que la date limite de soumission des documents était fixée au 21</w:t>
      </w:r>
      <w:r w:rsidR="00AE2429">
        <w:rPr>
          <w:lang w:val="fr-FR"/>
        </w:rPr>
        <w:t> </w:t>
      </w:r>
      <w:r w:rsidR="00AE2429" w:rsidRPr="00FE09C7">
        <w:rPr>
          <w:lang w:val="fr-FR"/>
        </w:rPr>
        <w:t>juin 2019. Il a également été noté que le Groupe de travail des citernes se réunirait du 17 au 19</w:t>
      </w:r>
      <w:r w:rsidR="00AE2429">
        <w:rPr>
          <w:lang w:val="fr-FR"/>
        </w:rPr>
        <w:t> </w:t>
      </w:r>
      <w:r w:rsidR="00AE2429" w:rsidRPr="00FE09C7">
        <w:rPr>
          <w:lang w:val="fr-FR"/>
        </w:rPr>
        <w:t>septembre 2019 et que le Groupe de travail des normes se réunirait pendant les pauses déjeuner du 17 au 20</w:t>
      </w:r>
      <w:r w:rsidR="00AE2429">
        <w:rPr>
          <w:lang w:val="fr-FR"/>
        </w:rPr>
        <w:t> </w:t>
      </w:r>
      <w:r w:rsidR="00AE2429" w:rsidRPr="00FE09C7">
        <w:rPr>
          <w:lang w:val="fr-FR"/>
        </w:rPr>
        <w:t>septembre 2019.</w:t>
      </w:r>
    </w:p>
    <w:p w14:paraId="6736A589" w14:textId="77777777" w:rsidR="00AE2429" w:rsidRPr="00FE09C7" w:rsidRDefault="00AE2429" w:rsidP="00AE2429">
      <w:pPr>
        <w:pStyle w:val="HChG"/>
      </w:pPr>
      <w:r w:rsidRPr="00FE09C7">
        <w:rPr>
          <w:lang w:val="fr-FR"/>
        </w:rPr>
        <w:tab/>
        <w:t>X.</w:t>
      </w:r>
      <w:r w:rsidRPr="00FE09C7">
        <w:rPr>
          <w:lang w:val="fr-FR"/>
        </w:rPr>
        <w:tab/>
        <w:t>Questions diverses (point 9 de l’ordre du jour)</w:t>
      </w:r>
    </w:p>
    <w:p w14:paraId="367954C8" w14:textId="356DDF8A" w:rsidR="00AE2429" w:rsidRPr="00FE09C7" w:rsidRDefault="00F720CD" w:rsidP="00AE2429">
      <w:pPr>
        <w:pStyle w:val="SingleTxtG"/>
      </w:pPr>
      <w:r>
        <w:rPr>
          <w:lang w:val="fr-FR"/>
        </w:rPr>
        <w:t>65</w:t>
      </w:r>
      <w:r w:rsidR="00AE2429" w:rsidRPr="00FE09C7">
        <w:rPr>
          <w:lang w:val="fr-FR"/>
        </w:rPr>
        <w:t>.</w:t>
      </w:r>
      <w:r w:rsidR="00AE2429" w:rsidRPr="00FE09C7">
        <w:rPr>
          <w:lang w:val="fr-FR"/>
        </w:rPr>
        <w:tab/>
        <w:t>Aucun document n’ayant été soumis au titre de ce point de l’ordre du jour, aucun échange de vues n’a eu lieu.</w:t>
      </w:r>
    </w:p>
    <w:p w14:paraId="67B65897" w14:textId="77777777" w:rsidR="00AE2429" w:rsidRPr="00FE09C7" w:rsidRDefault="00AE2429" w:rsidP="00AE2429">
      <w:pPr>
        <w:pStyle w:val="HChG"/>
      </w:pPr>
      <w:r w:rsidRPr="00FE09C7">
        <w:rPr>
          <w:lang w:val="fr-FR"/>
        </w:rPr>
        <w:tab/>
        <w:t>XI.</w:t>
      </w:r>
      <w:r w:rsidRPr="00FE09C7">
        <w:rPr>
          <w:lang w:val="fr-FR"/>
        </w:rPr>
        <w:tab/>
        <w:t xml:space="preserve">Adoption du rapport (point 10 de l’ordre du jour) </w:t>
      </w:r>
    </w:p>
    <w:p w14:paraId="754ECE86" w14:textId="06219ADE" w:rsidR="00F720CD" w:rsidRDefault="00F720CD" w:rsidP="00797C3E">
      <w:pPr>
        <w:pStyle w:val="SingleTxtG"/>
      </w:pPr>
      <w:r>
        <w:rPr>
          <w:lang w:val="fr-FR"/>
        </w:rPr>
        <w:t>66</w:t>
      </w:r>
      <w:r w:rsidR="00AE2429" w:rsidRPr="00FE09C7">
        <w:rPr>
          <w:lang w:val="fr-FR"/>
        </w:rPr>
        <w:t>.</w:t>
      </w:r>
      <w:r w:rsidR="00AE2429" w:rsidRPr="00FE09C7">
        <w:rPr>
          <w:lang w:val="fr-FR"/>
        </w:rPr>
        <w:tab/>
        <w:t>La Réunion commune a adopté le rapport de sa session de printemps 2019 et ses annexes sur la base d’un projet établi par le secrétariat.</w:t>
      </w:r>
      <w:r>
        <w:br w:type="page"/>
      </w:r>
    </w:p>
    <w:p w14:paraId="6B55E9C1" w14:textId="77777777" w:rsidR="00F720CD" w:rsidRDefault="00F720CD" w:rsidP="00797C3E">
      <w:pPr>
        <w:pStyle w:val="HChG"/>
      </w:pPr>
      <w:r>
        <w:lastRenderedPageBreak/>
        <w:tab/>
      </w:r>
      <w:r>
        <w:tab/>
        <w:t xml:space="preserve">Annexe I </w:t>
      </w:r>
    </w:p>
    <w:p w14:paraId="59F593B6" w14:textId="77777777" w:rsidR="00F720CD" w:rsidRDefault="00F720CD" w:rsidP="00797C3E">
      <w:pPr>
        <w:pStyle w:val="HChG"/>
      </w:pPr>
      <w:r>
        <w:tab/>
      </w:r>
      <w:r>
        <w:tab/>
        <w:t xml:space="preserve">Rapport du Groupe de travail des citernes </w:t>
      </w:r>
    </w:p>
    <w:p w14:paraId="3D309E09" w14:textId="77777777" w:rsidR="00896BBA" w:rsidRDefault="00F720CD" w:rsidP="00F720CD">
      <w:pPr>
        <w:ind w:left="567" w:firstLine="567"/>
      </w:pPr>
      <w:r>
        <w:t>(</w:t>
      </w:r>
      <w:proofErr w:type="gramStart"/>
      <w:r>
        <w:t>voir</w:t>
      </w:r>
      <w:proofErr w:type="gramEnd"/>
      <w:r>
        <w:t xml:space="preserve"> ECE/TRANS/WP.15/AC.1/15</w:t>
      </w:r>
      <w:r w:rsidR="001651F7">
        <w:t>4</w:t>
      </w:r>
      <w:r>
        <w:t>/Add.1)</w:t>
      </w:r>
    </w:p>
    <w:p w14:paraId="0D2B8ED9" w14:textId="77777777" w:rsidR="00F720CD" w:rsidRDefault="00F720CD">
      <w:pPr>
        <w:suppressAutoHyphens w:val="0"/>
        <w:kinsoku/>
        <w:overflowPunct/>
        <w:autoSpaceDE/>
        <w:autoSpaceDN/>
        <w:adjustRightInd/>
        <w:snapToGrid/>
        <w:spacing w:after="200" w:line="276" w:lineRule="auto"/>
      </w:pPr>
      <w:r>
        <w:br w:type="page"/>
      </w:r>
    </w:p>
    <w:p w14:paraId="5B13CA8F" w14:textId="77777777" w:rsidR="00F720CD" w:rsidRDefault="00F720CD" w:rsidP="00797C3E">
      <w:pPr>
        <w:pStyle w:val="HChG"/>
      </w:pPr>
      <w:r>
        <w:lastRenderedPageBreak/>
        <w:tab/>
      </w:r>
      <w:r>
        <w:tab/>
        <w:t>Annexe II</w:t>
      </w:r>
    </w:p>
    <w:p w14:paraId="214EC4D7" w14:textId="77777777" w:rsidR="00F720CD" w:rsidRDefault="00F720CD" w:rsidP="00F720CD">
      <w:pPr>
        <w:pStyle w:val="HChG"/>
      </w:pPr>
      <w:r>
        <w:tab/>
      </w:r>
      <w:r>
        <w:tab/>
        <w:t xml:space="preserve">Projet d’amendements au RID, à l’ADR et à l’ADN pour </w:t>
      </w:r>
      <w:proofErr w:type="spellStart"/>
      <w:r>
        <w:t>entrée</w:t>
      </w:r>
      <w:proofErr w:type="spellEnd"/>
      <w:r>
        <w:t xml:space="preserve"> en vigueur le 1er janvier 2021</w:t>
      </w:r>
    </w:p>
    <w:p w14:paraId="65E22D5E" w14:textId="77777777" w:rsidR="00BB2D95" w:rsidRPr="004E6437" w:rsidRDefault="00BB2D95" w:rsidP="001651F7">
      <w:pPr>
        <w:pStyle w:val="H1G"/>
      </w:pPr>
      <w:r>
        <w:tab/>
      </w:r>
      <w:r>
        <w:tab/>
      </w:r>
      <w:r w:rsidRPr="004E6437">
        <w:t xml:space="preserve">Chapitre </w:t>
      </w:r>
      <w:r>
        <w:t>1</w:t>
      </w:r>
      <w:r w:rsidRPr="004E6437">
        <w:t>.</w:t>
      </w:r>
      <w:r>
        <w:t>8</w:t>
      </w:r>
    </w:p>
    <w:p w14:paraId="30F35102" w14:textId="77777777" w:rsidR="00BB2D95" w:rsidRPr="001632D5" w:rsidRDefault="00BB2D95" w:rsidP="001632D5">
      <w:pPr>
        <w:pStyle w:val="SingleTxtG"/>
        <w:tabs>
          <w:tab w:val="left" w:pos="2268"/>
        </w:tabs>
        <w:ind w:left="2268" w:hanging="1134"/>
      </w:pPr>
      <w:r w:rsidRPr="001632D5">
        <w:t>1.8.7.8</w:t>
      </w:r>
      <w:r w:rsidRPr="001632D5">
        <w:tab/>
        <w:t>Dans le tableau, dans la deuxième colonne (« Références »), remplacer « EN </w:t>
      </w:r>
      <w:proofErr w:type="gramStart"/>
      <w:r w:rsidRPr="001632D5">
        <w:t>12972:</w:t>
      </w:r>
      <w:proofErr w:type="gramEnd"/>
      <w:r w:rsidRPr="001632D5">
        <w:t>2007 » par :</w:t>
      </w:r>
      <w:r w:rsidR="001651F7" w:rsidRPr="001632D5">
        <w:t xml:space="preserve"> </w:t>
      </w:r>
      <w:r w:rsidRPr="001632D5">
        <w:t>« EN 12972:2018 ».</w:t>
      </w:r>
    </w:p>
    <w:p w14:paraId="017775C0" w14:textId="77777777" w:rsidR="00BB2D95" w:rsidRPr="001632D5" w:rsidRDefault="001632D5" w:rsidP="001632D5">
      <w:pPr>
        <w:pStyle w:val="SingleTxtG"/>
        <w:tabs>
          <w:tab w:val="left" w:pos="2268"/>
        </w:tabs>
        <w:ind w:left="2268" w:hanging="1134"/>
        <w:rPr>
          <w:i/>
          <w:iCs/>
        </w:rPr>
      </w:pPr>
      <w:r>
        <w:tab/>
      </w:r>
      <w:r w:rsidR="00BB2D95" w:rsidRPr="001632D5">
        <w:rPr>
          <w:i/>
          <w:iCs/>
        </w:rPr>
        <w:t>(Document de référence : document informel INF.9)</w:t>
      </w:r>
    </w:p>
    <w:p w14:paraId="5EECE6D1" w14:textId="77777777" w:rsidR="00BB2D95" w:rsidRDefault="00BB2D95" w:rsidP="001651F7">
      <w:pPr>
        <w:pStyle w:val="H1G"/>
      </w:pPr>
      <w:r>
        <w:tab/>
      </w:r>
      <w:r>
        <w:tab/>
        <w:t>Chapitre 2.1</w:t>
      </w:r>
    </w:p>
    <w:p w14:paraId="415FD63D" w14:textId="77777777" w:rsidR="00BB2D95" w:rsidRDefault="00BB2D95" w:rsidP="00BB2D95">
      <w:pPr>
        <w:pStyle w:val="SingleTxtG"/>
        <w:spacing w:before="120" w:line="240" w:lineRule="auto"/>
        <w:ind w:left="2259" w:hanging="1125"/>
        <w:jc w:val="left"/>
      </w:pPr>
      <w:r w:rsidRPr="001651F7">
        <w:rPr>
          <w:bCs/>
        </w:rPr>
        <w:t>2.1.5</w:t>
      </w:r>
      <w:r w:rsidRPr="001651F7">
        <w:rPr>
          <w:bCs/>
        </w:rPr>
        <w:tab/>
      </w:r>
      <w:r>
        <w:t>Modifier le Nota pour lire comme suit :</w:t>
      </w:r>
    </w:p>
    <w:p w14:paraId="14AAC033" w14:textId="77777777" w:rsidR="00BB2D95" w:rsidRPr="001651F7" w:rsidRDefault="00BB2D95" w:rsidP="001651F7">
      <w:pPr>
        <w:pStyle w:val="SingleTxtG"/>
        <w:ind w:left="2268"/>
      </w:pPr>
      <w:r w:rsidRPr="001651F7">
        <w:t>« </w:t>
      </w:r>
      <w:r w:rsidRPr="001651F7">
        <w:rPr>
          <w:b/>
          <w:bCs/>
          <w:i/>
          <w:iCs/>
        </w:rPr>
        <w:t>NOTA</w:t>
      </w:r>
      <w:r w:rsidR="001651F7" w:rsidRPr="001651F7">
        <w:rPr>
          <w:b/>
          <w:bCs/>
          <w:i/>
          <w:iCs/>
        </w:rPr>
        <w:t> :</w:t>
      </w:r>
      <w:r w:rsidR="001651F7" w:rsidRPr="001651F7">
        <w:rPr>
          <w:i/>
          <w:iCs/>
        </w:rPr>
        <w:t xml:space="preserve"> </w:t>
      </w:r>
      <w:r w:rsidRPr="001651F7">
        <w:rPr>
          <w:i/>
          <w:iCs/>
        </w:rPr>
        <w:t>Pour les objets qui n’ont pas de désignation officielle de transport et qui contiennent seulement des marchandises dangereuses en quantités ne dépassant pas celles fixées à la colonne (7a) du tableau A du chapitre 3.2, le No ONU 3363 et les dispositions spéciales 301 et 672 du chapitre 3.3 peuvent être appliqués.</w:t>
      </w:r>
      <w:r w:rsidRPr="001651F7">
        <w:t> ».</w:t>
      </w:r>
    </w:p>
    <w:p w14:paraId="759C166D" w14:textId="77777777" w:rsidR="00BB2D95" w:rsidRPr="004F7A0A" w:rsidRDefault="00BB2D95" w:rsidP="00BB2D95">
      <w:pPr>
        <w:pStyle w:val="SingleTxtG"/>
        <w:spacing w:before="120" w:line="240" w:lineRule="auto"/>
        <w:ind w:left="2268"/>
        <w:jc w:val="left"/>
      </w:pPr>
      <w:r w:rsidRPr="00DC6778">
        <w:rPr>
          <w:i/>
          <w:iCs/>
          <w:lang w:val="fr-FR"/>
        </w:rPr>
        <w:t>(</w:t>
      </w:r>
      <w:r w:rsidRPr="00DC6778">
        <w:rPr>
          <w:i/>
        </w:rPr>
        <w:t xml:space="preserve">Document </w:t>
      </w:r>
      <w:r w:rsidRPr="00DC6778">
        <w:rPr>
          <w:i/>
          <w:iCs/>
          <w:lang w:val="fr-FR"/>
        </w:rPr>
        <w:t>de référence</w:t>
      </w:r>
      <w:r>
        <w:rPr>
          <w:i/>
          <w:iCs/>
          <w:lang w:val="fr-FR"/>
        </w:rPr>
        <w:t> </w:t>
      </w:r>
      <w:r w:rsidRPr="00DC6778">
        <w:rPr>
          <w:i/>
          <w:iCs/>
          <w:lang w:val="fr-FR"/>
        </w:rPr>
        <w:t xml:space="preserve">: document </w:t>
      </w:r>
      <w:r>
        <w:rPr>
          <w:i/>
          <w:iCs/>
          <w:lang w:val="fr-FR"/>
        </w:rPr>
        <w:t>ECE/TRANS/WP.15/AC.1/2019/12 tel que modifié par le document informel INF.36)</w:t>
      </w:r>
    </w:p>
    <w:p w14:paraId="001552C1" w14:textId="77777777" w:rsidR="00B975C2" w:rsidRPr="001632D5" w:rsidRDefault="00BB2D95" w:rsidP="001632D5">
      <w:pPr>
        <w:pStyle w:val="H1G"/>
      </w:pPr>
      <w:r w:rsidRPr="001632D5">
        <w:tab/>
      </w:r>
      <w:r w:rsidRPr="001632D5">
        <w:tab/>
      </w:r>
      <w:r w:rsidR="00B975C2" w:rsidRPr="001632D5">
        <w:t>Chapitre 2.2</w:t>
      </w:r>
    </w:p>
    <w:p w14:paraId="4D147308" w14:textId="77777777" w:rsidR="00B975C2" w:rsidRDefault="00B975C2" w:rsidP="00B975C2">
      <w:pPr>
        <w:pStyle w:val="SingleTxtG"/>
        <w:spacing w:before="120" w:line="240" w:lineRule="auto"/>
        <w:ind w:left="2259" w:hanging="1125"/>
        <w:jc w:val="left"/>
      </w:pPr>
      <w:r w:rsidRPr="001632D5">
        <w:rPr>
          <w:bCs/>
        </w:rPr>
        <w:t>2.2.2.3</w:t>
      </w:r>
      <w:r>
        <w:rPr>
          <w:b/>
        </w:rPr>
        <w:tab/>
      </w:r>
      <w:r>
        <w:rPr>
          <w:b/>
        </w:rPr>
        <w:tab/>
      </w:r>
      <w:r w:rsidRPr="00C36D09">
        <w:t>Dans le tableau, pour « </w:t>
      </w:r>
      <w:r w:rsidRPr="00654EB4">
        <w:t>Gaz liquéfiés</w:t>
      </w:r>
      <w:r w:rsidRPr="00C36D09">
        <w:t xml:space="preserve"> », pour le code </w:t>
      </w:r>
      <w:r>
        <w:t xml:space="preserve">de classification </w:t>
      </w:r>
      <w:r w:rsidRPr="00C36D09">
        <w:t>« </w:t>
      </w:r>
      <w:r>
        <w:t>2 </w:t>
      </w:r>
      <w:r w:rsidRPr="00C36D09">
        <w:t xml:space="preserve">F », </w:t>
      </w:r>
      <w:r>
        <w:t>modifier le nom et la description du No ONU 1010 pour lire comme suit :</w:t>
      </w:r>
    </w:p>
    <w:p w14:paraId="248DC73C" w14:textId="77777777" w:rsidR="00B975C2" w:rsidRDefault="00B975C2" w:rsidP="00B975C2">
      <w:pPr>
        <w:pStyle w:val="SingleTxtG"/>
        <w:spacing w:before="120" w:line="240" w:lineRule="auto"/>
        <w:ind w:left="2268"/>
        <w:jc w:val="left"/>
        <w:rPr>
          <w:b/>
        </w:rPr>
      </w:pPr>
      <w:r>
        <w:rPr>
          <w:b/>
        </w:rPr>
        <w:t>« </w:t>
      </w:r>
      <w:r w:rsidRPr="002B2103">
        <w:rPr>
          <w:iCs/>
        </w:rPr>
        <w:t xml:space="preserve">BUTADIÈNES STABILISÉS ou BUTADIÈNES ET HYDROCARBURES EN MÉLANGE </w:t>
      </w:r>
      <w:r>
        <w:rPr>
          <w:iCs/>
        </w:rPr>
        <w:t>STABILISÉ, contenant plus de 40 % de butadiènes </w:t>
      </w:r>
      <w:r w:rsidRPr="002B2103">
        <w:t>».</w:t>
      </w:r>
    </w:p>
    <w:p w14:paraId="6E211B4A" w14:textId="77777777" w:rsidR="00B975C2" w:rsidRPr="00654EB4" w:rsidRDefault="00B975C2" w:rsidP="00B975C2">
      <w:pPr>
        <w:pStyle w:val="SingleTxtG"/>
        <w:spacing w:before="120" w:line="240" w:lineRule="auto"/>
        <w:ind w:left="2268"/>
        <w:jc w:val="left"/>
      </w:pPr>
      <w:r>
        <w:rPr>
          <w:iCs/>
          <w:lang w:val="fr-FR"/>
        </w:rPr>
        <w:t>Le Nota reste inchangé.</w:t>
      </w:r>
    </w:p>
    <w:p w14:paraId="0720E590" w14:textId="77777777" w:rsidR="00B975C2" w:rsidRDefault="00B975C2" w:rsidP="00B975C2">
      <w:pPr>
        <w:pStyle w:val="SingleTxtG"/>
        <w:spacing w:before="120" w:line="240" w:lineRule="auto"/>
        <w:ind w:left="2268"/>
        <w:jc w:val="left"/>
        <w:rPr>
          <w:i/>
          <w:iCs/>
          <w:lang w:val="fr-FR"/>
        </w:rPr>
      </w:pPr>
      <w:r w:rsidRPr="00DC6778">
        <w:rPr>
          <w:i/>
          <w:iCs/>
          <w:lang w:val="fr-FR"/>
        </w:rPr>
        <w:t>(</w:t>
      </w:r>
      <w:r w:rsidRPr="00DC6778">
        <w:rPr>
          <w:i/>
        </w:rPr>
        <w:t xml:space="preserve">Document </w:t>
      </w:r>
      <w:r w:rsidRPr="00DC6778">
        <w:rPr>
          <w:i/>
          <w:iCs/>
          <w:lang w:val="fr-FR"/>
        </w:rPr>
        <w:t>de référence</w:t>
      </w:r>
      <w:r>
        <w:rPr>
          <w:i/>
          <w:iCs/>
          <w:lang w:val="fr-FR"/>
        </w:rPr>
        <w:t> </w:t>
      </w:r>
      <w:r w:rsidRPr="00DC6778">
        <w:rPr>
          <w:i/>
          <w:iCs/>
          <w:lang w:val="fr-FR"/>
        </w:rPr>
        <w:t xml:space="preserve">: document </w:t>
      </w:r>
      <w:r>
        <w:rPr>
          <w:i/>
          <w:iCs/>
          <w:lang w:val="fr-FR"/>
        </w:rPr>
        <w:t>ECE/TRANS/WP.15/AC.1/2019/16</w:t>
      </w:r>
      <w:r w:rsidRPr="00DC6778">
        <w:rPr>
          <w:i/>
          <w:iCs/>
          <w:lang w:val="fr-FR"/>
        </w:rPr>
        <w:t>)</w:t>
      </w:r>
    </w:p>
    <w:p w14:paraId="14138C93" w14:textId="77777777" w:rsidR="00B975C2" w:rsidRPr="001632D5" w:rsidRDefault="00B975C2" w:rsidP="001632D5">
      <w:pPr>
        <w:pStyle w:val="H1G"/>
      </w:pPr>
      <w:r w:rsidRPr="001632D5">
        <w:tab/>
      </w:r>
      <w:r w:rsidRPr="001632D5">
        <w:tab/>
        <w:t>Chapitre 3.2</w:t>
      </w:r>
    </w:p>
    <w:p w14:paraId="4D048CEA" w14:textId="77777777" w:rsidR="00B975C2" w:rsidRDefault="001632D5" w:rsidP="001632D5">
      <w:pPr>
        <w:pStyle w:val="H23G"/>
      </w:pPr>
      <w:r>
        <w:tab/>
      </w:r>
      <w:r>
        <w:tab/>
      </w:r>
      <w:r w:rsidR="00B975C2" w:rsidRPr="00780E8D">
        <w:t>Tableau A</w:t>
      </w:r>
    </w:p>
    <w:p w14:paraId="429EB89C" w14:textId="77777777" w:rsidR="00B975C2" w:rsidRDefault="00BB2D95" w:rsidP="00BB2D95">
      <w:pPr>
        <w:pStyle w:val="SingleTxtG"/>
        <w:spacing w:before="120" w:line="240" w:lineRule="auto"/>
        <w:ind w:left="2552" w:hanging="1418"/>
        <w:jc w:val="left"/>
      </w:pPr>
      <w:r w:rsidRPr="001632D5">
        <w:rPr>
          <w:bCs/>
        </w:rPr>
        <w:t>No.</w:t>
      </w:r>
      <w:r w:rsidR="001632D5" w:rsidRPr="001632D5">
        <w:rPr>
          <w:bCs/>
        </w:rPr>
        <w:t xml:space="preserve"> </w:t>
      </w:r>
      <w:r w:rsidRPr="001632D5">
        <w:rPr>
          <w:bCs/>
        </w:rPr>
        <w:t>ONU</w:t>
      </w:r>
      <w:r w:rsidR="00B975C2" w:rsidRPr="001632D5">
        <w:rPr>
          <w:bCs/>
        </w:rPr>
        <w:t> 1010</w:t>
      </w:r>
      <w:r w:rsidR="00B975C2" w:rsidRPr="001632D5">
        <w:rPr>
          <w:bCs/>
        </w:rPr>
        <w:tab/>
      </w:r>
      <w:r w:rsidR="00B975C2">
        <w:t>Modifier le nom et la description en colonne (2) pour lire comme suit :</w:t>
      </w:r>
    </w:p>
    <w:p w14:paraId="5E1D1D13" w14:textId="77777777" w:rsidR="00B975C2" w:rsidRPr="00797C3E" w:rsidRDefault="00B975C2" w:rsidP="00797C3E">
      <w:pPr>
        <w:pStyle w:val="SingleTxtG"/>
        <w:ind w:left="2268"/>
      </w:pPr>
      <w:r w:rsidRPr="00797C3E">
        <w:t>« BUTADIÈNES STABILISÉS ou BUTADIÈNES ET HYDROCARBURES EN MÉLANGE STABILISÉ, contenant plus de 40 % de butadiènes ».</w:t>
      </w:r>
    </w:p>
    <w:p w14:paraId="1DF14B07" w14:textId="77777777" w:rsidR="00B975C2" w:rsidRDefault="00B975C2" w:rsidP="001632D5">
      <w:pPr>
        <w:pStyle w:val="SingleTxtG"/>
        <w:spacing w:before="120" w:line="240" w:lineRule="auto"/>
        <w:ind w:left="2552" w:right="0"/>
        <w:jc w:val="left"/>
        <w:rPr>
          <w:i/>
          <w:iCs/>
          <w:lang w:val="fr-FR"/>
        </w:rPr>
      </w:pPr>
      <w:r w:rsidRPr="00DC6778">
        <w:rPr>
          <w:i/>
          <w:iCs/>
          <w:lang w:val="fr-FR"/>
        </w:rPr>
        <w:t>(</w:t>
      </w:r>
      <w:r w:rsidRPr="00DC6778">
        <w:rPr>
          <w:i/>
        </w:rPr>
        <w:t xml:space="preserve">Document </w:t>
      </w:r>
      <w:r w:rsidRPr="00DC6778">
        <w:rPr>
          <w:i/>
          <w:iCs/>
          <w:lang w:val="fr-FR"/>
        </w:rPr>
        <w:t>de référence</w:t>
      </w:r>
      <w:r>
        <w:rPr>
          <w:i/>
          <w:iCs/>
          <w:lang w:val="fr-FR"/>
        </w:rPr>
        <w:t> </w:t>
      </w:r>
      <w:r w:rsidRPr="00DC6778">
        <w:rPr>
          <w:i/>
          <w:iCs/>
          <w:lang w:val="fr-FR"/>
        </w:rPr>
        <w:t xml:space="preserve">: document </w:t>
      </w:r>
      <w:r>
        <w:rPr>
          <w:i/>
          <w:iCs/>
          <w:lang w:val="fr-FR"/>
        </w:rPr>
        <w:t>ECE/TRANS/WP.15/AC.1/2019/16</w:t>
      </w:r>
      <w:r w:rsidRPr="00DC6778">
        <w:rPr>
          <w:i/>
          <w:iCs/>
          <w:lang w:val="fr-FR"/>
        </w:rPr>
        <w:t>)</w:t>
      </w:r>
    </w:p>
    <w:p w14:paraId="4CD81F50" w14:textId="62AD3FFD" w:rsidR="00BB2D95" w:rsidRPr="00ED3614" w:rsidRDefault="00BB2D95" w:rsidP="001632D5">
      <w:pPr>
        <w:pStyle w:val="SingleTxtG"/>
        <w:spacing w:before="120" w:line="240" w:lineRule="auto"/>
        <w:ind w:left="2552" w:hanging="1418"/>
        <w:jc w:val="left"/>
        <w:rPr>
          <w:iCs/>
        </w:rPr>
      </w:pPr>
      <w:r w:rsidRPr="001632D5">
        <w:rPr>
          <w:iCs/>
        </w:rPr>
        <w:t>Nos</w:t>
      </w:r>
      <w:r w:rsidR="001632D5" w:rsidRPr="001632D5">
        <w:rPr>
          <w:iCs/>
        </w:rPr>
        <w:t>.</w:t>
      </w:r>
      <w:r w:rsidRPr="001632D5">
        <w:rPr>
          <w:iCs/>
        </w:rPr>
        <w:t xml:space="preserve"> ONU 3537 à 3548</w:t>
      </w:r>
      <w:r w:rsidRPr="001632D5">
        <w:rPr>
          <w:iCs/>
        </w:rPr>
        <w:tab/>
      </w:r>
      <w:r>
        <w:rPr>
          <w:iCs/>
        </w:rPr>
        <w:t>Supprimer « 667 » en colonne (6).</w:t>
      </w:r>
    </w:p>
    <w:p w14:paraId="1A361CC0" w14:textId="77777777" w:rsidR="00BB2D95" w:rsidRDefault="00BB2D95" w:rsidP="001632D5">
      <w:pPr>
        <w:pStyle w:val="SingleTxtG"/>
        <w:spacing w:before="120" w:line="240" w:lineRule="auto"/>
        <w:ind w:left="2552"/>
        <w:jc w:val="left"/>
        <w:rPr>
          <w:i/>
          <w:iCs/>
          <w:lang w:val="fr-FR"/>
        </w:rPr>
      </w:pPr>
      <w:r w:rsidRPr="00DC6778">
        <w:rPr>
          <w:i/>
          <w:iCs/>
          <w:lang w:val="fr-FR"/>
        </w:rPr>
        <w:t>(</w:t>
      </w:r>
      <w:r w:rsidRPr="00DC6778">
        <w:rPr>
          <w:i/>
        </w:rPr>
        <w:t xml:space="preserve">Document </w:t>
      </w:r>
      <w:r w:rsidRPr="00DC6778">
        <w:rPr>
          <w:i/>
          <w:iCs/>
          <w:lang w:val="fr-FR"/>
        </w:rPr>
        <w:t>de référence</w:t>
      </w:r>
      <w:r>
        <w:rPr>
          <w:i/>
          <w:iCs/>
          <w:lang w:val="fr-FR"/>
        </w:rPr>
        <w:t> </w:t>
      </w:r>
      <w:r w:rsidRPr="00DC6778">
        <w:rPr>
          <w:i/>
          <w:iCs/>
          <w:lang w:val="fr-FR"/>
        </w:rPr>
        <w:t xml:space="preserve">: document </w:t>
      </w:r>
      <w:r>
        <w:rPr>
          <w:i/>
          <w:iCs/>
          <w:lang w:val="fr-FR"/>
        </w:rPr>
        <w:t>ECE/TRANS/WP.15/AC.1/2019/11 tel que modifié par le</w:t>
      </w:r>
      <w:r w:rsidRPr="00DC6778">
        <w:rPr>
          <w:i/>
          <w:iCs/>
          <w:lang w:val="fr-FR"/>
        </w:rPr>
        <w:t xml:space="preserve"> document </w:t>
      </w:r>
      <w:r>
        <w:rPr>
          <w:i/>
          <w:iCs/>
          <w:lang w:val="fr-FR"/>
        </w:rPr>
        <w:t>informel INF.37</w:t>
      </w:r>
      <w:r w:rsidRPr="00DC6778">
        <w:rPr>
          <w:i/>
          <w:iCs/>
          <w:lang w:val="fr-FR"/>
        </w:rPr>
        <w:t>)</w:t>
      </w:r>
    </w:p>
    <w:p w14:paraId="28F9BFAD" w14:textId="77777777" w:rsidR="00B975C2" w:rsidRPr="001632D5" w:rsidRDefault="001632D5" w:rsidP="001632D5">
      <w:pPr>
        <w:pStyle w:val="H23G"/>
      </w:pPr>
      <w:r>
        <w:tab/>
      </w:r>
      <w:r>
        <w:tab/>
      </w:r>
      <w:r w:rsidR="00B975C2">
        <w:t>Tableau B</w:t>
      </w:r>
    </w:p>
    <w:p w14:paraId="103B2618" w14:textId="77777777" w:rsidR="00B975C2" w:rsidRPr="001632D5" w:rsidRDefault="00B975C2" w:rsidP="001632D5">
      <w:pPr>
        <w:pStyle w:val="SingleTxtG"/>
      </w:pPr>
      <w:r w:rsidRPr="001632D5">
        <w:t xml:space="preserve">Modifier la rubrique « BUTADIÈNES ET HYDROCARBURES EN MÉLANGE STABILISÉ qui, à 70 °C, a une pression de vapeur ne dépassant pas 1,1 MPa (11 </w:t>
      </w:r>
      <w:proofErr w:type="gramStart"/>
      <w:r w:rsidRPr="001632D5">
        <w:t>bar</w:t>
      </w:r>
      <w:proofErr w:type="gramEnd"/>
      <w:r w:rsidRPr="001632D5">
        <w:t>) et dont la masse volumique à 50 °C n'est pas inférieure à 0,525 kg/l » pour lire comme suit :</w:t>
      </w:r>
    </w:p>
    <w:p w14:paraId="48311CD1" w14:textId="77777777" w:rsidR="00B975C2" w:rsidRPr="001632D5" w:rsidRDefault="00B975C2" w:rsidP="001632D5">
      <w:pPr>
        <w:pStyle w:val="SingleTxtG"/>
      </w:pPr>
      <w:r w:rsidRPr="001632D5">
        <w:t>« BUTADIÈNES STABILISÉS ou BUTADIÈNES ET HYDROCARBURES EN MÉLANGE STABILISÉ, contenant plus de 40 % de butadiènes ».</w:t>
      </w:r>
    </w:p>
    <w:p w14:paraId="1F2B5D50" w14:textId="77777777" w:rsidR="00B975C2" w:rsidRDefault="00B975C2" w:rsidP="001632D5">
      <w:pPr>
        <w:pStyle w:val="SingleTxtG"/>
        <w:spacing w:before="120" w:line="240" w:lineRule="auto"/>
        <w:jc w:val="left"/>
      </w:pPr>
      <w:r w:rsidRPr="00DC6778">
        <w:rPr>
          <w:i/>
          <w:iCs/>
          <w:lang w:val="fr-FR"/>
        </w:rPr>
        <w:t>(</w:t>
      </w:r>
      <w:r w:rsidRPr="00DC6778">
        <w:rPr>
          <w:i/>
        </w:rPr>
        <w:t xml:space="preserve">Document </w:t>
      </w:r>
      <w:r w:rsidRPr="00DC6778">
        <w:rPr>
          <w:i/>
          <w:iCs/>
          <w:lang w:val="fr-FR"/>
        </w:rPr>
        <w:t>de référence</w:t>
      </w:r>
      <w:r>
        <w:rPr>
          <w:i/>
          <w:iCs/>
          <w:lang w:val="fr-FR"/>
        </w:rPr>
        <w:t> </w:t>
      </w:r>
      <w:r w:rsidRPr="00DC6778">
        <w:rPr>
          <w:i/>
          <w:iCs/>
          <w:lang w:val="fr-FR"/>
        </w:rPr>
        <w:t xml:space="preserve">: document </w:t>
      </w:r>
      <w:r>
        <w:rPr>
          <w:i/>
          <w:iCs/>
          <w:lang w:val="fr-FR"/>
        </w:rPr>
        <w:t>ECE/TRANS/WP.15/AC.1/2019/16</w:t>
      </w:r>
      <w:r w:rsidRPr="00DC6778">
        <w:rPr>
          <w:i/>
          <w:iCs/>
          <w:lang w:val="fr-FR"/>
        </w:rPr>
        <w:t>)</w:t>
      </w:r>
    </w:p>
    <w:p w14:paraId="5DA7824E" w14:textId="77777777" w:rsidR="00B975C2" w:rsidRPr="001632D5" w:rsidRDefault="00B975C2" w:rsidP="001632D5">
      <w:pPr>
        <w:pStyle w:val="H1G"/>
      </w:pPr>
      <w:r w:rsidRPr="001632D5">
        <w:lastRenderedPageBreak/>
        <w:tab/>
      </w:r>
      <w:r w:rsidRPr="001632D5">
        <w:tab/>
        <w:t>Chapitre 3.3</w:t>
      </w:r>
    </w:p>
    <w:p w14:paraId="7E3EC5AC" w14:textId="77777777" w:rsidR="00BB2D95" w:rsidRPr="001632D5" w:rsidRDefault="00BB2D95" w:rsidP="001632D5">
      <w:pPr>
        <w:pStyle w:val="SingleTxtG"/>
        <w:tabs>
          <w:tab w:val="left" w:pos="2268"/>
        </w:tabs>
        <w:ind w:left="2268" w:hanging="1134"/>
      </w:pPr>
      <w:r w:rsidRPr="001632D5">
        <w:t>DS 301</w:t>
      </w:r>
      <w:r w:rsidRPr="001632D5">
        <w:tab/>
        <w:t>Supprimer le Nota.</w:t>
      </w:r>
    </w:p>
    <w:p w14:paraId="4932416F" w14:textId="77777777" w:rsidR="00BB2D95" w:rsidRPr="001632D5" w:rsidRDefault="001632D5" w:rsidP="001632D5">
      <w:pPr>
        <w:pStyle w:val="SingleTxtG"/>
        <w:tabs>
          <w:tab w:val="left" w:pos="2268"/>
        </w:tabs>
        <w:ind w:left="2268" w:hanging="1134"/>
        <w:rPr>
          <w:i/>
          <w:iCs/>
        </w:rPr>
      </w:pPr>
      <w:r>
        <w:tab/>
      </w:r>
      <w:r w:rsidR="00BB2D95" w:rsidRPr="001632D5">
        <w:rPr>
          <w:i/>
          <w:iCs/>
        </w:rPr>
        <w:t>(Document de référence : document ECE/TRANS/WP.15/AC.1/2019/12 tel que modifié par le document informel INF.36)</w:t>
      </w:r>
    </w:p>
    <w:p w14:paraId="2805132C" w14:textId="77777777" w:rsidR="00B975C2" w:rsidRPr="001632D5" w:rsidRDefault="00B975C2" w:rsidP="001632D5">
      <w:pPr>
        <w:pStyle w:val="SingleTxtG"/>
        <w:tabs>
          <w:tab w:val="left" w:pos="2268"/>
        </w:tabs>
        <w:ind w:left="2268" w:hanging="1134"/>
      </w:pPr>
      <w:r w:rsidRPr="001632D5">
        <w:t>DS 653</w:t>
      </w:r>
      <w:r w:rsidRPr="001632D5">
        <w:tab/>
        <w:t>Au premier tiret, remplacer « de construction et d’épreuve » par « de construction, d’épreuve et de remplissage ».</w:t>
      </w:r>
    </w:p>
    <w:p w14:paraId="65BD3C46" w14:textId="77777777" w:rsidR="00B975C2" w:rsidRPr="001632D5" w:rsidRDefault="001632D5" w:rsidP="001632D5">
      <w:pPr>
        <w:pStyle w:val="SingleTxtG"/>
        <w:tabs>
          <w:tab w:val="left" w:pos="2268"/>
        </w:tabs>
        <w:ind w:left="2268" w:hanging="1134"/>
        <w:rPr>
          <w:i/>
          <w:iCs/>
        </w:rPr>
      </w:pPr>
      <w:r>
        <w:rPr>
          <w:i/>
          <w:iCs/>
        </w:rPr>
        <w:tab/>
      </w:r>
      <w:r w:rsidR="00B975C2" w:rsidRPr="001632D5">
        <w:rPr>
          <w:i/>
          <w:iCs/>
        </w:rPr>
        <w:t>(Document de référence : document ECE/TRANS/WP.15/AC.1/2019/10)</w:t>
      </w:r>
    </w:p>
    <w:p w14:paraId="27BE3999" w14:textId="77777777" w:rsidR="00BB2D95" w:rsidRPr="001632D5" w:rsidRDefault="00BB2D95" w:rsidP="001632D5">
      <w:pPr>
        <w:pStyle w:val="SingleTxtG"/>
        <w:tabs>
          <w:tab w:val="left" w:pos="2268"/>
        </w:tabs>
        <w:ind w:left="2268" w:hanging="1134"/>
      </w:pPr>
      <w:r w:rsidRPr="001632D5">
        <w:t>DS 667</w:t>
      </w:r>
      <w:r w:rsidRPr="001632D5">
        <w:tab/>
        <w:t xml:space="preserve">Aux alinéas a), b), b) i) et c), remplacer </w:t>
      </w:r>
      <w:proofErr w:type="gramStart"/>
      <w:r w:rsidRPr="001632D5">
        <w:t>« ,</w:t>
      </w:r>
      <w:proofErr w:type="gramEnd"/>
      <w:r w:rsidRPr="001632D5">
        <w:t xml:space="preserve"> machines ou objets » par</w:t>
      </w:r>
      <w:r w:rsidR="001632D5">
        <w:t xml:space="preserve"> </w:t>
      </w:r>
      <w:r w:rsidRPr="001632D5">
        <w:t>« ou machines ».</w:t>
      </w:r>
    </w:p>
    <w:p w14:paraId="47B47933" w14:textId="158A0DB8" w:rsidR="00BB2D95" w:rsidRPr="001632D5" w:rsidRDefault="001632D5" w:rsidP="001632D5">
      <w:pPr>
        <w:pStyle w:val="SingleTxtG"/>
        <w:tabs>
          <w:tab w:val="left" w:pos="2268"/>
        </w:tabs>
        <w:ind w:left="2268" w:hanging="1134"/>
      </w:pPr>
      <w:r>
        <w:tab/>
      </w:r>
      <w:r w:rsidR="00BB2D95" w:rsidRPr="001632D5">
        <w:t xml:space="preserve">À l’alinéa b) ii), remplacer </w:t>
      </w:r>
      <w:proofErr w:type="gramStart"/>
      <w:r w:rsidR="00BB2D95" w:rsidRPr="001632D5">
        <w:t>« ,</w:t>
      </w:r>
      <w:proofErr w:type="gramEnd"/>
      <w:r w:rsidR="0066112C">
        <w:t xml:space="preserve"> </w:t>
      </w:r>
      <w:r w:rsidR="00BB2D95" w:rsidRPr="001632D5">
        <w:t>la machine ou l’objet » par « ou la machine ».</w:t>
      </w:r>
    </w:p>
    <w:p w14:paraId="719A7277" w14:textId="77777777" w:rsidR="00BB2D95" w:rsidRPr="001632D5" w:rsidRDefault="001632D5" w:rsidP="001632D5">
      <w:pPr>
        <w:pStyle w:val="SingleTxtG"/>
        <w:tabs>
          <w:tab w:val="left" w:pos="2268"/>
        </w:tabs>
        <w:ind w:left="2268" w:hanging="1134"/>
        <w:rPr>
          <w:i/>
          <w:iCs/>
        </w:rPr>
      </w:pPr>
      <w:r>
        <w:tab/>
      </w:r>
      <w:r w:rsidR="00BB2D95" w:rsidRPr="001632D5">
        <w:rPr>
          <w:i/>
          <w:iCs/>
        </w:rPr>
        <w:t>(Document de référence : document ECE/TRANS/WP.15/AC.1/2019/11 tel que modifié par le document informel INF.37)</w:t>
      </w:r>
    </w:p>
    <w:p w14:paraId="4D26305F" w14:textId="77777777" w:rsidR="00BB2D95" w:rsidRDefault="00BB2D95" w:rsidP="001632D5">
      <w:pPr>
        <w:pStyle w:val="SingleTxtG"/>
        <w:tabs>
          <w:tab w:val="left" w:pos="2268"/>
        </w:tabs>
        <w:ind w:left="2268" w:hanging="1134"/>
      </w:pPr>
      <w:r w:rsidRPr="001632D5">
        <w:t>DS 671</w:t>
      </w:r>
      <w:r w:rsidRPr="001632D5">
        <w:tab/>
        <w:t>Ajouter le nouveau paragraphe suivant à la fin :</w:t>
      </w:r>
    </w:p>
    <w:p w14:paraId="4D1A9124" w14:textId="77777777" w:rsidR="001632D5" w:rsidRPr="001632D5" w:rsidRDefault="001632D5" w:rsidP="001632D5">
      <w:pPr>
        <w:pStyle w:val="SingleTxtG"/>
        <w:tabs>
          <w:tab w:val="left" w:pos="2268"/>
        </w:tabs>
        <w:ind w:left="2268" w:hanging="1134"/>
      </w:pPr>
      <w:r>
        <w:rPr>
          <w:b/>
          <w:bCs/>
        </w:rPr>
        <w:tab/>
      </w:r>
      <w:r w:rsidRPr="001632D5">
        <w:t>(RID:)</w:t>
      </w:r>
    </w:p>
    <w:p w14:paraId="0F3EE9BF" w14:textId="77777777" w:rsidR="00BB2D95" w:rsidRPr="001632D5" w:rsidRDefault="001632D5" w:rsidP="001632D5">
      <w:pPr>
        <w:pStyle w:val="SingleTxtG"/>
        <w:tabs>
          <w:tab w:val="left" w:pos="2268"/>
        </w:tabs>
        <w:ind w:left="2268" w:hanging="1134"/>
      </w:pPr>
      <w:r>
        <w:tab/>
      </w:r>
      <w:r w:rsidR="00BB2D95" w:rsidRPr="001632D5">
        <w:t>« Les trousses contenant uniquement des marchandises dangereuses auxquelles aucun groupe d’emballage n’est assigné doivent être affectées à la catégorie de transport 2 aux fins de l’établissement des documents de transport et des exemptions liées aux quantités transportées par wagon ou grand conteneur (voir 1.1.3.6). ».</w:t>
      </w:r>
    </w:p>
    <w:p w14:paraId="7B9A0BCA" w14:textId="77777777" w:rsidR="00BB2D95" w:rsidRDefault="001632D5" w:rsidP="001632D5">
      <w:pPr>
        <w:pStyle w:val="SingleTxtG"/>
        <w:tabs>
          <w:tab w:val="left" w:pos="2268"/>
        </w:tabs>
        <w:ind w:left="2268" w:hanging="1134"/>
        <w:rPr>
          <w:i/>
          <w:iCs/>
        </w:rPr>
      </w:pPr>
      <w:r>
        <w:tab/>
      </w:r>
      <w:r w:rsidR="00BB2D95" w:rsidRPr="001632D5">
        <w:rPr>
          <w:i/>
          <w:iCs/>
        </w:rPr>
        <w:t>(Document de référence : document ECE/TRANS/WP.15/AC.1/2019/20)</w:t>
      </w:r>
    </w:p>
    <w:p w14:paraId="5FC3488E" w14:textId="77777777" w:rsidR="001632D5" w:rsidRPr="001632D5" w:rsidRDefault="001632D5" w:rsidP="001632D5">
      <w:pPr>
        <w:pStyle w:val="SingleTxtG"/>
        <w:tabs>
          <w:tab w:val="left" w:pos="2268"/>
        </w:tabs>
        <w:ind w:left="2268" w:hanging="1134"/>
      </w:pPr>
      <w:r>
        <w:rPr>
          <w:b/>
          <w:bCs/>
        </w:rPr>
        <w:tab/>
      </w:r>
      <w:r w:rsidRPr="001632D5">
        <w:t>(ADR :)</w:t>
      </w:r>
    </w:p>
    <w:p w14:paraId="61C3594F" w14:textId="4371D241" w:rsidR="001632D5" w:rsidRPr="00E43023" w:rsidRDefault="001632D5" w:rsidP="00E43023">
      <w:pPr>
        <w:pStyle w:val="SingleTxtG"/>
        <w:tabs>
          <w:tab w:val="left" w:pos="2268"/>
        </w:tabs>
        <w:ind w:left="2268"/>
      </w:pPr>
      <w:r>
        <w:tab/>
      </w:r>
      <w:r w:rsidRPr="00E43023">
        <w:t>« Les trousses contenant uniquement des marchandises dangereuses auxquelles aucun groupe d’emballage n’est assigné doivent être affectées à la catégorie de transport 2 aux fins de l’établissement des documents de transport et des exemptions liées aux quantités transportées par unité de transport (voir</w:t>
      </w:r>
      <w:r w:rsidR="00797C3E">
        <w:t> </w:t>
      </w:r>
      <w:r w:rsidRPr="00E43023">
        <w:t>1.1.3.6). ».</w:t>
      </w:r>
    </w:p>
    <w:p w14:paraId="1E4610DB" w14:textId="77777777" w:rsidR="001632D5" w:rsidRDefault="001632D5" w:rsidP="001632D5">
      <w:pPr>
        <w:pStyle w:val="SingleTxtG"/>
        <w:tabs>
          <w:tab w:val="left" w:pos="2268"/>
        </w:tabs>
        <w:ind w:left="2268" w:hanging="1134"/>
        <w:rPr>
          <w:i/>
          <w:iCs/>
        </w:rPr>
      </w:pPr>
      <w:r>
        <w:tab/>
      </w:r>
      <w:r w:rsidRPr="001632D5">
        <w:rPr>
          <w:i/>
          <w:iCs/>
        </w:rPr>
        <w:t>(Document de référence : document ECE/TRANS/WP.15/AC.1/2019/20)</w:t>
      </w:r>
    </w:p>
    <w:p w14:paraId="01015D48" w14:textId="77777777" w:rsidR="0001132B" w:rsidRPr="001632D5" w:rsidRDefault="0001132B" w:rsidP="001632D5">
      <w:pPr>
        <w:pStyle w:val="H1G"/>
      </w:pPr>
      <w:r w:rsidRPr="001632D5">
        <w:tab/>
      </w:r>
      <w:r w:rsidRPr="001632D5">
        <w:tab/>
        <w:t>Chapitre 4.1</w:t>
      </w:r>
    </w:p>
    <w:p w14:paraId="2C643DB8" w14:textId="77777777" w:rsidR="0001132B" w:rsidRDefault="0001132B" w:rsidP="0001132B">
      <w:pPr>
        <w:pStyle w:val="SingleTxtG"/>
        <w:spacing w:before="120" w:line="240" w:lineRule="auto"/>
        <w:ind w:left="2259" w:hanging="1125"/>
        <w:jc w:val="left"/>
      </w:pPr>
      <w:r w:rsidRPr="001632D5">
        <w:rPr>
          <w:bCs/>
        </w:rPr>
        <w:t>4.1.1.3</w:t>
      </w:r>
      <w:r w:rsidRPr="001632D5">
        <w:rPr>
          <w:bCs/>
        </w:rPr>
        <w:tab/>
      </w:r>
      <w:r>
        <w:t>Supprimer la dernière phrase.</w:t>
      </w:r>
    </w:p>
    <w:p w14:paraId="1CA075EB" w14:textId="77777777" w:rsidR="0001132B" w:rsidRDefault="0001132B" w:rsidP="0001132B">
      <w:pPr>
        <w:pStyle w:val="SingleTxtG"/>
        <w:spacing w:before="120" w:line="240" w:lineRule="auto"/>
        <w:ind w:left="2268"/>
        <w:jc w:val="left"/>
        <w:rPr>
          <w:i/>
          <w:iCs/>
          <w:lang w:val="fr-FR"/>
        </w:rPr>
      </w:pPr>
      <w:r w:rsidRPr="00DC6778">
        <w:rPr>
          <w:i/>
          <w:iCs/>
          <w:lang w:val="fr-FR"/>
        </w:rPr>
        <w:t>(</w:t>
      </w:r>
      <w:r w:rsidRPr="00DC6778">
        <w:rPr>
          <w:i/>
        </w:rPr>
        <w:t xml:space="preserve">Document </w:t>
      </w:r>
      <w:r w:rsidRPr="00DC6778">
        <w:rPr>
          <w:i/>
          <w:iCs/>
          <w:lang w:val="fr-FR"/>
        </w:rPr>
        <w:t>de référence</w:t>
      </w:r>
      <w:r>
        <w:rPr>
          <w:i/>
          <w:iCs/>
          <w:lang w:val="fr-FR"/>
        </w:rPr>
        <w:t> </w:t>
      </w:r>
      <w:r w:rsidRPr="00DC6778">
        <w:rPr>
          <w:i/>
          <w:iCs/>
          <w:lang w:val="fr-FR"/>
        </w:rPr>
        <w:t xml:space="preserve">: document </w:t>
      </w:r>
      <w:r>
        <w:rPr>
          <w:i/>
          <w:iCs/>
          <w:lang w:val="fr-FR"/>
        </w:rPr>
        <w:t>ECE/TRANS/WP.15/AC.1/2019/15</w:t>
      </w:r>
      <w:r w:rsidRPr="00DC6778">
        <w:rPr>
          <w:i/>
          <w:iCs/>
          <w:lang w:val="fr-FR"/>
        </w:rPr>
        <w:t>)</w:t>
      </w:r>
    </w:p>
    <w:p w14:paraId="52D86E95" w14:textId="77777777" w:rsidR="0001132B" w:rsidRPr="001632D5" w:rsidRDefault="0001132B" w:rsidP="001632D5">
      <w:pPr>
        <w:pStyle w:val="H1G"/>
      </w:pPr>
      <w:r w:rsidRPr="001632D5">
        <w:tab/>
      </w:r>
      <w:r w:rsidRPr="001632D5">
        <w:tab/>
        <w:t>Chapitre 6.2</w:t>
      </w:r>
    </w:p>
    <w:p w14:paraId="541720C8" w14:textId="77777777" w:rsidR="0001132B" w:rsidRPr="001632D5" w:rsidRDefault="0001132B" w:rsidP="001632D5">
      <w:pPr>
        <w:pStyle w:val="SingleTxtG"/>
        <w:tabs>
          <w:tab w:val="left" w:pos="2268"/>
        </w:tabs>
        <w:ind w:left="2268" w:hanging="1134"/>
      </w:pPr>
      <w:r w:rsidRPr="001632D5">
        <w:rPr>
          <w:bCs/>
        </w:rPr>
        <w:t>6.2.5</w:t>
      </w:r>
      <w:r w:rsidRPr="001632D5">
        <w:rPr>
          <w:bCs/>
        </w:rPr>
        <w:tab/>
      </w:r>
      <w:r w:rsidRPr="001632D5">
        <w:t>Insérer le nouveau paragraphe suivant après le deuxième paragraphe :</w:t>
      </w:r>
    </w:p>
    <w:p w14:paraId="1651884D" w14:textId="2B7CBBE1" w:rsidR="0001132B" w:rsidRPr="001632D5" w:rsidRDefault="001632D5" w:rsidP="001632D5">
      <w:pPr>
        <w:pStyle w:val="SingleTxtG"/>
        <w:tabs>
          <w:tab w:val="left" w:pos="2268"/>
        </w:tabs>
        <w:ind w:left="2268" w:hanging="1134"/>
      </w:pPr>
      <w:r>
        <w:tab/>
      </w:r>
      <w:r w:rsidR="0001132B" w:rsidRPr="001632D5">
        <w:t xml:space="preserve">« Dès qu’une norme nouvellement référencée au 6.2.2 ou au 6.2.4 peut être appliquée, l’autorité compétente doit retirer sa reconnaissance du code technique correspondant. Une période </w:t>
      </w:r>
      <w:r w:rsidR="00E50B75">
        <w:t>transitoire</w:t>
      </w:r>
      <w:r w:rsidR="0001132B" w:rsidRPr="001632D5">
        <w:t xml:space="preserve"> s’achevant au plus tard à la date d’entrée en vigueur de l’édition suivante du RID/ADR peut s’appliquer. ».</w:t>
      </w:r>
    </w:p>
    <w:p w14:paraId="50E6BE2D" w14:textId="77777777" w:rsidR="0001132B" w:rsidRPr="001632D5" w:rsidRDefault="001632D5" w:rsidP="001632D5">
      <w:pPr>
        <w:pStyle w:val="SingleTxtG"/>
        <w:tabs>
          <w:tab w:val="left" w:pos="2268"/>
        </w:tabs>
        <w:ind w:left="2268" w:hanging="1134"/>
        <w:rPr>
          <w:i/>
          <w:iCs/>
        </w:rPr>
      </w:pPr>
      <w:r>
        <w:tab/>
      </w:r>
      <w:r w:rsidR="0001132B" w:rsidRPr="001632D5">
        <w:rPr>
          <w:i/>
          <w:iCs/>
        </w:rPr>
        <w:t>(Document de référence : document ECE/TRANS/WP.15/AC.1/2019/2 tel que modifié par le document informel INF.35)</w:t>
      </w:r>
    </w:p>
    <w:p w14:paraId="3F1A93C6" w14:textId="77777777" w:rsidR="0001132B" w:rsidRPr="001632D5" w:rsidRDefault="001632D5" w:rsidP="001632D5">
      <w:pPr>
        <w:pStyle w:val="SingleTxtG"/>
        <w:tabs>
          <w:tab w:val="left" w:pos="2268"/>
        </w:tabs>
        <w:ind w:left="2268" w:hanging="1134"/>
      </w:pPr>
      <w:r>
        <w:tab/>
      </w:r>
      <w:r w:rsidR="0001132B" w:rsidRPr="001632D5">
        <w:t>À la fin de la première phrase du nouveau quatrième paragraphe, ajouter « et elle doit la mettre à jour en cas de modification. ».</w:t>
      </w:r>
    </w:p>
    <w:p w14:paraId="79A3DB15" w14:textId="77777777" w:rsidR="0001132B" w:rsidRDefault="0001132B" w:rsidP="0001132B">
      <w:pPr>
        <w:pStyle w:val="SingleTxtG"/>
        <w:spacing w:before="120" w:line="240" w:lineRule="auto"/>
        <w:ind w:left="2268"/>
        <w:jc w:val="left"/>
        <w:rPr>
          <w:i/>
          <w:iCs/>
          <w:lang w:val="fr-FR"/>
        </w:rPr>
      </w:pPr>
      <w:r w:rsidRPr="00DC6778">
        <w:rPr>
          <w:i/>
          <w:iCs/>
          <w:lang w:val="fr-FR"/>
        </w:rPr>
        <w:t>(</w:t>
      </w:r>
      <w:r w:rsidRPr="00DC6778">
        <w:rPr>
          <w:i/>
        </w:rPr>
        <w:t xml:space="preserve">Document </w:t>
      </w:r>
      <w:r w:rsidRPr="00DC6778">
        <w:rPr>
          <w:i/>
          <w:iCs/>
          <w:lang w:val="fr-FR"/>
        </w:rPr>
        <w:t>de référence</w:t>
      </w:r>
      <w:r>
        <w:rPr>
          <w:i/>
          <w:iCs/>
          <w:lang w:val="fr-FR"/>
        </w:rPr>
        <w:t> </w:t>
      </w:r>
      <w:r w:rsidRPr="00DC6778">
        <w:rPr>
          <w:i/>
          <w:iCs/>
          <w:lang w:val="fr-FR"/>
        </w:rPr>
        <w:t xml:space="preserve">: document </w:t>
      </w:r>
      <w:r>
        <w:rPr>
          <w:i/>
          <w:iCs/>
          <w:lang w:val="fr-FR"/>
        </w:rPr>
        <w:t>ECE/TRANS/WP.15/AC.1/2019/2</w:t>
      </w:r>
      <w:r w:rsidRPr="00DC6778">
        <w:rPr>
          <w:i/>
          <w:iCs/>
          <w:lang w:val="fr-FR"/>
        </w:rPr>
        <w:t>)</w:t>
      </w:r>
    </w:p>
    <w:p w14:paraId="1E18B1C3" w14:textId="77777777" w:rsidR="00B975C2" w:rsidRPr="001632D5" w:rsidRDefault="00B975C2" w:rsidP="001632D5">
      <w:pPr>
        <w:pStyle w:val="H1G"/>
      </w:pPr>
      <w:r w:rsidRPr="001632D5">
        <w:lastRenderedPageBreak/>
        <w:tab/>
      </w:r>
      <w:r w:rsidRPr="001632D5">
        <w:tab/>
      </w:r>
      <w:r w:rsidRPr="001632D5">
        <w:tab/>
        <w:t>Chapitre 6.8</w:t>
      </w:r>
    </w:p>
    <w:p w14:paraId="34684681" w14:textId="77777777" w:rsidR="00B975C2" w:rsidRPr="003770B6" w:rsidRDefault="00B975C2" w:rsidP="00B975C2">
      <w:pPr>
        <w:pStyle w:val="SingleTxtG"/>
        <w:spacing w:before="120" w:line="240" w:lineRule="auto"/>
        <w:ind w:left="2259" w:hanging="1125"/>
        <w:jc w:val="left"/>
        <w:rPr>
          <w:lang w:val="fr-FR"/>
        </w:rPr>
      </w:pPr>
      <w:r w:rsidRPr="00E43023">
        <w:rPr>
          <w:bCs/>
          <w:lang w:val="fr-FR"/>
        </w:rPr>
        <w:t>6.8.2.5.1</w:t>
      </w:r>
      <w:r w:rsidRPr="003770B6">
        <w:rPr>
          <w:b/>
          <w:lang w:val="fr-FR"/>
        </w:rPr>
        <w:tab/>
      </w:r>
      <w:r>
        <w:rPr>
          <w:lang w:val="fr-FR"/>
        </w:rPr>
        <w:t>Modifier le neuvième alinéa pour lire comme suit :</w:t>
      </w:r>
    </w:p>
    <w:p w14:paraId="1F659357" w14:textId="77777777" w:rsidR="00B975C2" w:rsidRPr="00E43023" w:rsidRDefault="00B975C2" w:rsidP="00E43023">
      <w:pPr>
        <w:pStyle w:val="SingleTxtG"/>
        <w:tabs>
          <w:tab w:val="left" w:pos="2552"/>
        </w:tabs>
        <w:ind w:left="2552" w:hanging="284"/>
      </w:pPr>
      <w:r w:rsidRPr="00E43023">
        <w:t>« -</w:t>
      </w:r>
      <w:r w:rsidRPr="00E43023">
        <w:tab/>
        <w:t>date et type du dernier contrôle subi : « mois, année » suivis par un « P » lorsque ce contrôle est le contrôle initial ou un contrôle périodique selon les 6.8.2.4.1 et 6.8.2.4.2, ou « mois, année » suivis par un « L » lorsque ce contrôle est un contrôle d’étanchéité intermédiaire selon le 6.8.2.4.3 ; ».</w:t>
      </w:r>
    </w:p>
    <w:p w14:paraId="16D2273B" w14:textId="77777777" w:rsidR="00B975C2" w:rsidRPr="00E43023" w:rsidRDefault="00E43023" w:rsidP="00E43023">
      <w:pPr>
        <w:pStyle w:val="SingleTxtG"/>
        <w:tabs>
          <w:tab w:val="left" w:pos="2268"/>
        </w:tabs>
        <w:ind w:left="2268" w:hanging="1134"/>
        <w:rPr>
          <w:i/>
          <w:iCs/>
        </w:rPr>
      </w:pPr>
      <w:r>
        <w:tab/>
      </w:r>
      <w:r w:rsidR="00B975C2" w:rsidRPr="00E43023">
        <w:rPr>
          <w:i/>
          <w:iCs/>
        </w:rPr>
        <w:t>(Document de référence : document ECE/TRANS/WP.15/AC.1/2019/1)</w:t>
      </w:r>
    </w:p>
    <w:p w14:paraId="1737C5DF" w14:textId="77777777" w:rsidR="00B975C2" w:rsidRPr="00E43023" w:rsidRDefault="00E43023" w:rsidP="00E43023">
      <w:pPr>
        <w:pStyle w:val="SingleTxtG"/>
        <w:tabs>
          <w:tab w:val="left" w:pos="2268"/>
        </w:tabs>
        <w:ind w:left="2268" w:hanging="1134"/>
      </w:pPr>
      <w:r>
        <w:tab/>
      </w:r>
      <w:r w:rsidR="00B975C2" w:rsidRPr="00E43023">
        <w:t>Au dixième alinéa, remplacer « aux épreuves » par « au contrôle ».</w:t>
      </w:r>
    </w:p>
    <w:p w14:paraId="51AEC1C5" w14:textId="77777777" w:rsidR="00B975C2" w:rsidRPr="00E43023" w:rsidRDefault="00E43023" w:rsidP="00E43023">
      <w:pPr>
        <w:pStyle w:val="SingleTxtG"/>
        <w:tabs>
          <w:tab w:val="left" w:pos="2268"/>
        </w:tabs>
        <w:ind w:left="2268" w:hanging="1134"/>
        <w:rPr>
          <w:i/>
          <w:iCs/>
        </w:rPr>
      </w:pPr>
      <w:r>
        <w:tab/>
      </w:r>
      <w:r w:rsidR="00B975C2" w:rsidRPr="00E43023">
        <w:rPr>
          <w:i/>
          <w:iCs/>
        </w:rPr>
        <w:t>(Document de référence : document informel INF.29 tel que modifié par le document informel INF.39)</w:t>
      </w:r>
    </w:p>
    <w:p w14:paraId="384C8087" w14:textId="77777777" w:rsidR="0001132B" w:rsidRPr="00E43023" w:rsidRDefault="0001132B" w:rsidP="00E43023">
      <w:pPr>
        <w:pStyle w:val="SingleTxtG"/>
        <w:tabs>
          <w:tab w:val="left" w:pos="2268"/>
        </w:tabs>
        <w:ind w:left="2268" w:hanging="1134"/>
      </w:pPr>
      <w:r w:rsidRPr="00E43023">
        <w:rPr>
          <w:bCs/>
        </w:rPr>
        <w:t>6.8.2.7</w:t>
      </w:r>
      <w:r>
        <w:rPr>
          <w:b/>
        </w:rPr>
        <w:tab/>
      </w:r>
      <w:r w:rsidRPr="00E43023">
        <w:t>Insérer le nouveau paragraphe suivant après le premier paragraphe :</w:t>
      </w:r>
    </w:p>
    <w:p w14:paraId="69EB8C57" w14:textId="6B4080F3" w:rsidR="0001132B" w:rsidRPr="00E43023" w:rsidRDefault="00E43023" w:rsidP="00E43023">
      <w:pPr>
        <w:pStyle w:val="SingleTxtG"/>
        <w:tabs>
          <w:tab w:val="left" w:pos="2268"/>
        </w:tabs>
        <w:ind w:left="2268" w:hanging="1134"/>
      </w:pPr>
      <w:r>
        <w:tab/>
      </w:r>
      <w:r w:rsidR="0001132B" w:rsidRPr="00E43023">
        <w:t xml:space="preserve">« Dès qu’une norme nouvellement référencée au 6.8.2.6 peut être appliquée, l’autorité compétente doit retirer sa reconnaissance du code technique correspondant. Une période </w:t>
      </w:r>
      <w:r w:rsidR="00E50B75">
        <w:t>transitoire</w:t>
      </w:r>
      <w:r w:rsidR="0001132B" w:rsidRPr="00E43023">
        <w:t xml:space="preserve"> s’achevant au plus tard à la date d’entrée en vigueur de l’édition suivante du RID/ADR peut s’appliquer. ».</w:t>
      </w:r>
    </w:p>
    <w:p w14:paraId="0C73C285" w14:textId="77777777" w:rsidR="0001132B" w:rsidRPr="00E43023" w:rsidRDefault="00E43023" w:rsidP="00E43023">
      <w:pPr>
        <w:pStyle w:val="SingleTxtG"/>
        <w:tabs>
          <w:tab w:val="left" w:pos="2268"/>
        </w:tabs>
        <w:ind w:left="2268" w:hanging="1134"/>
        <w:rPr>
          <w:i/>
          <w:iCs/>
        </w:rPr>
      </w:pPr>
      <w:r>
        <w:tab/>
      </w:r>
      <w:r w:rsidR="0001132B" w:rsidRPr="00E43023">
        <w:rPr>
          <w:i/>
          <w:iCs/>
        </w:rPr>
        <w:t>(Document de référence : document ECE/TRANS/WP.15/AC.1/2019/2 tel que modifié par le document informel INF.35)</w:t>
      </w:r>
    </w:p>
    <w:p w14:paraId="4FFA24C8" w14:textId="77777777" w:rsidR="0001132B" w:rsidRPr="00E43023" w:rsidRDefault="00E43023" w:rsidP="00E43023">
      <w:pPr>
        <w:pStyle w:val="SingleTxtG"/>
        <w:tabs>
          <w:tab w:val="left" w:pos="2268"/>
        </w:tabs>
        <w:ind w:left="2268" w:hanging="1134"/>
      </w:pPr>
      <w:r>
        <w:tab/>
      </w:r>
      <w:r w:rsidR="0001132B" w:rsidRPr="00E43023">
        <w:t>À la fin de la première phrase du nouveau troisième paragraphe, ajouter « et elle doit la mettre à jour en cas de modification. ».</w:t>
      </w:r>
    </w:p>
    <w:p w14:paraId="4A61FCE6" w14:textId="77777777" w:rsidR="0001132B" w:rsidRPr="00E43023" w:rsidRDefault="00E43023" w:rsidP="00E43023">
      <w:pPr>
        <w:pStyle w:val="SingleTxtG"/>
        <w:tabs>
          <w:tab w:val="left" w:pos="2268"/>
        </w:tabs>
        <w:ind w:left="2268" w:hanging="1134"/>
        <w:rPr>
          <w:i/>
          <w:iCs/>
        </w:rPr>
      </w:pPr>
      <w:r>
        <w:tab/>
      </w:r>
      <w:r w:rsidR="0001132B" w:rsidRPr="00E43023">
        <w:rPr>
          <w:i/>
          <w:iCs/>
        </w:rPr>
        <w:t>(Document de référence : document ECE/TRANS/WP.15/AC.1/2019/2)</w:t>
      </w:r>
    </w:p>
    <w:p w14:paraId="2C2FE124" w14:textId="77777777" w:rsidR="00B975C2" w:rsidRPr="00E43023" w:rsidRDefault="00B975C2" w:rsidP="00E43023">
      <w:pPr>
        <w:pStyle w:val="SingleTxtG"/>
        <w:tabs>
          <w:tab w:val="left" w:pos="2268"/>
        </w:tabs>
        <w:ind w:left="2268" w:hanging="1134"/>
      </w:pPr>
      <w:r w:rsidRPr="00E43023">
        <w:rPr>
          <w:bCs/>
          <w:lang w:val="fr-FR"/>
        </w:rPr>
        <w:t>6.8.3.5.10</w:t>
      </w:r>
      <w:r w:rsidRPr="003770B6">
        <w:rPr>
          <w:b/>
          <w:lang w:val="fr-FR"/>
        </w:rPr>
        <w:tab/>
      </w:r>
      <w:r w:rsidRPr="00E43023">
        <w:t>Au septième alinéa, remplacer « de l'épreuve initiale » par « du contrôle initial ».</w:t>
      </w:r>
    </w:p>
    <w:p w14:paraId="43DCF6E6" w14:textId="77777777" w:rsidR="00B975C2" w:rsidRPr="00E43023" w:rsidRDefault="00E43023" w:rsidP="00E43023">
      <w:pPr>
        <w:pStyle w:val="SingleTxtG"/>
        <w:tabs>
          <w:tab w:val="left" w:pos="2268"/>
        </w:tabs>
        <w:ind w:left="2268" w:hanging="1134"/>
      </w:pPr>
      <w:r>
        <w:tab/>
      </w:r>
      <w:r w:rsidR="00B975C2" w:rsidRPr="00E43023">
        <w:t>(ADR:)</w:t>
      </w:r>
      <w:r w:rsidRPr="00E43023">
        <w:t xml:space="preserve"> </w:t>
      </w:r>
      <w:r w:rsidR="00B975C2" w:rsidRPr="00E43023">
        <w:t>Au septième alinéa, remplacer « de la dernière épreuve périodique » par</w:t>
      </w:r>
      <w:r w:rsidRPr="00E43023">
        <w:t xml:space="preserve"> </w:t>
      </w:r>
      <w:r w:rsidR="00B975C2" w:rsidRPr="00E43023">
        <w:t>« du dernier contrôle périodique ».</w:t>
      </w:r>
    </w:p>
    <w:p w14:paraId="0EF8A0B6" w14:textId="77777777" w:rsidR="00B975C2" w:rsidRPr="00E43023" w:rsidRDefault="00E43023" w:rsidP="00E43023">
      <w:pPr>
        <w:pStyle w:val="SingleTxtG"/>
        <w:tabs>
          <w:tab w:val="left" w:pos="2268"/>
        </w:tabs>
        <w:ind w:left="2268" w:hanging="1134"/>
        <w:rPr>
          <w:i/>
          <w:iCs/>
        </w:rPr>
      </w:pPr>
      <w:r>
        <w:tab/>
      </w:r>
      <w:r w:rsidR="00B975C2" w:rsidRPr="00E43023">
        <w:rPr>
          <w:i/>
          <w:iCs/>
        </w:rPr>
        <w:t>(Document de référence : document informel INF.29)</w:t>
      </w:r>
    </w:p>
    <w:p w14:paraId="733A20B5" w14:textId="77777777" w:rsidR="00B975C2" w:rsidRPr="00E43023" w:rsidRDefault="00E43023" w:rsidP="00E43023">
      <w:pPr>
        <w:pStyle w:val="SingleTxtG"/>
        <w:tabs>
          <w:tab w:val="left" w:pos="2268"/>
        </w:tabs>
        <w:ind w:left="2268" w:hanging="1134"/>
      </w:pPr>
      <w:r>
        <w:tab/>
      </w:r>
      <w:r w:rsidR="00B975C2" w:rsidRPr="00E43023">
        <w:t>Au huitième alinéa, remplacer « aux épreuves » par « au contrôle ».</w:t>
      </w:r>
    </w:p>
    <w:p w14:paraId="1805C19B" w14:textId="77777777" w:rsidR="00B975C2" w:rsidRPr="00E43023" w:rsidRDefault="00E43023" w:rsidP="00E43023">
      <w:pPr>
        <w:pStyle w:val="SingleTxtG"/>
        <w:tabs>
          <w:tab w:val="left" w:pos="2268"/>
        </w:tabs>
        <w:ind w:left="2268" w:hanging="1134"/>
      </w:pPr>
      <w:r>
        <w:tab/>
      </w:r>
      <w:r w:rsidR="00B975C2" w:rsidRPr="00E43023">
        <w:t>(Document de référence : document informel INF.29 tel que modifié par le document informel INF.39)</w:t>
      </w:r>
    </w:p>
    <w:p w14:paraId="2FE128E8" w14:textId="77777777" w:rsidR="00430A4D" w:rsidRDefault="00430A4D" w:rsidP="00E43023">
      <w:pPr>
        <w:pStyle w:val="SingleTxtG"/>
        <w:tabs>
          <w:tab w:val="left" w:pos="2268"/>
        </w:tabs>
        <w:ind w:left="2268" w:hanging="1134"/>
      </w:pPr>
      <w:r w:rsidRPr="00E43023">
        <w:t>(RID:)</w:t>
      </w:r>
    </w:p>
    <w:p w14:paraId="6BEB1EB3" w14:textId="249FDECB" w:rsidR="00B975C2" w:rsidRPr="00E43023" w:rsidRDefault="00B975C2" w:rsidP="00E43023">
      <w:pPr>
        <w:pStyle w:val="SingleTxtG"/>
        <w:tabs>
          <w:tab w:val="left" w:pos="2268"/>
        </w:tabs>
        <w:ind w:left="2268" w:hanging="1134"/>
      </w:pPr>
      <w:r w:rsidRPr="00E43023">
        <w:t>6.8.3.5.11</w:t>
      </w:r>
      <w:r w:rsidR="00E43023" w:rsidRPr="00E43023">
        <w:tab/>
      </w:r>
      <w:r w:rsidRPr="00E43023">
        <w:t>Dans la colonne de gauche, au dernier alinéa, remplacer « de la prochaine épreuve » par « du prochain contrôle ».</w:t>
      </w:r>
    </w:p>
    <w:p w14:paraId="3605B1BD" w14:textId="77777777" w:rsidR="00B975C2" w:rsidRPr="00E43023" w:rsidRDefault="00E43023" w:rsidP="00E43023">
      <w:pPr>
        <w:pStyle w:val="SingleTxtG"/>
        <w:tabs>
          <w:tab w:val="left" w:pos="2268"/>
        </w:tabs>
        <w:ind w:left="2268" w:hanging="1134"/>
        <w:rPr>
          <w:i/>
          <w:iCs/>
        </w:rPr>
      </w:pPr>
      <w:r>
        <w:tab/>
      </w:r>
      <w:r w:rsidR="00B975C2" w:rsidRPr="00E43023">
        <w:rPr>
          <w:i/>
          <w:iCs/>
        </w:rPr>
        <w:t>(Document de référence : document informel INF.29)</w:t>
      </w:r>
    </w:p>
    <w:p w14:paraId="13806B1E" w14:textId="77777777" w:rsidR="00430A4D" w:rsidRDefault="00430A4D" w:rsidP="00E43023">
      <w:pPr>
        <w:pStyle w:val="SingleTxtG"/>
        <w:tabs>
          <w:tab w:val="left" w:pos="2268"/>
        </w:tabs>
        <w:ind w:left="2268" w:hanging="1134"/>
      </w:pPr>
      <w:r>
        <w:t>(RID/ADR:)</w:t>
      </w:r>
    </w:p>
    <w:p w14:paraId="409A0E01" w14:textId="77777777" w:rsidR="0001132B" w:rsidRPr="00E43023" w:rsidRDefault="0001132B" w:rsidP="00E43023">
      <w:pPr>
        <w:pStyle w:val="SingleTxtG"/>
        <w:tabs>
          <w:tab w:val="left" w:pos="2268"/>
        </w:tabs>
        <w:ind w:left="2268" w:hanging="1134"/>
      </w:pPr>
      <w:r w:rsidRPr="00E43023">
        <w:t>6.8.3.7</w:t>
      </w:r>
      <w:r w:rsidRPr="00E43023">
        <w:tab/>
        <w:t>Insérer le nouveau paragraphe suivant après le premier paragraphe :</w:t>
      </w:r>
    </w:p>
    <w:p w14:paraId="7118075D" w14:textId="2432D69B" w:rsidR="0001132B" w:rsidRPr="00E43023" w:rsidRDefault="00E43023" w:rsidP="00E43023">
      <w:pPr>
        <w:pStyle w:val="SingleTxtG"/>
        <w:tabs>
          <w:tab w:val="left" w:pos="2268"/>
        </w:tabs>
        <w:ind w:left="2268" w:hanging="1134"/>
      </w:pPr>
      <w:r>
        <w:tab/>
      </w:r>
      <w:r w:rsidR="0001132B" w:rsidRPr="00E43023">
        <w:t xml:space="preserve">« Dès qu’une norme nouvellement référencée au 6.8.3.6 peut être appliquée, l’autorité compétente doit retirer sa reconnaissance du code technique correspondant. Une période </w:t>
      </w:r>
      <w:r w:rsidR="00E50B75">
        <w:t>transitoire</w:t>
      </w:r>
      <w:r w:rsidR="0001132B" w:rsidRPr="00E43023">
        <w:t xml:space="preserve"> s’achevant au plus tard à la date d’entrée en vigueur de l’édition suivante du RID/ADR peut s’appliquer. ».</w:t>
      </w:r>
    </w:p>
    <w:p w14:paraId="41DF742B" w14:textId="77777777" w:rsidR="0001132B" w:rsidRPr="00E43023" w:rsidRDefault="00E43023" w:rsidP="00E43023">
      <w:pPr>
        <w:pStyle w:val="SingleTxtG"/>
        <w:tabs>
          <w:tab w:val="left" w:pos="2268"/>
        </w:tabs>
        <w:ind w:left="2268" w:hanging="1134"/>
        <w:rPr>
          <w:i/>
          <w:iCs/>
        </w:rPr>
      </w:pPr>
      <w:r>
        <w:tab/>
      </w:r>
      <w:r w:rsidR="0001132B" w:rsidRPr="00E43023">
        <w:rPr>
          <w:i/>
          <w:iCs/>
        </w:rPr>
        <w:t>(Document de référence : document ECE/TRANS/WP.15/AC.1/2019/2 tel que modifié par le document informel INF.35)</w:t>
      </w:r>
    </w:p>
    <w:p w14:paraId="3478795A" w14:textId="77777777" w:rsidR="0001132B" w:rsidRPr="00E43023" w:rsidRDefault="00E43023" w:rsidP="00E43023">
      <w:pPr>
        <w:pStyle w:val="SingleTxtG"/>
        <w:tabs>
          <w:tab w:val="left" w:pos="2268"/>
        </w:tabs>
        <w:ind w:left="2268" w:hanging="1134"/>
      </w:pPr>
      <w:r>
        <w:tab/>
      </w:r>
      <w:r w:rsidR="0001132B" w:rsidRPr="00E43023">
        <w:t>À la fin de la première phrase du nouveau quatrième paragraphe, ajouter</w:t>
      </w:r>
      <w:r>
        <w:t xml:space="preserve"> </w:t>
      </w:r>
      <w:r w:rsidR="0001132B" w:rsidRPr="00E43023">
        <w:t>« et elle doit la mettre à jour en cas de modification. ».</w:t>
      </w:r>
    </w:p>
    <w:p w14:paraId="0CD44279" w14:textId="77777777" w:rsidR="0001132B" w:rsidRPr="00E43023" w:rsidRDefault="00E43023" w:rsidP="00E43023">
      <w:pPr>
        <w:pStyle w:val="SingleTxtG"/>
        <w:tabs>
          <w:tab w:val="left" w:pos="2268"/>
        </w:tabs>
        <w:ind w:left="2268" w:hanging="1134"/>
        <w:rPr>
          <w:i/>
          <w:iCs/>
        </w:rPr>
      </w:pPr>
      <w:r>
        <w:tab/>
      </w:r>
      <w:r w:rsidR="0001132B" w:rsidRPr="00E43023">
        <w:rPr>
          <w:i/>
          <w:iCs/>
        </w:rPr>
        <w:t>(Document de référence : document ECE/TRANS/WP.15/AC.1/2019/2)</w:t>
      </w:r>
    </w:p>
    <w:p w14:paraId="0D36F3AC" w14:textId="77777777" w:rsidR="00B975C2" w:rsidRPr="00E43023" w:rsidRDefault="00B975C2" w:rsidP="00797C3E">
      <w:pPr>
        <w:pStyle w:val="SingleTxtG"/>
        <w:keepNext/>
        <w:keepLines/>
        <w:spacing w:before="120" w:line="240" w:lineRule="auto"/>
        <w:ind w:left="2259" w:hanging="1125"/>
        <w:jc w:val="left"/>
        <w:rPr>
          <w:bCs/>
          <w:iCs/>
          <w:lang w:val="fr-FR"/>
        </w:rPr>
      </w:pPr>
      <w:r w:rsidRPr="00E43023">
        <w:rPr>
          <w:bCs/>
          <w:iCs/>
          <w:lang w:val="fr-FR"/>
        </w:rPr>
        <w:lastRenderedPageBreak/>
        <w:t>6.8.4</w:t>
      </w:r>
      <w:r w:rsidR="00E43023">
        <w:rPr>
          <w:bCs/>
          <w:iCs/>
          <w:lang w:val="fr-FR"/>
        </w:rPr>
        <w:tab/>
        <w:t xml:space="preserve">Modifier les dispositions spéciales TT6 et TT8 comme suit : </w:t>
      </w:r>
    </w:p>
    <w:p w14:paraId="102ED4BF" w14:textId="77777777" w:rsidR="00B975C2" w:rsidRDefault="00B975C2" w:rsidP="00797C3E">
      <w:pPr>
        <w:pStyle w:val="SingleTxtG"/>
        <w:keepNext/>
        <w:keepLines/>
        <w:spacing w:before="120" w:line="240" w:lineRule="auto"/>
        <w:ind w:left="2259" w:hanging="558"/>
        <w:jc w:val="left"/>
        <w:rPr>
          <w:iCs/>
          <w:lang w:val="fr-FR"/>
        </w:rPr>
      </w:pPr>
      <w:r w:rsidRPr="00E43023">
        <w:rPr>
          <w:bCs/>
          <w:iCs/>
          <w:lang w:val="fr-FR"/>
        </w:rPr>
        <w:t>TT6</w:t>
      </w:r>
      <w:r w:rsidRPr="00E43023">
        <w:rPr>
          <w:bCs/>
          <w:iCs/>
          <w:lang w:val="fr-FR"/>
        </w:rPr>
        <w:tab/>
      </w:r>
      <w:r>
        <w:rPr>
          <w:iCs/>
          <w:lang w:val="fr-FR"/>
        </w:rPr>
        <w:t>Dans la colonne de gauche, modifier le texte pour lire comme suit :</w:t>
      </w:r>
    </w:p>
    <w:p w14:paraId="6FA44CE5" w14:textId="77777777" w:rsidR="00B975C2" w:rsidRDefault="00B975C2" w:rsidP="00797C3E">
      <w:pPr>
        <w:pStyle w:val="SingleTxtG"/>
        <w:keepNext/>
        <w:keepLines/>
        <w:spacing w:before="120" w:line="240" w:lineRule="auto"/>
        <w:ind w:left="2268"/>
        <w:jc w:val="left"/>
        <w:rPr>
          <w:iCs/>
          <w:lang w:val="fr-FR"/>
        </w:rPr>
      </w:pPr>
      <w:r>
        <w:rPr>
          <w:iCs/>
          <w:lang w:val="fr-FR"/>
        </w:rPr>
        <w:t>« </w:t>
      </w:r>
      <w:r w:rsidRPr="007B5F27">
        <w:rPr>
          <w:iCs/>
          <w:lang w:val="fr-FR"/>
        </w:rPr>
        <w:t>L</w:t>
      </w:r>
      <w:r>
        <w:rPr>
          <w:iCs/>
          <w:lang w:val="fr-FR"/>
        </w:rPr>
        <w:t>e</w:t>
      </w:r>
      <w:r w:rsidRPr="007B5F27">
        <w:rPr>
          <w:iCs/>
          <w:lang w:val="fr-FR"/>
        </w:rPr>
        <w:t xml:space="preserve"> </w:t>
      </w:r>
      <w:r>
        <w:rPr>
          <w:iCs/>
          <w:lang w:val="fr-FR"/>
        </w:rPr>
        <w:t>contrôle</w:t>
      </w:r>
      <w:r w:rsidRPr="007B5F27">
        <w:rPr>
          <w:iCs/>
          <w:lang w:val="fr-FR"/>
        </w:rPr>
        <w:t xml:space="preserve"> périodique doit avoir lieu au plus tard tous les quatre</w:t>
      </w:r>
      <w:r>
        <w:rPr>
          <w:iCs/>
          <w:lang w:val="fr-FR"/>
        </w:rPr>
        <w:t>/trois</w:t>
      </w:r>
      <w:r w:rsidRPr="007B5F27">
        <w:rPr>
          <w:iCs/>
          <w:lang w:val="fr-FR"/>
        </w:rPr>
        <w:t xml:space="preserve"> ans.</w:t>
      </w:r>
      <w:r>
        <w:rPr>
          <w:iCs/>
          <w:lang w:val="fr-FR"/>
        </w:rPr>
        <w:t> ».</w:t>
      </w:r>
    </w:p>
    <w:p w14:paraId="0D26DF29" w14:textId="77777777" w:rsidR="00B975C2" w:rsidRDefault="00B975C2" w:rsidP="00B975C2">
      <w:pPr>
        <w:pStyle w:val="SingleTxtG"/>
        <w:spacing w:before="120" w:after="0" w:line="240" w:lineRule="auto"/>
        <w:ind w:left="2268"/>
        <w:jc w:val="left"/>
        <w:rPr>
          <w:i/>
          <w:iCs/>
          <w:lang w:val="fr-FR"/>
        </w:rPr>
      </w:pPr>
      <w:r w:rsidRPr="00DC6778">
        <w:rPr>
          <w:i/>
          <w:iCs/>
          <w:lang w:val="fr-FR"/>
        </w:rPr>
        <w:t>(</w:t>
      </w:r>
      <w:r w:rsidRPr="00DC6778">
        <w:rPr>
          <w:i/>
        </w:rPr>
        <w:t xml:space="preserve">Document </w:t>
      </w:r>
      <w:r w:rsidRPr="00DC6778">
        <w:rPr>
          <w:i/>
          <w:iCs/>
          <w:lang w:val="fr-FR"/>
        </w:rPr>
        <w:t>de référence</w:t>
      </w:r>
      <w:r>
        <w:rPr>
          <w:i/>
          <w:iCs/>
          <w:lang w:val="fr-FR"/>
        </w:rPr>
        <w:t> </w:t>
      </w:r>
      <w:r w:rsidRPr="00DC6778">
        <w:rPr>
          <w:i/>
          <w:iCs/>
          <w:lang w:val="fr-FR"/>
        </w:rPr>
        <w:t xml:space="preserve">: document </w:t>
      </w:r>
      <w:r>
        <w:rPr>
          <w:i/>
          <w:iCs/>
          <w:lang w:val="fr-FR"/>
        </w:rPr>
        <w:t>informel INF.29 tel que modifié par le</w:t>
      </w:r>
      <w:r w:rsidRPr="00DC6778">
        <w:rPr>
          <w:i/>
          <w:iCs/>
          <w:lang w:val="fr-FR"/>
        </w:rPr>
        <w:t xml:space="preserve"> document </w:t>
      </w:r>
      <w:r>
        <w:rPr>
          <w:i/>
          <w:iCs/>
          <w:lang w:val="fr-FR"/>
        </w:rPr>
        <w:t>informel INF.39)</w:t>
      </w:r>
    </w:p>
    <w:p w14:paraId="274BE603" w14:textId="77777777" w:rsidR="00B975C2" w:rsidRDefault="00B975C2" w:rsidP="00E43023">
      <w:pPr>
        <w:pStyle w:val="SingleTxtG"/>
        <w:spacing w:before="120" w:line="240" w:lineRule="auto"/>
        <w:ind w:left="2259" w:hanging="558"/>
        <w:jc w:val="left"/>
        <w:rPr>
          <w:iCs/>
          <w:lang w:val="fr-FR"/>
        </w:rPr>
      </w:pPr>
      <w:r w:rsidRPr="00E43023">
        <w:rPr>
          <w:bCs/>
          <w:iCs/>
          <w:lang w:val="fr-FR"/>
        </w:rPr>
        <w:t>TT8</w:t>
      </w:r>
      <w:r w:rsidRPr="00E43023">
        <w:rPr>
          <w:bCs/>
          <w:iCs/>
          <w:lang w:val="fr-FR"/>
        </w:rPr>
        <w:tab/>
      </w:r>
      <w:r>
        <w:rPr>
          <w:iCs/>
          <w:lang w:val="fr-FR"/>
        </w:rPr>
        <w:t>Au premier paragraphe, remplacer « </w:t>
      </w:r>
      <w:r w:rsidRPr="00233477">
        <w:t>épreuve</w:t>
      </w:r>
      <w:r>
        <w:t> » par</w:t>
      </w:r>
      <w:r>
        <w:rPr>
          <w:iCs/>
          <w:lang w:val="fr-FR"/>
        </w:rPr>
        <w:t> « contrôle ».</w:t>
      </w:r>
    </w:p>
    <w:p w14:paraId="25C3CAD2" w14:textId="77777777" w:rsidR="00B975C2" w:rsidRDefault="00B975C2" w:rsidP="00B975C2">
      <w:pPr>
        <w:pStyle w:val="SingleTxtG"/>
        <w:spacing w:before="120" w:after="0" w:line="240" w:lineRule="auto"/>
        <w:ind w:left="2268"/>
        <w:jc w:val="left"/>
        <w:rPr>
          <w:i/>
          <w:iCs/>
          <w:lang w:val="fr-FR"/>
        </w:rPr>
      </w:pPr>
      <w:r w:rsidRPr="00DC6778">
        <w:rPr>
          <w:i/>
          <w:iCs/>
          <w:lang w:val="fr-FR"/>
        </w:rPr>
        <w:t>(</w:t>
      </w:r>
      <w:r w:rsidRPr="00DC6778">
        <w:rPr>
          <w:i/>
        </w:rPr>
        <w:t xml:space="preserve">Document </w:t>
      </w:r>
      <w:r w:rsidRPr="00DC6778">
        <w:rPr>
          <w:i/>
          <w:iCs/>
          <w:lang w:val="fr-FR"/>
        </w:rPr>
        <w:t>de référence</w:t>
      </w:r>
      <w:r>
        <w:rPr>
          <w:i/>
          <w:iCs/>
          <w:lang w:val="fr-FR"/>
        </w:rPr>
        <w:t> </w:t>
      </w:r>
      <w:r w:rsidRPr="00DC6778">
        <w:rPr>
          <w:i/>
          <w:iCs/>
          <w:lang w:val="fr-FR"/>
        </w:rPr>
        <w:t xml:space="preserve">: document </w:t>
      </w:r>
      <w:r>
        <w:rPr>
          <w:i/>
          <w:iCs/>
          <w:lang w:val="fr-FR"/>
        </w:rPr>
        <w:t>informel INF.29)</w:t>
      </w:r>
    </w:p>
    <w:p w14:paraId="6348A9F0" w14:textId="77777777" w:rsidR="00B975C2" w:rsidRDefault="00B975C2" w:rsidP="00E43023">
      <w:pPr>
        <w:pStyle w:val="SingleTxtG"/>
        <w:spacing w:before="120" w:line="240" w:lineRule="auto"/>
        <w:ind w:left="2259" w:hanging="1125"/>
        <w:jc w:val="left"/>
        <w:rPr>
          <w:lang w:val="fr-FR"/>
        </w:rPr>
      </w:pPr>
      <w:r w:rsidRPr="00E43023">
        <w:rPr>
          <w:bCs/>
          <w:lang w:val="fr-FR"/>
        </w:rPr>
        <w:t>6.10.4</w:t>
      </w:r>
      <w:r w:rsidRPr="003770B6">
        <w:rPr>
          <w:b/>
          <w:lang w:val="fr-FR"/>
        </w:rPr>
        <w:tab/>
      </w:r>
      <w:r>
        <w:t>R</w:t>
      </w:r>
      <w:proofErr w:type="spellStart"/>
      <w:r>
        <w:rPr>
          <w:iCs/>
          <w:lang w:val="fr-FR"/>
        </w:rPr>
        <w:t>emplacer</w:t>
      </w:r>
      <w:proofErr w:type="spellEnd"/>
      <w:r>
        <w:rPr>
          <w:iCs/>
          <w:lang w:val="fr-FR"/>
        </w:rPr>
        <w:t xml:space="preserve"> « </w:t>
      </w:r>
      <w:r w:rsidRPr="00233477">
        <w:rPr>
          <w:lang w:val="fr-FR"/>
        </w:rPr>
        <w:t>de</w:t>
      </w:r>
      <w:r>
        <w:rPr>
          <w:lang w:val="fr-FR"/>
        </w:rPr>
        <w:t>s</w:t>
      </w:r>
      <w:r w:rsidRPr="00233477">
        <w:rPr>
          <w:lang w:val="fr-FR"/>
        </w:rPr>
        <w:t xml:space="preserve"> épreuve</w:t>
      </w:r>
      <w:r>
        <w:rPr>
          <w:lang w:val="fr-FR"/>
        </w:rPr>
        <w:t>s</w:t>
      </w:r>
      <w:r>
        <w:rPr>
          <w:iCs/>
          <w:lang w:val="fr-FR"/>
        </w:rPr>
        <w:t> » par </w:t>
      </w:r>
      <w:r w:rsidRPr="00D04DD2">
        <w:t>«</w:t>
      </w:r>
      <w:r>
        <w:t> du contrôle</w:t>
      </w:r>
      <w:r>
        <w:rPr>
          <w:lang w:val="fr-FR"/>
        </w:rPr>
        <w:t> </w:t>
      </w:r>
      <w:r w:rsidRPr="00D04DD2">
        <w:t>».</w:t>
      </w:r>
    </w:p>
    <w:p w14:paraId="75AC393F" w14:textId="77777777" w:rsidR="00B975C2" w:rsidRDefault="00B975C2" w:rsidP="00B975C2">
      <w:pPr>
        <w:pStyle w:val="SingleTxtG"/>
        <w:spacing w:before="120" w:after="0" w:line="240" w:lineRule="auto"/>
        <w:ind w:left="2268"/>
        <w:jc w:val="left"/>
        <w:rPr>
          <w:i/>
          <w:iCs/>
          <w:lang w:val="fr-FR"/>
        </w:rPr>
      </w:pPr>
      <w:r w:rsidRPr="00DC6778">
        <w:rPr>
          <w:i/>
          <w:iCs/>
          <w:lang w:val="fr-FR"/>
        </w:rPr>
        <w:t>(</w:t>
      </w:r>
      <w:r w:rsidRPr="00DC6778">
        <w:rPr>
          <w:i/>
        </w:rPr>
        <w:t xml:space="preserve">Document </w:t>
      </w:r>
      <w:r w:rsidRPr="00DC6778">
        <w:rPr>
          <w:i/>
          <w:iCs/>
          <w:lang w:val="fr-FR"/>
        </w:rPr>
        <w:t>de référence</w:t>
      </w:r>
      <w:r>
        <w:rPr>
          <w:i/>
          <w:iCs/>
          <w:lang w:val="fr-FR"/>
        </w:rPr>
        <w:t> </w:t>
      </w:r>
      <w:r w:rsidRPr="00DC6778">
        <w:rPr>
          <w:i/>
          <w:iCs/>
          <w:lang w:val="fr-FR"/>
        </w:rPr>
        <w:t xml:space="preserve">: document </w:t>
      </w:r>
      <w:r>
        <w:rPr>
          <w:i/>
          <w:iCs/>
          <w:lang w:val="fr-FR"/>
        </w:rPr>
        <w:t>informel INF.29 tel que modifié par le</w:t>
      </w:r>
      <w:r w:rsidRPr="00DC6778">
        <w:rPr>
          <w:i/>
          <w:iCs/>
          <w:lang w:val="fr-FR"/>
        </w:rPr>
        <w:t xml:space="preserve"> document </w:t>
      </w:r>
      <w:r>
        <w:rPr>
          <w:i/>
          <w:iCs/>
          <w:lang w:val="fr-FR"/>
        </w:rPr>
        <w:t>informel INF.39)</w:t>
      </w:r>
    </w:p>
    <w:p w14:paraId="6B1D16A7" w14:textId="77777777" w:rsidR="0001132B" w:rsidRPr="001632D5" w:rsidRDefault="001632D5" w:rsidP="001632D5">
      <w:pPr>
        <w:pStyle w:val="H1G"/>
      </w:pPr>
      <w:r>
        <w:tab/>
      </w:r>
      <w:r>
        <w:tab/>
      </w:r>
      <w:r w:rsidR="0001132B" w:rsidRPr="001632D5">
        <w:t>Chapitre 7.5</w:t>
      </w:r>
    </w:p>
    <w:p w14:paraId="55FAECBE" w14:textId="77777777" w:rsidR="00D433CA" w:rsidRDefault="0001132B" w:rsidP="0001132B">
      <w:pPr>
        <w:pStyle w:val="SingleTxtG"/>
        <w:spacing w:before="120" w:line="240" w:lineRule="auto"/>
        <w:jc w:val="left"/>
        <w:rPr>
          <w:bCs/>
        </w:rPr>
      </w:pPr>
      <w:r w:rsidRPr="00E43023">
        <w:rPr>
          <w:bCs/>
        </w:rPr>
        <w:t>7.5.11</w:t>
      </w:r>
      <w:r w:rsidRPr="00E43023">
        <w:rPr>
          <w:bCs/>
        </w:rPr>
        <w:tab/>
      </w:r>
      <w:r w:rsidR="00E43023" w:rsidRPr="00E43023">
        <w:rPr>
          <w:bCs/>
        </w:rPr>
        <w:tab/>
      </w:r>
      <w:r w:rsidR="00D433CA">
        <w:rPr>
          <w:bCs/>
        </w:rPr>
        <w:t>Modifier la disposition supplémentaire CW36/CV36 comme suit :</w:t>
      </w:r>
    </w:p>
    <w:p w14:paraId="16591A67" w14:textId="77777777" w:rsidR="0001132B" w:rsidRPr="00E43023" w:rsidRDefault="00D433CA" w:rsidP="0001132B">
      <w:pPr>
        <w:pStyle w:val="SingleTxtG"/>
        <w:spacing w:before="120" w:line="240" w:lineRule="auto"/>
        <w:jc w:val="left"/>
        <w:rPr>
          <w:bCs/>
        </w:rPr>
      </w:pPr>
      <w:r>
        <w:rPr>
          <w:bCs/>
        </w:rPr>
        <w:t>(RID:)</w:t>
      </w:r>
      <w:r w:rsidR="00E43023">
        <w:rPr>
          <w:bCs/>
        </w:rPr>
        <w:tab/>
      </w:r>
    </w:p>
    <w:p w14:paraId="7356B20A" w14:textId="77777777" w:rsidR="00D433CA" w:rsidRDefault="0001132B" w:rsidP="00D433CA">
      <w:pPr>
        <w:pStyle w:val="SingleTxtG"/>
        <w:spacing w:before="120" w:line="240" w:lineRule="auto"/>
        <w:ind w:left="2259" w:hanging="1125"/>
        <w:jc w:val="left"/>
      </w:pPr>
      <w:r w:rsidRPr="00D433CA">
        <w:rPr>
          <w:bCs/>
        </w:rPr>
        <w:t>CW36</w:t>
      </w:r>
      <w:r w:rsidR="00D433CA">
        <w:rPr>
          <w:bCs/>
        </w:rPr>
        <w:tab/>
      </w:r>
      <w:r w:rsidR="00D433CA">
        <w:t>Modifier la deuxième phrase pour lire comme suit :</w:t>
      </w:r>
    </w:p>
    <w:p w14:paraId="5FF9148E" w14:textId="6C634CC1" w:rsidR="00D433CA" w:rsidRPr="00E43023" w:rsidRDefault="00D433CA" w:rsidP="00D433CA">
      <w:pPr>
        <w:pStyle w:val="SingleTxtG"/>
        <w:ind w:left="2268"/>
      </w:pPr>
      <w:r w:rsidRPr="00E43023">
        <w:t>« Si cela n’est pas possible et que les colis sont chargés dans d’autres wagons couverts ou conteneurs fermés, aucun échange de gaz ne doit être possible entre le compartiment de chargement et les compartiments accessibles pendant le transport et les portes de chargement de ces wagons ou conteneurs doivent être marquées comme suit, en lettre d’au moins 25 mm de hauteur :</w:t>
      </w:r>
    </w:p>
    <w:p w14:paraId="71966D37" w14:textId="77777777" w:rsidR="00D433CA" w:rsidRPr="00E43023" w:rsidRDefault="00D433CA" w:rsidP="00D433CA">
      <w:pPr>
        <w:pStyle w:val="SingleTxtG"/>
        <w:spacing w:after="0"/>
        <w:ind w:left="2268"/>
        <w:jc w:val="center"/>
      </w:pPr>
      <w:r w:rsidRPr="00E43023">
        <w:t>« ATTENTION</w:t>
      </w:r>
    </w:p>
    <w:p w14:paraId="32E8CAD2" w14:textId="77777777" w:rsidR="00D433CA" w:rsidRPr="00E43023" w:rsidRDefault="00D433CA" w:rsidP="00D433CA">
      <w:pPr>
        <w:pStyle w:val="SingleTxtG"/>
        <w:spacing w:after="0"/>
        <w:ind w:left="2268"/>
        <w:jc w:val="center"/>
      </w:pPr>
      <w:r w:rsidRPr="00E43023">
        <w:t>ESPACE CONFINÉ</w:t>
      </w:r>
    </w:p>
    <w:p w14:paraId="27B9AD3D" w14:textId="77777777" w:rsidR="00D433CA" w:rsidRPr="00E43023" w:rsidRDefault="00D433CA" w:rsidP="00D433CA">
      <w:pPr>
        <w:pStyle w:val="SingleTxtG"/>
        <w:ind w:left="2268"/>
        <w:jc w:val="center"/>
      </w:pPr>
      <w:r w:rsidRPr="00E43023">
        <w:t>OUVRIR AVEC PRÉCAUTION » ».</w:t>
      </w:r>
    </w:p>
    <w:p w14:paraId="1937B390" w14:textId="77777777" w:rsidR="00D433CA" w:rsidRDefault="00D433CA" w:rsidP="00D433CA">
      <w:pPr>
        <w:pStyle w:val="SingleTxtG"/>
        <w:spacing w:before="120" w:line="240" w:lineRule="auto"/>
        <w:ind w:left="2268"/>
        <w:jc w:val="left"/>
      </w:pPr>
      <w:r w:rsidRPr="00DC6778">
        <w:rPr>
          <w:i/>
          <w:iCs/>
          <w:lang w:val="fr-FR"/>
        </w:rPr>
        <w:t>(</w:t>
      </w:r>
      <w:r w:rsidRPr="00DC6778">
        <w:rPr>
          <w:i/>
        </w:rPr>
        <w:t xml:space="preserve">Document </w:t>
      </w:r>
      <w:r w:rsidRPr="00DC6778">
        <w:rPr>
          <w:i/>
          <w:iCs/>
          <w:lang w:val="fr-FR"/>
        </w:rPr>
        <w:t>de référence</w:t>
      </w:r>
      <w:r>
        <w:rPr>
          <w:i/>
          <w:iCs/>
          <w:lang w:val="fr-FR"/>
        </w:rPr>
        <w:t> </w:t>
      </w:r>
      <w:r w:rsidRPr="00DC6778">
        <w:rPr>
          <w:i/>
          <w:iCs/>
          <w:lang w:val="fr-FR"/>
        </w:rPr>
        <w:t xml:space="preserve">: document </w:t>
      </w:r>
      <w:r>
        <w:rPr>
          <w:i/>
          <w:iCs/>
          <w:lang w:val="fr-FR"/>
        </w:rPr>
        <w:t>ECE/TRANS/WP.15/AC.1/2019/9</w:t>
      </w:r>
      <w:r w:rsidRPr="00DC6778">
        <w:rPr>
          <w:i/>
          <w:iCs/>
          <w:lang w:val="fr-FR"/>
        </w:rPr>
        <w:t>)</w:t>
      </w:r>
    </w:p>
    <w:p w14:paraId="08F049D9" w14:textId="77777777" w:rsidR="0001132B" w:rsidRDefault="0001132B" w:rsidP="0001132B">
      <w:pPr>
        <w:pStyle w:val="SingleTxtG"/>
        <w:spacing w:before="120" w:line="240" w:lineRule="auto"/>
        <w:ind w:left="2259" w:hanging="1125"/>
        <w:jc w:val="left"/>
      </w:pPr>
      <w:r w:rsidRPr="005C17D5">
        <w:rPr>
          <w:b/>
        </w:rPr>
        <w:t>CV36</w:t>
      </w:r>
      <w:r>
        <w:tab/>
        <w:t>Modifier la deuxième phrase pour lire comme suit :</w:t>
      </w:r>
    </w:p>
    <w:p w14:paraId="054DB598" w14:textId="2EF21222" w:rsidR="0001132B" w:rsidRPr="00E43023" w:rsidRDefault="0001132B" w:rsidP="00E43023">
      <w:pPr>
        <w:pStyle w:val="SingleTxtG"/>
        <w:ind w:left="2268"/>
      </w:pPr>
      <w:r w:rsidRPr="00E43023">
        <w:t>« Si cela n’est pas possible et que les colis sont chargés dans d’autres véhicules couverts ou conteneurs fermés, aucun échange de gaz ne doit être possible entre le compartiment de chargement et la cabine du conducteur et les portes de chargement de ces véhicules ou conteneurs doivent être marquées comme suit, en lettre d’au moins 25 mm de hauteur :</w:t>
      </w:r>
    </w:p>
    <w:p w14:paraId="113C3EB2" w14:textId="77777777" w:rsidR="0001132B" w:rsidRPr="00E43023" w:rsidRDefault="0001132B" w:rsidP="00E43023">
      <w:pPr>
        <w:pStyle w:val="SingleTxtG"/>
        <w:spacing w:after="0"/>
        <w:ind w:left="2268"/>
        <w:jc w:val="center"/>
      </w:pPr>
      <w:r w:rsidRPr="00E43023">
        <w:t>« ATTENTION</w:t>
      </w:r>
    </w:p>
    <w:p w14:paraId="4F3DE82A" w14:textId="77777777" w:rsidR="0001132B" w:rsidRPr="00E43023" w:rsidRDefault="0001132B" w:rsidP="00E43023">
      <w:pPr>
        <w:pStyle w:val="SingleTxtG"/>
        <w:spacing w:after="0"/>
        <w:ind w:left="2268"/>
        <w:jc w:val="center"/>
      </w:pPr>
      <w:r w:rsidRPr="00E43023">
        <w:t>ESPACE CONFIN</w:t>
      </w:r>
      <w:r w:rsidR="00E43023" w:rsidRPr="00E43023">
        <w:t>É</w:t>
      </w:r>
    </w:p>
    <w:p w14:paraId="15006143" w14:textId="77777777" w:rsidR="0001132B" w:rsidRPr="00E43023" w:rsidRDefault="0001132B" w:rsidP="00E43023">
      <w:pPr>
        <w:pStyle w:val="SingleTxtG"/>
        <w:ind w:left="2268"/>
        <w:jc w:val="center"/>
      </w:pPr>
      <w:r w:rsidRPr="00E43023">
        <w:t>OUVRIR AVEC PR</w:t>
      </w:r>
      <w:r w:rsidR="00E43023" w:rsidRPr="00E43023">
        <w:t>É</w:t>
      </w:r>
      <w:r w:rsidRPr="00E43023">
        <w:t>CAUTION » ».</w:t>
      </w:r>
    </w:p>
    <w:p w14:paraId="4A9FFE30" w14:textId="77777777" w:rsidR="0001132B" w:rsidRDefault="0001132B" w:rsidP="0001132B">
      <w:pPr>
        <w:pStyle w:val="SingleTxtG"/>
        <w:spacing w:before="120" w:line="240" w:lineRule="auto"/>
        <w:ind w:left="2268"/>
        <w:jc w:val="left"/>
      </w:pPr>
      <w:r w:rsidRPr="00DC6778">
        <w:rPr>
          <w:i/>
          <w:iCs/>
          <w:lang w:val="fr-FR"/>
        </w:rPr>
        <w:t>(</w:t>
      </w:r>
      <w:r w:rsidRPr="00DC6778">
        <w:rPr>
          <w:i/>
        </w:rPr>
        <w:t xml:space="preserve">Document </w:t>
      </w:r>
      <w:r w:rsidRPr="00DC6778">
        <w:rPr>
          <w:i/>
          <w:iCs/>
          <w:lang w:val="fr-FR"/>
        </w:rPr>
        <w:t>de référence</w:t>
      </w:r>
      <w:r>
        <w:rPr>
          <w:i/>
          <w:iCs/>
          <w:lang w:val="fr-FR"/>
        </w:rPr>
        <w:t> </w:t>
      </w:r>
      <w:r w:rsidRPr="00DC6778">
        <w:rPr>
          <w:i/>
          <w:iCs/>
          <w:lang w:val="fr-FR"/>
        </w:rPr>
        <w:t xml:space="preserve">: document </w:t>
      </w:r>
      <w:r>
        <w:rPr>
          <w:i/>
          <w:iCs/>
          <w:lang w:val="fr-FR"/>
        </w:rPr>
        <w:t>ECE/TRANS/WP.15/AC.1/2019/9</w:t>
      </w:r>
      <w:r w:rsidRPr="00DC6778">
        <w:rPr>
          <w:i/>
          <w:iCs/>
          <w:lang w:val="fr-FR"/>
        </w:rPr>
        <w:t>)</w:t>
      </w:r>
    </w:p>
    <w:p w14:paraId="76E74FC6" w14:textId="77777777" w:rsidR="00BB2D95" w:rsidRPr="0001132B" w:rsidRDefault="0001132B" w:rsidP="0001132B">
      <w:pPr>
        <w:spacing w:before="240"/>
        <w:jc w:val="center"/>
        <w:rPr>
          <w:u w:val="single"/>
          <w:lang w:val="fr-FR"/>
        </w:rPr>
      </w:pPr>
      <w:r>
        <w:rPr>
          <w:u w:val="single"/>
          <w:lang w:val="fr-FR"/>
        </w:rPr>
        <w:tab/>
      </w:r>
      <w:r>
        <w:rPr>
          <w:u w:val="single"/>
          <w:lang w:val="fr-FR"/>
        </w:rPr>
        <w:tab/>
      </w:r>
      <w:r>
        <w:rPr>
          <w:u w:val="single"/>
          <w:lang w:val="fr-FR"/>
        </w:rPr>
        <w:tab/>
      </w:r>
    </w:p>
    <w:sectPr w:rsidR="00BB2D95" w:rsidRPr="0001132B" w:rsidSect="00852870">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AB0B7" w14:textId="77777777" w:rsidR="00852870" w:rsidRDefault="00852870" w:rsidP="00F95C08">
      <w:pPr>
        <w:spacing w:line="240" w:lineRule="auto"/>
      </w:pPr>
    </w:p>
  </w:endnote>
  <w:endnote w:type="continuationSeparator" w:id="0">
    <w:p w14:paraId="2D63BE86" w14:textId="77777777" w:rsidR="00852870" w:rsidRPr="00AC3823" w:rsidRDefault="00852870" w:rsidP="00AC3823">
      <w:pPr>
        <w:pStyle w:val="Footer"/>
      </w:pPr>
    </w:p>
  </w:endnote>
  <w:endnote w:type="continuationNotice" w:id="1">
    <w:p w14:paraId="5E470EEC" w14:textId="77777777" w:rsidR="00852870" w:rsidRDefault="0085287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504D9" w14:textId="77777777" w:rsidR="00852870" w:rsidRPr="00852870" w:rsidRDefault="00852870" w:rsidP="00852870">
    <w:pPr>
      <w:pStyle w:val="Footer"/>
      <w:tabs>
        <w:tab w:val="right" w:pos="9638"/>
      </w:tabs>
      <w:rPr>
        <w:sz w:val="18"/>
      </w:rPr>
    </w:pPr>
    <w:r w:rsidRPr="00852870">
      <w:rPr>
        <w:b/>
        <w:sz w:val="18"/>
      </w:rPr>
      <w:fldChar w:fldCharType="begin"/>
    </w:r>
    <w:r w:rsidRPr="00852870">
      <w:rPr>
        <w:b/>
        <w:sz w:val="18"/>
      </w:rPr>
      <w:instrText xml:space="preserve"> PAGE  \* MERGEFORMAT </w:instrText>
    </w:r>
    <w:r w:rsidRPr="00852870">
      <w:rPr>
        <w:b/>
        <w:sz w:val="18"/>
      </w:rPr>
      <w:fldChar w:fldCharType="separate"/>
    </w:r>
    <w:r w:rsidR="00430A4D">
      <w:rPr>
        <w:b/>
        <w:noProof/>
        <w:sz w:val="18"/>
      </w:rPr>
      <w:t>16</w:t>
    </w:r>
    <w:r w:rsidRPr="0085287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E83C8" w14:textId="77777777" w:rsidR="00852870" w:rsidRPr="00852870" w:rsidRDefault="00852870" w:rsidP="00852870">
    <w:pPr>
      <w:pStyle w:val="Footer"/>
      <w:tabs>
        <w:tab w:val="right" w:pos="9638"/>
      </w:tabs>
      <w:rPr>
        <w:b/>
        <w:sz w:val="18"/>
      </w:rPr>
    </w:pPr>
    <w:r>
      <w:tab/>
    </w:r>
    <w:r w:rsidRPr="00852870">
      <w:rPr>
        <w:b/>
        <w:sz w:val="18"/>
      </w:rPr>
      <w:fldChar w:fldCharType="begin"/>
    </w:r>
    <w:r w:rsidRPr="00852870">
      <w:rPr>
        <w:b/>
        <w:sz w:val="18"/>
      </w:rPr>
      <w:instrText xml:space="preserve"> PAGE  \* MERGEFORMAT </w:instrText>
    </w:r>
    <w:r w:rsidRPr="00852870">
      <w:rPr>
        <w:b/>
        <w:sz w:val="18"/>
      </w:rPr>
      <w:fldChar w:fldCharType="separate"/>
    </w:r>
    <w:r w:rsidR="00430A4D">
      <w:rPr>
        <w:b/>
        <w:noProof/>
        <w:sz w:val="18"/>
      </w:rPr>
      <w:t>17</w:t>
    </w:r>
    <w:r w:rsidRPr="0085287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D443E" w14:textId="6FB94713" w:rsidR="000D3EE9" w:rsidRPr="00852870" w:rsidRDefault="000D3EE9" w:rsidP="0001207F">
    <w:pPr>
      <w:pStyle w:val="Footer"/>
      <w:spacing w:before="12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82E79" w14:textId="77777777" w:rsidR="00852870" w:rsidRPr="00AC3823" w:rsidRDefault="00852870" w:rsidP="00AC3823">
      <w:pPr>
        <w:pStyle w:val="Footer"/>
        <w:tabs>
          <w:tab w:val="right" w:pos="2155"/>
        </w:tabs>
        <w:spacing w:after="80" w:line="240" w:lineRule="atLeast"/>
        <w:ind w:left="680"/>
        <w:rPr>
          <w:u w:val="single"/>
        </w:rPr>
      </w:pPr>
      <w:r>
        <w:rPr>
          <w:u w:val="single"/>
        </w:rPr>
        <w:tab/>
      </w:r>
    </w:p>
  </w:footnote>
  <w:footnote w:type="continuationSeparator" w:id="0">
    <w:p w14:paraId="273743EC" w14:textId="77777777" w:rsidR="00852870" w:rsidRPr="00AC3823" w:rsidRDefault="00852870" w:rsidP="00AC3823">
      <w:pPr>
        <w:pStyle w:val="Footer"/>
        <w:tabs>
          <w:tab w:val="right" w:pos="2155"/>
        </w:tabs>
        <w:spacing w:after="80" w:line="240" w:lineRule="atLeast"/>
        <w:ind w:left="680"/>
        <w:rPr>
          <w:u w:val="single"/>
        </w:rPr>
      </w:pPr>
      <w:r>
        <w:rPr>
          <w:u w:val="single"/>
        </w:rPr>
        <w:tab/>
      </w:r>
    </w:p>
  </w:footnote>
  <w:footnote w:type="continuationNotice" w:id="1">
    <w:p w14:paraId="3704B693" w14:textId="77777777" w:rsidR="00852870" w:rsidRPr="00AC3823" w:rsidRDefault="00852870">
      <w:pPr>
        <w:spacing w:line="240" w:lineRule="auto"/>
        <w:rPr>
          <w:sz w:val="2"/>
          <w:szCs w:val="2"/>
        </w:rPr>
      </w:pPr>
    </w:p>
  </w:footnote>
  <w:footnote w:id="2">
    <w:p w14:paraId="0A69FF2B" w14:textId="77777777" w:rsidR="00265E75" w:rsidRPr="00265E75" w:rsidRDefault="00265E75">
      <w:pPr>
        <w:pStyle w:val="FootnoteText"/>
      </w:pPr>
      <w:r>
        <w:rPr>
          <w:rStyle w:val="FootnoteReference"/>
        </w:rPr>
        <w:tab/>
      </w:r>
      <w:r w:rsidRPr="00265E75">
        <w:rPr>
          <w:rStyle w:val="FootnoteReference"/>
          <w:sz w:val="20"/>
          <w:vertAlign w:val="baseline"/>
        </w:rPr>
        <w:t>*</w:t>
      </w:r>
      <w:r>
        <w:rPr>
          <w:rStyle w:val="FootnoteReference"/>
          <w:sz w:val="20"/>
          <w:vertAlign w:val="baseline"/>
        </w:rPr>
        <w:tab/>
      </w:r>
      <w:r>
        <w:t xml:space="preserve">Diffusé par l'Organisation intergouvernementale pour les transports internationaux ferroviaires </w:t>
      </w:r>
      <w:r w:rsidRPr="0066112C">
        <w:t>(OTIF) sous la cote OTIF/RID/RC/2019-A. Sauf indication</w:t>
      </w:r>
      <w:r>
        <w:t xml:space="preserve"> contraire, les autres documents auxquels il est fait référence dans le présent rapport et qui portent une cote ECE/TRANS/WP.15/AC.1/ suivie de l’année et d’un numéro de série ont été diffusés par l’OTIF sous la cote OTIF/RID/RC/ suivie de l’année et du même numéro de série.</w:t>
      </w:r>
    </w:p>
  </w:footnote>
  <w:footnote w:id="3">
    <w:p w14:paraId="76D9D51B" w14:textId="77777777" w:rsidR="00385C24" w:rsidRPr="00B81BA2" w:rsidRDefault="00385C24" w:rsidP="00385C24">
      <w:pPr>
        <w:pStyle w:val="FootnoteText"/>
      </w:pPr>
      <w:r>
        <w:rPr>
          <w:rStyle w:val="FootnoteReference"/>
        </w:rPr>
        <w:tab/>
      </w:r>
      <w:r w:rsidRPr="00B81BA2">
        <w:rPr>
          <w:rStyle w:val="FootnoteReference"/>
          <w:sz w:val="20"/>
          <w:vertAlign w:val="baseline"/>
        </w:rPr>
        <w:t>**</w:t>
      </w:r>
      <w:r>
        <w:rPr>
          <w:rStyle w:val="FootnoteReference"/>
          <w:sz w:val="20"/>
          <w:vertAlign w:val="baseline"/>
        </w:rPr>
        <w:tab/>
      </w:r>
      <w:r>
        <w:t>Pour des raisons pratiques, l’annexe I est reproduite sous forme d’additif au présent document, sous la cote ECE/TRANS/WP.15/AC.1/154/Add.1.</w:t>
      </w:r>
    </w:p>
  </w:footnote>
  <w:footnote w:id="4">
    <w:p w14:paraId="767E0A15" w14:textId="77777777" w:rsidR="00BC395F" w:rsidRDefault="00BC395F">
      <w:pPr>
        <w:pStyle w:val="FootnoteText"/>
      </w:pPr>
      <w:r>
        <w:tab/>
      </w:r>
      <w:bookmarkStart w:id="1" w:name="_Hlk5639984"/>
      <w:r w:rsidRPr="00B470C2">
        <w:rPr>
          <w:rStyle w:val="FootnoteReference"/>
          <w:sz w:val="20"/>
        </w:rPr>
        <w:footnoteRef/>
      </w:r>
      <w:r>
        <w:tab/>
        <w:t xml:space="preserve"> Document informel INF</w:t>
      </w:r>
      <w:r w:rsidR="00916967">
        <w:t>.</w:t>
      </w:r>
      <w:r>
        <w:t>13/Rev.1 (</w:t>
      </w:r>
      <w:r w:rsidRPr="00BC395F">
        <w:t>http://www.unece.org/trans/main/dgdb/ac1/inf180319.html</w:t>
      </w:r>
      <w:r>
        <w:t>).</w:t>
      </w:r>
      <w:bookmarkEnd w:id="1"/>
    </w:p>
  </w:footnote>
  <w:footnote w:id="5">
    <w:p w14:paraId="5C55B027" w14:textId="77777777" w:rsidR="00707AAA" w:rsidRDefault="00E13D28">
      <w:pPr>
        <w:pStyle w:val="FootnoteText"/>
      </w:pPr>
      <w:r>
        <w:tab/>
      </w:r>
      <w:r w:rsidR="00707AAA" w:rsidRPr="003837A7">
        <w:rPr>
          <w:rStyle w:val="FootnoteReference"/>
          <w:sz w:val="20"/>
        </w:rPr>
        <w:footnoteRef/>
      </w:r>
      <w:r w:rsidR="00707AAA">
        <w:t xml:space="preserve"> </w:t>
      </w:r>
      <w:r>
        <w:tab/>
      </w:r>
      <w:hyperlink r:id="rId1" w:history="1">
        <w:r w:rsidRPr="00991739">
          <w:rPr>
            <w:rStyle w:val="Hyperlink"/>
          </w:rPr>
          <w:t>https://www.transportlogistic.de/trade-fair/at-the-fair/conference-program/event-database.php/mmg/eventdatabase/en/detail/12725/TRL2019Z</w:t>
        </w:r>
      </w:hyperlink>
    </w:p>
  </w:footnote>
  <w:footnote w:id="6">
    <w:p w14:paraId="5E53B0FE" w14:textId="77777777" w:rsidR="00AE2429" w:rsidRDefault="00AE2429" w:rsidP="00AE2429">
      <w:pPr>
        <w:pStyle w:val="FootnoteText"/>
      </w:pPr>
      <w:r>
        <w:tab/>
      </w:r>
      <w:r w:rsidRPr="003837A7">
        <w:rPr>
          <w:rStyle w:val="FootnoteReference"/>
          <w:sz w:val="20"/>
        </w:rPr>
        <w:footnoteRef/>
      </w:r>
      <w:r>
        <w:tab/>
      </w:r>
      <w:r>
        <w:rPr>
          <w:lang w:val="fr-FR"/>
        </w:rPr>
        <w:t>On trouvera le mandat de ce groupe de travail informel à l’annexe IV du document ECE/TRANS/WP.15/AC.1/152.</w:t>
      </w:r>
    </w:p>
  </w:footnote>
  <w:footnote w:id="7">
    <w:p w14:paraId="4BB9DE88" w14:textId="77777777" w:rsidR="00AE2429" w:rsidRDefault="00AE2429" w:rsidP="00AE2429">
      <w:pPr>
        <w:pStyle w:val="FootnoteText"/>
      </w:pPr>
      <w:r>
        <w:tab/>
      </w:r>
      <w:r w:rsidRPr="003837A7">
        <w:rPr>
          <w:rStyle w:val="FootnoteReference"/>
          <w:sz w:val="20"/>
        </w:rPr>
        <w:footnoteRef/>
      </w:r>
      <w:r>
        <w:tab/>
      </w:r>
      <w:r>
        <w:rPr>
          <w:lang w:val="fr-FR"/>
        </w:rPr>
        <w:t>https://www.era.europa.eu/activities/transport-dangerous-goods/inland-tdg_en.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0E6E2" w14:textId="77777777" w:rsidR="00852870" w:rsidRPr="00852870" w:rsidRDefault="00D76D6E">
    <w:pPr>
      <w:pStyle w:val="Header"/>
    </w:pPr>
    <w:fldSimple w:instr=" TITLE  \* MERGEFORMAT ">
      <w:r w:rsidR="00C63A0E">
        <w:t>ECE/TRANS/WP.15/AC.1/154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73B32" w14:textId="77777777" w:rsidR="00852870" w:rsidRPr="00852870" w:rsidRDefault="00D76D6E" w:rsidP="00852870">
    <w:pPr>
      <w:pStyle w:val="Header"/>
      <w:jc w:val="right"/>
    </w:pPr>
    <w:fldSimple w:instr=" TITLE  \* MERGEFORMAT ">
      <w:r w:rsidR="00C63A0E">
        <w:t>ECE/TRANS/WP.15/AC.1/154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NotTrackFormatting/>
  <w:defaultTabStop w:val="567"/>
  <w:hyphenationZone w:val="425"/>
  <w:evenAndOddHeaders/>
  <w:characterSpacingControl w:val="doNotCompress"/>
  <w:hdrShapeDefaults>
    <o:shapedefaults v:ext="edit" spidmax="3072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F2324AE-7E1B-46E0-BE39-6171A5137F5D}"/>
    <w:docVar w:name="dgnword-eventsink" w:val="646185176"/>
  </w:docVars>
  <w:rsids>
    <w:rsidRoot w:val="00852870"/>
    <w:rsid w:val="0001132B"/>
    <w:rsid w:val="0001207F"/>
    <w:rsid w:val="00017F94"/>
    <w:rsid w:val="00023842"/>
    <w:rsid w:val="000334F9"/>
    <w:rsid w:val="0007796D"/>
    <w:rsid w:val="000942EE"/>
    <w:rsid w:val="000A52BF"/>
    <w:rsid w:val="000B7790"/>
    <w:rsid w:val="000D3EE9"/>
    <w:rsid w:val="000D62F3"/>
    <w:rsid w:val="001106E4"/>
    <w:rsid w:val="00111F2F"/>
    <w:rsid w:val="001433FD"/>
    <w:rsid w:val="0014365E"/>
    <w:rsid w:val="00144D89"/>
    <w:rsid w:val="001541D3"/>
    <w:rsid w:val="001632D5"/>
    <w:rsid w:val="001651F7"/>
    <w:rsid w:val="00176178"/>
    <w:rsid w:val="001D400F"/>
    <w:rsid w:val="001F525A"/>
    <w:rsid w:val="00223272"/>
    <w:rsid w:val="0023215B"/>
    <w:rsid w:val="00240333"/>
    <w:rsid w:val="0024779E"/>
    <w:rsid w:val="00265E75"/>
    <w:rsid w:val="00276F4D"/>
    <w:rsid w:val="002832AC"/>
    <w:rsid w:val="002D7C93"/>
    <w:rsid w:val="002F0BBC"/>
    <w:rsid w:val="0037241C"/>
    <w:rsid w:val="003819FF"/>
    <w:rsid w:val="003837A7"/>
    <w:rsid w:val="00385C24"/>
    <w:rsid w:val="003B534E"/>
    <w:rsid w:val="003C0D54"/>
    <w:rsid w:val="003C7D70"/>
    <w:rsid w:val="00430A4D"/>
    <w:rsid w:val="004342FC"/>
    <w:rsid w:val="00441C3B"/>
    <w:rsid w:val="00446B0A"/>
    <w:rsid w:val="00446FE5"/>
    <w:rsid w:val="00452396"/>
    <w:rsid w:val="0049687C"/>
    <w:rsid w:val="004E468C"/>
    <w:rsid w:val="005316B0"/>
    <w:rsid w:val="00537751"/>
    <w:rsid w:val="005505B7"/>
    <w:rsid w:val="00573BE5"/>
    <w:rsid w:val="00586ED3"/>
    <w:rsid w:val="00596AA9"/>
    <w:rsid w:val="005B4D0F"/>
    <w:rsid w:val="0063409E"/>
    <w:rsid w:val="00656AB6"/>
    <w:rsid w:val="0066112C"/>
    <w:rsid w:val="006F493D"/>
    <w:rsid w:val="00703D0F"/>
    <w:rsid w:val="00706363"/>
    <w:rsid w:val="00707AAA"/>
    <w:rsid w:val="0071601D"/>
    <w:rsid w:val="0073510B"/>
    <w:rsid w:val="00793210"/>
    <w:rsid w:val="00797C3E"/>
    <w:rsid w:val="007A62E6"/>
    <w:rsid w:val="007D5144"/>
    <w:rsid w:val="0080684C"/>
    <w:rsid w:val="008204DA"/>
    <w:rsid w:val="00852870"/>
    <w:rsid w:val="00871C75"/>
    <w:rsid w:val="008767E8"/>
    <w:rsid w:val="008776DC"/>
    <w:rsid w:val="00883605"/>
    <w:rsid w:val="00896BBA"/>
    <w:rsid w:val="008E6043"/>
    <w:rsid w:val="008F4682"/>
    <w:rsid w:val="00901556"/>
    <w:rsid w:val="00916967"/>
    <w:rsid w:val="00961E7B"/>
    <w:rsid w:val="00966F58"/>
    <w:rsid w:val="009705C8"/>
    <w:rsid w:val="00972CC8"/>
    <w:rsid w:val="00997DD3"/>
    <w:rsid w:val="009C1CF4"/>
    <w:rsid w:val="009F02C9"/>
    <w:rsid w:val="00A1736A"/>
    <w:rsid w:val="00A27317"/>
    <w:rsid w:val="00A30353"/>
    <w:rsid w:val="00A3244A"/>
    <w:rsid w:val="00A62D91"/>
    <w:rsid w:val="00A90D54"/>
    <w:rsid w:val="00AA113A"/>
    <w:rsid w:val="00AC3823"/>
    <w:rsid w:val="00AE2429"/>
    <w:rsid w:val="00AE323C"/>
    <w:rsid w:val="00AF774C"/>
    <w:rsid w:val="00B00181"/>
    <w:rsid w:val="00B00B0D"/>
    <w:rsid w:val="00B40927"/>
    <w:rsid w:val="00B470C2"/>
    <w:rsid w:val="00B50E25"/>
    <w:rsid w:val="00B64918"/>
    <w:rsid w:val="00B765F7"/>
    <w:rsid w:val="00B975C2"/>
    <w:rsid w:val="00BA0CA9"/>
    <w:rsid w:val="00BB2D95"/>
    <w:rsid w:val="00BC395F"/>
    <w:rsid w:val="00C02897"/>
    <w:rsid w:val="00C63A0E"/>
    <w:rsid w:val="00C7616F"/>
    <w:rsid w:val="00CB16B5"/>
    <w:rsid w:val="00CC43E4"/>
    <w:rsid w:val="00CE0608"/>
    <w:rsid w:val="00CF68FB"/>
    <w:rsid w:val="00D3439C"/>
    <w:rsid w:val="00D3775F"/>
    <w:rsid w:val="00D423DF"/>
    <w:rsid w:val="00D433CA"/>
    <w:rsid w:val="00D44CF3"/>
    <w:rsid w:val="00D76D6E"/>
    <w:rsid w:val="00D805A7"/>
    <w:rsid w:val="00DB1831"/>
    <w:rsid w:val="00DD3BFD"/>
    <w:rsid w:val="00DE239D"/>
    <w:rsid w:val="00DF431C"/>
    <w:rsid w:val="00DF6678"/>
    <w:rsid w:val="00E10ED1"/>
    <w:rsid w:val="00E13D28"/>
    <w:rsid w:val="00E43023"/>
    <w:rsid w:val="00E504C9"/>
    <w:rsid w:val="00E50B75"/>
    <w:rsid w:val="00EE5684"/>
    <w:rsid w:val="00EF2E22"/>
    <w:rsid w:val="00F0592C"/>
    <w:rsid w:val="00F06ED4"/>
    <w:rsid w:val="00F40146"/>
    <w:rsid w:val="00F43289"/>
    <w:rsid w:val="00F615B2"/>
    <w:rsid w:val="00F660DF"/>
    <w:rsid w:val="00F720CD"/>
    <w:rsid w:val="00F914FA"/>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7B2A221"/>
  <w15:docId w15:val="{54A64B94-C14B-40CD-AE6A-1BF2B1525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E25"/>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706363"/>
    <w:rPr>
      <w:color w:val="0000FF"/>
      <w:u w:val="none"/>
    </w:rPr>
  </w:style>
  <w:style w:type="character" w:styleId="FollowedHyperlink">
    <w:name w:val="FollowedHyperlink"/>
    <w:basedOn w:val="DefaultParagraphFont"/>
    <w:unhideWhenUsed/>
    <w:rsid w:val="00706363"/>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433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3FD"/>
    <w:rPr>
      <w:rFonts w:ascii="Tahoma" w:hAnsi="Tahoma" w:cs="Tahoma"/>
      <w:sz w:val="16"/>
      <w:szCs w:val="16"/>
      <w:lang w:eastAsia="en-US"/>
    </w:rPr>
  </w:style>
  <w:style w:type="character" w:customStyle="1" w:styleId="SingleTxtGChar">
    <w:name w:val="_ Single Txt_G Char"/>
    <w:link w:val="SingleTxtG"/>
    <w:rsid w:val="0001207F"/>
    <w:rPr>
      <w:rFonts w:ascii="Times New Roman" w:hAnsi="Times New Roman" w:cs="Times New Roman"/>
      <w:sz w:val="20"/>
      <w:szCs w:val="20"/>
      <w:lang w:eastAsia="en-US"/>
    </w:rPr>
  </w:style>
  <w:style w:type="character" w:customStyle="1" w:styleId="HChGChar">
    <w:name w:val="_ H _Ch_G Char"/>
    <w:link w:val="HChG"/>
    <w:rsid w:val="0001207F"/>
    <w:rPr>
      <w:rFonts w:ascii="Times New Roman" w:hAnsi="Times New Roman" w:cs="Times New Roman"/>
      <w:b/>
      <w:sz w:val="28"/>
      <w:szCs w:val="20"/>
      <w:lang w:eastAsia="en-US"/>
    </w:rPr>
  </w:style>
  <w:style w:type="character" w:customStyle="1" w:styleId="H23GChar">
    <w:name w:val="_ H_2/3_G Char"/>
    <w:link w:val="H23G"/>
    <w:locked/>
    <w:rsid w:val="00AE2429"/>
    <w:rPr>
      <w:b/>
    </w:rPr>
  </w:style>
  <w:style w:type="character" w:customStyle="1" w:styleId="UnresolvedMention1">
    <w:name w:val="Unresolved Mention1"/>
    <w:basedOn w:val="DefaultParagraphFont"/>
    <w:uiPriority w:val="99"/>
    <w:semiHidden/>
    <w:unhideWhenUsed/>
    <w:rsid w:val="00E13D28"/>
    <w:rPr>
      <w:color w:val="605E5C"/>
      <w:shd w:val="clear" w:color="auto" w:fill="E1DFDD"/>
    </w:rPr>
  </w:style>
  <w:style w:type="character" w:styleId="CommentReference">
    <w:name w:val="annotation reference"/>
    <w:basedOn w:val="DefaultParagraphFont"/>
    <w:uiPriority w:val="99"/>
    <w:semiHidden/>
    <w:unhideWhenUsed/>
    <w:rsid w:val="00A27317"/>
    <w:rPr>
      <w:sz w:val="16"/>
      <w:szCs w:val="16"/>
    </w:rPr>
  </w:style>
  <w:style w:type="paragraph" w:styleId="CommentText">
    <w:name w:val="annotation text"/>
    <w:basedOn w:val="Normal"/>
    <w:link w:val="CommentTextChar"/>
    <w:uiPriority w:val="99"/>
    <w:semiHidden/>
    <w:unhideWhenUsed/>
    <w:rsid w:val="00A27317"/>
    <w:pPr>
      <w:spacing w:line="240" w:lineRule="auto"/>
    </w:pPr>
  </w:style>
  <w:style w:type="character" w:customStyle="1" w:styleId="CommentTextChar">
    <w:name w:val="Comment Text Char"/>
    <w:basedOn w:val="DefaultParagraphFont"/>
    <w:link w:val="CommentText"/>
    <w:uiPriority w:val="99"/>
    <w:semiHidden/>
    <w:rsid w:val="00A27317"/>
  </w:style>
  <w:style w:type="paragraph" w:styleId="CommentSubject">
    <w:name w:val="annotation subject"/>
    <w:basedOn w:val="CommentText"/>
    <w:next w:val="CommentText"/>
    <w:link w:val="CommentSubjectChar"/>
    <w:uiPriority w:val="99"/>
    <w:semiHidden/>
    <w:unhideWhenUsed/>
    <w:rsid w:val="00A27317"/>
    <w:rPr>
      <w:b/>
      <w:bCs/>
    </w:rPr>
  </w:style>
  <w:style w:type="character" w:customStyle="1" w:styleId="CommentSubjectChar">
    <w:name w:val="Comment Subject Char"/>
    <w:basedOn w:val="CommentTextChar"/>
    <w:link w:val="CommentSubject"/>
    <w:uiPriority w:val="99"/>
    <w:semiHidden/>
    <w:rsid w:val="00A273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203342">
      <w:bodyDiv w:val="1"/>
      <w:marLeft w:val="0"/>
      <w:marRight w:val="0"/>
      <w:marTop w:val="0"/>
      <w:marBottom w:val="0"/>
      <w:divBdr>
        <w:top w:val="none" w:sz="0" w:space="0" w:color="auto"/>
        <w:left w:val="none" w:sz="0" w:space="0" w:color="auto"/>
        <w:bottom w:val="none" w:sz="0" w:space="0" w:color="auto"/>
        <w:right w:val="none" w:sz="0" w:space="0" w:color="auto"/>
      </w:divBdr>
    </w:div>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 w:id="181640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transportlogistic.de/trade-fair/at-the-fair/conference-program/event-database.php/mmg/eventdatabase/en/detail/12725/TRL2019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19DA2-8A39-4803-8425-8191828C8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TRANS_F.dotm</Template>
  <TotalTime>55</TotalTime>
  <Pages>17</Pages>
  <Words>6672</Words>
  <Characters>36966</Characters>
  <Application>Microsoft Office Word</Application>
  <DocSecurity>0</DocSecurity>
  <Lines>754</Lines>
  <Paragraphs>454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ECE/TRANS/WP.15/AC.1/154</vt:lpstr>
      <vt:lpstr>ECE/TRANS/WP.15/AC.1/154</vt:lpstr>
      <vt:lpstr>ECE/EX/22</vt:lpstr>
    </vt:vector>
  </TitlesOfParts>
  <Company>DCM</Company>
  <LinksUpToDate>false</LinksUpToDate>
  <CharactersWithSpaces>43184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ECE/TRANS/WP.15/AC.1/154</dc:title>
  <dc:subject>FINAL</dc:subject>
  <dc:creator>Rosa Garcia-Couto</dc:creator>
  <cp:keywords/>
  <dc:description/>
  <cp:lastModifiedBy>Christine Barrio-Champeau</cp:lastModifiedBy>
  <cp:revision>15</cp:revision>
  <cp:lastPrinted>2019-04-08T15:01:00Z</cp:lastPrinted>
  <dcterms:created xsi:type="dcterms:W3CDTF">2019-04-09T13:15:00Z</dcterms:created>
  <dcterms:modified xsi:type="dcterms:W3CDTF">2019-04-11T12:13:00Z</dcterms:modified>
</cp:coreProperties>
</file>