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C6632A3" w14:textId="77777777" w:rsidTr="00C97039">
        <w:trPr>
          <w:trHeight w:hRule="exact" w:val="851"/>
        </w:trPr>
        <w:tc>
          <w:tcPr>
            <w:tcW w:w="1276" w:type="dxa"/>
            <w:tcBorders>
              <w:bottom w:val="single" w:sz="4" w:space="0" w:color="auto"/>
            </w:tcBorders>
          </w:tcPr>
          <w:p w14:paraId="6E6CEB07" w14:textId="77777777" w:rsidR="00F35BAF" w:rsidRPr="00DB58B5" w:rsidRDefault="00F35BAF" w:rsidP="007B7BE0"/>
        </w:tc>
        <w:tc>
          <w:tcPr>
            <w:tcW w:w="2268" w:type="dxa"/>
            <w:tcBorders>
              <w:bottom w:val="single" w:sz="4" w:space="0" w:color="auto"/>
            </w:tcBorders>
            <w:vAlign w:val="bottom"/>
          </w:tcPr>
          <w:p w14:paraId="63815F7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537E557" w14:textId="79097E57" w:rsidR="00F35BAF" w:rsidRPr="00DB58B5" w:rsidRDefault="007B7BE0" w:rsidP="007B7BE0">
            <w:pPr>
              <w:jc w:val="right"/>
            </w:pPr>
            <w:r w:rsidRPr="007B7BE0">
              <w:rPr>
                <w:sz w:val="40"/>
              </w:rPr>
              <w:t>ECE</w:t>
            </w:r>
            <w:r>
              <w:t>/TRANS/WP.15/AC.1/156</w:t>
            </w:r>
            <w:r w:rsidR="002D6D59" w:rsidRPr="002D6D59">
              <w:rPr>
                <w:rStyle w:val="FootnoteReference"/>
                <w:sz w:val="20"/>
                <w:vertAlign w:val="baseline"/>
              </w:rPr>
              <w:footnoteReference w:customMarkFollows="1" w:id="2"/>
              <w:t>*</w:t>
            </w:r>
          </w:p>
        </w:tc>
      </w:tr>
      <w:tr w:rsidR="00F35BAF" w:rsidRPr="00DB58B5" w14:paraId="7BC92B8D" w14:textId="77777777" w:rsidTr="00C97039">
        <w:trPr>
          <w:trHeight w:hRule="exact" w:val="2835"/>
        </w:trPr>
        <w:tc>
          <w:tcPr>
            <w:tcW w:w="1276" w:type="dxa"/>
            <w:tcBorders>
              <w:top w:val="single" w:sz="4" w:space="0" w:color="auto"/>
              <w:bottom w:val="single" w:sz="12" w:space="0" w:color="auto"/>
            </w:tcBorders>
          </w:tcPr>
          <w:p w14:paraId="77B1971D" w14:textId="77777777" w:rsidR="00F35BAF" w:rsidRPr="00DB58B5" w:rsidRDefault="00F35BAF" w:rsidP="00C97039">
            <w:pPr>
              <w:spacing w:before="120"/>
              <w:jc w:val="center"/>
            </w:pPr>
            <w:r>
              <w:rPr>
                <w:noProof/>
                <w:lang w:eastAsia="fr-CH"/>
              </w:rPr>
              <w:drawing>
                <wp:inline distT="0" distB="0" distL="0" distR="0" wp14:anchorId="140F5999" wp14:editId="2BECEFE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2FF362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3CCA745" w14:textId="77777777" w:rsidR="00F35BAF" w:rsidRDefault="007B7BE0" w:rsidP="00C97039">
            <w:pPr>
              <w:spacing w:before="240"/>
            </w:pPr>
            <w:proofErr w:type="spellStart"/>
            <w:r>
              <w:t>Distr</w:t>
            </w:r>
            <w:proofErr w:type="spellEnd"/>
            <w:r>
              <w:t>. générale</w:t>
            </w:r>
          </w:p>
          <w:p w14:paraId="1D39D1B8" w14:textId="77777777" w:rsidR="007B7BE0" w:rsidRDefault="007B7BE0" w:rsidP="007B7BE0">
            <w:pPr>
              <w:spacing w:line="240" w:lineRule="exact"/>
            </w:pPr>
            <w:r>
              <w:t>14 octobre 2019</w:t>
            </w:r>
          </w:p>
          <w:p w14:paraId="4E2F368A" w14:textId="77777777" w:rsidR="007B7BE0" w:rsidRDefault="007B7BE0" w:rsidP="007B7BE0">
            <w:pPr>
              <w:spacing w:line="240" w:lineRule="exact"/>
            </w:pPr>
            <w:r>
              <w:t>Français</w:t>
            </w:r>
          </w:p>
          <w:p w14:paraId="044C3CE7" w14:textId="77777777" w:rsidR="007B7BE0" w:rsidRPr="00DB58B5" w:rsidRDefault="007B7BE0" w:rsidP="007B7BE0">
            <w:pPr>
              <w:spacing w:line="240" w:lineRule="exact"/>
            </w:pPr>
            <w:r>
              <w:t>Original</w:t>
            </w:r>
            <w:r w:rsidR="005B12F8">
              <w:t> </w:t>
            </w:r>
            <w:r>
              <w:t>: anglais</w:t>
            </w:r>
          </w:p>
        </w:tc>
      </w:tr>
    </w:tbl>
    <w:p w14:paraId="6F98C4EB" w14:textId="0B76F34C" w:rsidR="007F20FA" w:rsidRPr="000312C0" w:rsidRDefault="007F20FA" w:rsidP="007F20FA">
      <w:pPr>
        <w:spacing w:before="120"/>
        <w:rPr>
          <w:b/>
          <w:sz w:val="28"/>
          <w:szCs w:val="28"/>
        </w:rPr>
      </w:pPr>
      <w:r w:rsidRPr="000312C0">
        <w:rPr>
          <w:b/>
          <w:sz w:val="28"/>
          <w:szCs w:val="28"/>
        </w:rPr>
        <w:t>Commission économique pour l</w:t>
      </w:r>
      <w:r w:rsidR="00333FCB">
        <w:rPr>
          <w:b/>
          <w:sz w:val="28"/>
          <w:szCs w:val="28"/>
        </w:rPr>
        <w:t>’</w:t>
      </w:r>
      <w:r w:rsidRPr="000312C0">
        <w:rPr>
          <w:b/>
          <w:sz w:val="28"/>
          <w:szCs w:val="28"/>
        </w:rPr>
        <w:t>Europe</w:t>
      </w:r>
    </w:p>
    <w:p w14:paraId="52C75F96" w14:textId="77777777" w:rsidR="007F20FA" w:rsidRDefault="007F20FA" w:rsidP="007F20FA">
      <w:pPr>
        <w:spacing w:before="120"/>
        <w:rPr>
          <w:sz w:val="28"/>
          <w:szCs w:val="28"/>
        </w:rPr>
      </w:pPr>
      <w:r w:rsidRPr="00685843">
        <w:rPr>
          <w:sz w:val="28"/>
          <w:szCs w:val="28"/>
        </w:rPr>
        <w:t>Comité des transports intérieurs</w:t>
      </w:r>
    </w:p>
    <w:p w14:paraId="45AACCD7" w14:textId="77777777" w:rsidR="007B7BE0" w:rsidRPr="009E01B8" w:rsidRDefault="007B7BE0" w:rsidP="00AF0CB5">
      <w:pPr>
        <w:spacing w:before="120"/>
        <w:rPr>
          <w:b/>
          <w:sz w:val="24"/>
          <w:szCs w:val="24"/>
        </w:rPr>
      </w:pPr>
      <w:r w:rsidRPr="009E01B8">
        <w:rPr>
          <w:b/>
          <w:sz w:val="24"/>
          <w:szCs w:val="24"/>
        </w:rPr>
        <w:t>Groupe de travail des transports de marchandises dangereuses</w:t>
      </w:r>
    </w:p>
    <w:p w14:paraId="44813BA8" w14:textId="259BBCF1" w:rsidR="007B7BE0" w:rsidRPr="00926E87" w:rsidRDefault="007B7BE0" w:rsidP="00AF0CB5">
      <w:pPr>
        <w:spacing w:before="120"/>
        <w:rPr>
          <w:b/>
        </w:rPr>
      </w:pPr>
      <w:r w:rsidRPr="00926E87">
        <w:rPr>
          <w:b/>
        </w:rPr>
        <w:t>Réunion commune de la Commission d</w:t>
      </w:r>
      <w:r w:rsidR="00333FCB">
        <w:rPr>
          <w:b/>
        </w:rPr>
        <w:t>’</w:t>
      </w:r>
      <w:r w:rsidRPr="00926E87">
        <w:rPr>
          <w:b/>
        </w:rPr>
        <w:t>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14:paraId="2CDA76EC" w14:textId="28FD6EEB" w:rsidR="007B7BE0" w:rsidRPr="0066112C" w:rsidRDefault="007B7BE0" w:rsidP="007B7BE0">
      <w:pPr>
        <w:pStyle w:val="HChG"/>
      </w:pPr>
      <w:r>
        <w:tab/>
      </w:r>
      <w:r>
        <w:tab/>
      </w:r>
      <w:r w:rsidRPr="0066112C">
        <w:t>Rapport de la Réunion commune de la Commission d</w:t>
      </w:r>
      <w:r w:rsidR="00333FCB">
        <w:t>’</w:t>
      </w:r>
      <w:r w:rsidRPr="0066112C">
        <w:t xml:space="preserve">experts du RID et du Groupe de travail des transports de marchandises dangereuses sur sa session </w:t>
      </w:r>
      <w:r>
        <w:t>d</w:t>
      </w:r>
      <w:r w:rsidR="00333FCB">
        <w:t>’</w:t>
      </w:r>
      <w:r>
        <w:t>automne</w:t>
      </w:r>
      <w:r w:rsidRPr="0066112C">
        <w:t xml:space="preserve"> 2019</w:t>
      </w:r>
      <w:r w:rsidR="002D6D59" w:rsidRPr="00821C1D">
        <w:rPr>
          <w:rStyle w:val="FootnoteReference"/>
          <w:b w:val="0"/>
          <w:sz w:val="20"/>
          <w:vertAlign w:val="baseline"/>
        </w:rPr>
        <w:footnoteReference w:customMarkFollows="1" w:id="3"/>
        <w:t>**</w:t>
      </w:r>
    </w:p>
    <w:p w14:paraId="5410FBDF" w14:textId="77777777" w:rsidR="007B7BE0" w:rsidRDefault="003B6AD3" w:rsidP="007B7BE0">
      <w:pPr>
        <w:pStyle w:val="SingleTxtG"/>
      </w:pPr>
      <w:r>
        <w:t>T</w:t>
      </w:r>
      <w:r w:rsidRPr="00535410">
        <w:t xml:space="preserve">enue </w:t>
      </w:r>
      <w:r w:rsidR="007B7BE0" w:rsidRPr="00535410">
        <w:t xml:space="preserve">à </w:t>
      </w:r>
      <w:r w:rsidR="007B7BE0">
        <w:t>Genèv</w:t>
      </w:r>
      <w:r w:rsidR="007B7BE0" w:rsidRPr="00535410">
        <w:t>e du 1</w:t>
      </w:r>
      <w:r w:rsidR="007B7BE0">
        <w:t>7</w:t>
      </w:r>
      <w:r w:rsidR="007B7BE0" w:rsidRPr="00535410">
        <w:t xml:space="preserve"> au 2</w:t>
      </w:r>
      <w:r w:rsidR="007B7BE0">
        <w:t>6</w:t>
      </w:r>
      <w:r w:rsidR="00795CED">
        <w:t> </w:t>
      </w:r>
      <w:r w:rsidR="007B7BE0">
        <w:t>septembre</w:t>
      </w:r>
      <w:r w:rsidR="007B7BE0" w:rsidRPr="00535410">
        <w:t xml:space="preserve"> 2019</w:t>
      </w:r>
    </w:p>
    <w:p w14:paraId="2A9B866F" w14:textId="77777777" w:rsidR="007B7BE0" w:rsidRPr="005B12F8" w:rsidRDefault="005B12F8" w:rsidP="005B12F8">
      <w:pPr>
        <w:spacing w:after="120"/>
        <w:rPr>
          <w:sz w:val="28"/>
        </w:rPr>
      </w:pPr>
      <w:r w:rsidRPr="005B12F8">
        <w:rPr>
          <w:sz w:val="28"/>
        </w:rPr>
        <w:t>Table des matières</w:t>
      </w:r>
    </w:p>
    <w:p w14:paraId="2B8123CC" w14:textId="77777777" w:rsidR="005B12F8" w:rsidRPr="005B12F8" w:rsidRDefault="005B12F8" w:rsidP="005B12F8">
      <w:pPr>
        <w:tabs>
          <w:tab w:val="right" w:pos="8929"/>
          <w:tab w:val="right" w:pos="9638"/>
        </w:tabs>
        <w:spacing w:after="120"/>
        <w:ind w:left="283"/>
        <w:rPr>
          <w:i/>
          <w:sz w:val="18"/>
        </w:rPr>
      </w:pPr>
      <w:r w:rsidRPr="005B12F8">
        <w:rPr>
          <w:i/>
          <w:sz w:val="18"/>
        </w:rPr>
        <w:tab/>
        <w:t>Paragraphes</w:t>
      </w:r>
      <w:r w:rsidRPr="005B12F8">
        <w:rPr>
          <w:i/>
          <w:sz w:val="18"/>
        </w:rPr>
        <w:tab/>
        <w:t>Page</w:t>
      </w:r>
    </w:p>
    <w:p w14:paraId="144709ED" w14:textId="77777777" w:rsidR="005B12F8" w:rsidRDefault="005B12F8" w:rsidP="005B12F8">
      <w:pPr>
        <w:tabs>
          <w:tab w:val="right" w:pos="850"/>
          <w:tab w:val="right" w:leader="dot" w:pos="7654"/>
          <w:tab w:val="right" w:pos="8929"/>
          <w:tab w:val="right" w:pos="9638"/>
        </w:tabs>
        <w:spacing w:after="120"/>
        <w:ind w:left="1134" w:hanging="1134"/>
      </w:pPr>
      <w:r>
        <w:tab/>
        <w:t>I.</w:t>
      </w:r>
      <w:r>
        <w:tab/>
      </w:r>
      <w:r w:rsidR="00AD63C3" w:rsidRPr="00EE7E98">
        <w:t>Participation</w:t>
      </w:r>
      <w:r>
        <w:tab/>
      </w:r>
      <w:r>
        <w:tab/>
      </w:r>
      <w:r w:rsidR="00253EE0">
        <w:t>1−4</w:t>
      </w:r>
      <w:r>
        <w:tab/>
      </w:r>
      <w:r w:rsidR="001D10CF">
        <w:t>4</w:t>
      </w:r>
    </w:p>
    <w:p w14:paraId="04548126" w14:textId="77777777" w:rsidR="005B12F8" w:rsidRDefault="005B12F8" w:rsidP="005B12F8">
      <w:pPr>
        <w:tabs>
          <w:tab w:val="right" w:pos="850"/>
          <w:tab w:val="right" w:leader="dot" w:pos="7654"/>
          <w:tab w:val="right" w:pos="8929"/>
          <w:tab w:val="right" w:pos="9638"/>
        </w:tabs>
        <w:spacing w:after="120"/>
        <w:ind w:left="1134" w:hanging="1134"/>
      </w:pPr>
      <w:r>
        <w:tab/>
        <w:t>II.</w:t>
      </w:r>
      <w:r>
        <w:tab/>
      </w:r>
      <w:r w:rsidR="00AD63C3" w:rsidRPr="00EE7E98">
        <w:t>Ouverture de la session</w:t>
      </w:r>
      <w:r>
        <w:tab/>
      </w:r>
      <w:r>
        <w:tab/>
      </w:r>
      <w:r w:rsidR="00253EE0">
        <w:t>5−6</w:t>
      </w:r>
      <w:r>
        <w:tab/>
      </w:r>
      <w:r w:rsidR="001D10CF">
        <w:t>4</w:t>
      </w:r>
    </w:p>
    <w:p w14:paraId="38EB3D30" w14:textId="22C4663D" w:rsidR="005B12F8" w:rsidRDefault="005B12F8" w:rsidP="005B12F8">
      <w:pPr>
        <w:tabs>
          <w:tab w:val="right" w:pos="850"/>
          <w:tab w:val="right" w:leader="dot" w:pos="7654"/>
          <w:tab w:val="right" w:pos="8929"/>
          <w:tab w:val="right" w:pos="9638"/>
        </w:tabs>
        <w:spacing w:after="120"/>
        <w:ind w:left="1134" w:hanging="1134"/>
      </w:pPr>
      <w:r>
        <w:tab/>
        <w:t>III.</w:t>
      </w:r>
      <w:r>
        <w:tab/>
      </w:r>
      <w:r w:rsidR="00AD63C3" w:rsidRPr="00EE7E98">
        <w:t>Adoption de l</w:t>
      </w:r>
      <w:r w:rsidR="00333FCB">
        <w:t>’</w:t>
      </w:r>
      <w:r w:rsidR="00AD63C3" w:rsidRPr="00EE7E98">
        <w:t>ordre du jour (point 1 de l</w:t>
      </w:r>
      <w:r w:rsidR="00333FCB">
        <w:t>’</w:t>
      </w:r>
      <w:r w:rsidR="00AD63C3" w:rsidRPr="00EE7E98">
        <w:t>ordre du jour)</w:t>
      </w:r>
      <w:r>
        <w:tab/>
      </w:r>
      <w:r>
        <w:tab/>
      </w:r>
      <w:r w:rsidR="00253EE0">
        <w:t>7</w:t>
      </w:r>
      <w:r>
        <w:tab/>
      </w:r>
      <w:r w:rsidR="001D10CF">
        <w:t>5</w:t>
      </w:r>
    </w:p>
    <w:p w14:paraId="33971EA0" w14:textId="162A0842" w:rsidR="005B12F8" w:rsidRDefault="005B12F8" w:rsidP="005B12F8">
      <w:pPr>
        <w:tabs>
          <w:tab w:val="right" w:pos="850"/>
          <w:tab w:val="right" w:leader="dot" w:pos="7654"/>
          <w:tab w:val="right" w:pos="8929"/>
          <w:tab w:val="right" w:pos="9638"/>
        </w:tabs>
        <w:spacing w:after="120"/>
        <w:ind w:left="1134" w:hanging="1134"/>
      </w:pPr>
      <w:r>
        <w:tab/>
        <w:t>IV.</w:t>
      </w:r>
      <w:r>
        <w:tab/>
      </w:r>
      <w:r w:rsidR="00AD63C3" w:rsidRPr="00EE7E98">
        <w:t>Citernes (point 2 de l</w:t>
      </w:r>
      <w:r w:rsidR="00333FCB">
        <w:t>’</w:t>
      </w:r>
      <w:r w:rsidR="00AD63C3" w:rsidRPr="00EE7E98">
        <w:t>ordre du jour)</w:t>
      </w:r>
      <w:r>
        <w:tab/>
      </w:r>
      <w:r>
        <w:tab/>
      </w:r>
      <w:r w:rsidR="00253EE0">
        <w:t>8−13</w:t>
      </w:r>
      <w:r>
        <w:tab/>
      </w:r>
      <w:r w:rsidR="001D10CF">
        <w:t>5</w:t>
      </w:r>
    </w:p>
    <w:p w14:paraId="477E9ED7" w14:textId="77777777" w:rsidR="00AD63C3" w:rsidRDefault="00AD63C3" w:rsidP="005B12F8">
      <w:pPr>
        <w:tabs>
          <w:tab w:val="right" w:pos="850"/>
          <w:tab w:val="right" w:leader="dot" w:pos="7654"/>
          <w:tab w:val="right" w:pos="8929"/>
          <w:tab w:val="right" w:pos="9638"/>
        </w:tabs>
        <w:spacing w:after="120"/>
        <w:ind w:left="1134" w:hanging="1134"/>
      </w:pPr>
      <w:r>
        <w:tab/>
      </w:r>
      <w:r>
        <w:tab/>
      </w:r>
      <w:r w:rsidRPr="00EE7E98">
        <w:t>Rapport du Groupe de travail des citernes</w:t>
      </w:r>
      <w:r>
        <w:tab/>
      </w:r>
      <w:r>
        <w:tab/>
      </w:r>
      <w:r w:rsidR="00253EE0">
        <w:t>10−13</w:t>
      </w:r>
      <w:r>
        <w:tab/>
      </w:r>
      <w:r w:rsidR="001D10CF">
        <w:t>5</w:t>
      </w:r>
    </w:p>
    <w:p w14:paraId="5FA07937" w14:textId="37628BBF" w:rsidR="005B12F8" w:rsidRDefault="005B12F8" w:rsidP="005B12F8">
      <w:pPr>
        <w:tabs>
          <w:tab w:val="right" w:pos="850"/>
          <w:tab w:val="right" w:leader="dot" w:pos="7654"/>
          <w:tab w:val="right" w:pos="8929"/>
          <w:tab w:val="right" w:pos="9638"/>
        </w:tabs>
        <w:spacing w:after="120"/>
        <w:ind w:left="1134" w:hanging="1134"/>
      </w:pPr>
      <w:r>
        <w:tab/>
        <w:t>V.</w:t>
      </w:r>
      <w:r>
        <w:tab/>
      </w:r>
      <w:r w:rsidR="00AD63C3" w:rsidRPr="00EE7E98">
        <w:t>Normes (point 3 de l</w:t>
      </w:r>
      <w:r w:rsidR="00333FCB">
        <w:t>’</w:t>
      </w:r>
      <w:r w:rsidR="00AD63C3" w:rsidRPr="00EE7E98">
        <w:t>ordre du jour)</w:t>
      </w:r>
      <w:r>
        <w:tab/>
      </w:r>
      <w:r>
        <w:tab/>
      </w:r>
      <w:r w:rsidR="00253EE0">
        <w:t>14−17</w:t>
      </w:r>
      <w:r>
        <w:tab/>
      </w:r>
      <w:r w:rsidR="001D10CF">
        <w:t>6</w:t>
      </w:r>
    </w:p>
    <w:p w14:paraId="2A572E64" w14:textId="77777777" w:rsidR="00AD63C3" w:rsidRDefault="00AD63C3" w:rsidP="005B12F8">
      <w:pPr>
        <w:tabs>
          <w:tab w:val="right" w:pos="850"/>
          <w:tab w:val="right" w:leader="dot" w:pos="7654"/>
          <w:tab w:val="right" w:pos="8929"/>
          <w:tab w:val="right" w:pos="9638"/>
        </w:tabs>
        <w:spacing w:after="120"/>
        <w:ind w:left="1134" w:hanging="1134"/>
      </w:pPr>
      <w:r>
        <w:tab/>
      </w:r>
      <w:r>
        <w:tab/>
      </w:r>
      <w:r w:rsidRPr="00EE7E98">
        <w:t>Rapport du Groupe de travail des normes</w:t>
      </w:r>
      <w:r>
        <w:tab/>
      </w:r>
      <w:r>
        <w:tab/>
      </w:r>
      <w:r w:rsidR="00253EE0">
        <w:t>17</w:t>
      </w:r>
      <w:r>
        <w:tab/>
      </w:r>
      <w:r w:rsidR="001D10CF">
        <w:t>6</w:t>
      </w:r>
    </w:p>
    <w:p w14:paraId="6D9B6C05" w14:textId="12F72B3E" w:rsidR="005B12F8" w:rsidRDefault="005B12F8" w:rsidP="005B12F8">
      <w:pPr>
        <w:tabs>
          <w:tab w:val="right" w:pos="850"/>
          <w:tab w:val="right" w:leader="dot" w:pos="7654"/>
          <w:tab w:val="right" w:pos="8929"/>
          <w:tab w:val="right" w:pos="9638"/>
        </w:tabs>
        <w:spacing w:after="120"/>
        <w:ind w:left="1134" w:hanging="1134"/>
      </w:pPr>
      <w:r>
        <w:tab/>
        <w:t>VI.</w:t>
      </w:r>
      <w:r>
        <w:tab/>
      </w:r>
      <w:r w:rsidR="00AD63C3" w:rsidRPr="00EE7E98">
        <w:rPr>
          <w:spacing w:val="2"/>
        </w:rPr>
        <w:t>Harmonisation avec les Recommandations relatives au</w:t>
      </w:r>
      <w:r w:rsidR="00AD63C3" w:rsidRPr="00EE7E98">
        <w:t xml:space="preserve"> </w:t>
      </w:r>
      <w:r w:rsidR="00AD63C3" w:rsidRPr="00EE7E98">
        <w:rPr>
          <w:spacing w:val="-2"/>
        </w:rPr>
        <w:t xml:space="preserve">transport des </w:t>
      </w:r>
      <w:r w:rsidR="00AD63C3">
        <w:rPr>
          <w:spacing w:val="-2"/>
        </w:rPr>
        <w:br/>
      </w:r>
      <w:r w:rsidR="00AD63C3" w:rsidRPr="00EE7E98">
        <w:rPr>
          <w:spacing w:val="-2"/>
        </w:rPr>
        <w:t>marchandises dangereuses de l</w:t>
      </w:r>
      <w:r w:rsidR="00333FCB">
        <w:rPr>
          <w:spacing w:val="-2"/>
        </w:rPr>
        <w:t>’</w:t>
      </w:r>
      <w:r w:rsidR="00AD63C3" w:rsidRPr="00EE7E98">
        <w:rPr>
          <w:spacing w:val="-2"/>
        </w:rPr>
        <w:t>Organisation</w:t>
      </w:r>
      <w:r w:rsidR="00AD63C3" w:rsidRPr="00EE7E98">
        <w:t xml:space="preserve"> des Nations Unies (point 4 </w:t>
      </w:r>
      <w:r w:rsidR="00AD63C3">
        <w:br/>
      </w:r>
      <w:r w:rsidR="00AD63C3" w:rsidRPr="00EE7E98">
        <w:t>de l</w:t>
      </w:r>
      <w:r w:rsidR="00333FCB">
        <w:t>’</w:t>
      </w:r>
      <w:r w:rsidR="00AD63C3" w:rsidRPr="00EE7E98">
        <w:t>ordre du jour)</w:t>
      </w:r>
      <w:r>
        <w:tab/>
      </w:r>
      <w:r>
        <w:tab/>
      </w:r>
      <w:r w:rsidR="00253EE0">
        <w:t>18−21</w:t>
      </w:r>
      <w:r>
        <w:tab/>
      </w:r>
      <w:r w:rsidR="001D10CF">
        <w:t>6</w:t>
      </w:r>
    </w:p>
    <w:p w14:paraId="7E8BF6C5" w14:textId="20CD6AA1" w:rsidR="005B12F8" w:rsidRDefault="005B12F8" w:rsidP="005B12F8">
      <w:pPr>
        <w:tabs>
          <w:tab w:val="right" w:leader="dot" w:pos="7654"/>
          <w:tab w:val="right" w:pos="8929"/>
          <w:tab w:val="right" w:pos="9638"/>
        </w:tabs>
        <w:spacing w:after="120"/>
        <w:ind w:left="1559" w:hanging="425"/>
      </w:pPr>
      <w:r>
        <w:t>A.</w:t>
      </w:r>
      <w:r>
        <w:tab/>
      </w:r>
      <w:r w:rsidR="00AD63C3" w:rsidRPr="00EE7E98">
        <w:rPr>
          <w:spacing w:val="2"/>
        </w:rPr>
        <w:t>Rapport du Groupe de travail spécial de l</w:t>
      </w:r>
      <w:r w:rsidR="00333FCB">
        <w:rPr>
          <w:spacing w:val="2"/>
        </w:rPr>
        <w:t>’</w:t>
      </w:r>
      <w:r w:rsidR="00AD63C3" w:rsidRPr="00EE7E98">
        <w:rPr>
          <w:spacing w:val="2"/>
        </w:rPr>
        <w:t>harmonisation des</w:t>
      </w:r>
      <w:r w:rsidR="00AD63C3" w:rsidRPr="00EE7E98">
        <w:t xml:space="preserve"> </w:t>
      </w:r>
      <w:r w:rsidR="00AD63C3" w:rsidRPr="00EE7E98">
        <w:rPr>
          <w:spacing w:val="-2"/>
        </w:rPr>
        <w:t xml:space="preserve">Règlements </w:t>
      </w:r>
      <w:r w:rsidR="00AD63C3">
        <w:rPr>
          <w:spacing w:val="-2"/>
        </w:rPr>
        <w:br/>
      </w:r>
      <w:r w:rsidR="00AD63C3" w:rsidRPr="00EE7E98">
        <w:rPr>
          <w:spacing w:val="-2"/>
        </w:rPr>
        <w:t>RID/ADR/ADN avec les Recommandations de l</w:t>
      </w:r>
      <w:r w:rsidR="00333FCB">
        <w:rPr>
          <w:spacing w:val="-2"/>
        </w:rPr>
        <w:t>’</w:t>
      </w:r>
      <w:r w:rsidR="00AD63C3" w:rsidRPr="00EE7E98">
        <w:rPr>
          <w:spacing w:val="-2"/>
        </w:rPr>
        <w:t>ONU</w:t>
      </w:r>
      <w:r w:rsidR="00AD63C3" w:rsidRPr="00EE7E98">
        <w:t xml:space="preserve"> relatives au </w:t>
      </w:r>
      <w:r w:rsidR="00AD63C3">
        <w:br/>
      </w:r>
      <w:r w:rsidR="00AD63C3" w:rsidRPr="00EE7E98">
        <w:t>transport des marchandises dangereuses</w:t>
      </w:r>
      <w:r>
        <w:tab/>
      </w:r>
      <w:r>
        <w:tab/>
      </w:r>
      <w:r w:rsidR="00253EE0">
        <w:t>18</w:t>
      </w:r>
      <w:r>
        <w:tab/>
      </w:r>
      <w:r w:rsidR="001D10CF">
        <w:t>6</w:t>
      </w:r>
    </w:p>
    <w:p w14:paraId="5A86E69D" w14:textId="77777777" w:rsidR="005B12F8" w:rsidRDefault="005B12F8" w:rsidP="005B12F8">
      <w:pPr>
        <w:tabs>
          <w:tab w:val="right" w:leader="dot" w:pos="7654"/>
          <w:tab w:val="right" w:pos="8929"/>
          <w:tab w:val="right" w:pos="9638"/>
        </w:tabs>
        <w:spacing w:after="120"/>
        <w:ind w:left="1559" w:hanging="425"/>
      </w:pPr>
      <w:r>
        <w:t>B.</w:t>
      </w:r>
      <w:r>
        <w:tab/>
      </w:r>
      <w:r w:rsidR="00AD63C3" w:rsidRPr="00EE7E98">
        <w:t xml:space="preserve">Nouvelles dispositions spéciales 393 et 394 : stabilité chimique de </w:t>
      </w:r>
      <w:r w:rsidR="00AD63C3">
        <w:br/>
      </w:r>
      <w:r w:rsidR="00AD63C3" w:rsidRPr="00EE7E98">
        <w:t>la nitrocellulose</w:t>
      </w:r>
      <w:r>
        <w:tab/>
      </w:r>
      <w:r>
        <w:tab/>
      </w:r>
      <w:r w:rsidR="00253EE0">
        <w:t>19−20</w:t>
      </w:r>
      <w:r>
        <w:tab/>
      </w:r>
      <w:r w:rsidR="001D10CF">
        <w:t>9</w:t>
      </w:r>
    </w:p>
    <w:p w14:paraId="044A0967" w14:textId="77777777" w:rsidR="005B12F8" w:rsidRDefault="005B12F8" w:rsidP="005B12F8">
      <w:pPr>
        <w:tabs>
          <w:tab w:val="right" w:leader="dot" w:pos="7654"/>
          <w:tab w:val="right" w:pos="8929"/>
          <w:tab w:val="right" w:pos="9638"/>
        </w:tabs>
        <w:spacing w:after="120"/>
        <w:ind w:left="1559" w:hanging="425"/>
      </w:pPr>
      <w:r>
        <w:t>C.</w:t>
      </w:r>
      <w:r>
        <w:tab/>
      </w:r>
      <w:r w:rsidR="00AD63C3" w:rsidRPr="00EE7E98">
        <w:t>Utilisation du terme « moyen de transport »</w:t>
      </w:r>
      <w:r>
        <w:tab/>
      </w:r>
      <w:r>
        <w:tab/>
      </w:r>
      <w:r w:rsidR="00253EE0">
        <w:t>21</w:t>
      </w:r>
      <w:r>
        <w:tab/>
      </w:r>
      <w:r w:rsidR="001D10CF">
        <w:t>9</w:t>
      </w:r>
    </w:p>
    <w:p w14:paraId="27576B44" w14:textId="57C063F3" w:rsidR="005B12F8" w:rsidRDefault="005B12F8" w:rsidP="005B12F8">
      <w:pPr>
        <w:tabs>
          <w:tab w:val="right" w:pos="850"/>
          <w:tab w:val="right" w:leader="dot" w:pos="7654"/>
          <w:tab w:val="right" w:pos="8929"/>
          <w:tab w:val="right" w:pos="9638"/>
        </w:tabs>
        <w:spacing w:after="120"/>
        <w:ind w:left="1134" w:hanging="1134"/>
      </w:pPr>
      <w:r>
        <w:lastRenderedPageBreak/>
        <w:tab/>
        <w:t>VII.</w:t>
      </w:r>
      <w:r>
        <w:tab/>
      </w:r>
      <w:r w:rsidR="00AD63C3" w:rsidRPr="00EE7E98">
        <w:t>Propositions d</w:t>
      </w:r>
      <w:r w:rsidR="00333FCB">
        <w:t>’</w:t>
      </w:r>
      <w:r w:rsidR="00AD63C3" w:rsidRPr="00EE7E98">
        <w:t>amendements au RID/ADR/ADN (point 5 de l</w:t>
      </w:r>
      <w:r w:rsidR="00333FCB">
        <w:t>’</w:t>
      </w:r>
      <w:r w:rsidR="00AD63C3" w:rsidRPr="00EE7E98">
        <w:t>ordre du jour)</w:t>
      </w:r>
      <w:r>
        <w:tab/>
      </w:r>
      <w:r>
        <w:tab/>
      </w:r>
      <w:r w:rsidR="00253EE0">
        <w:t>22−44</w:t>
      </w:r>
      <w:r>
        <w:tab/>
      </w:r>
      <w:r w:rsidR="001D10CF">
        <w:t>9</w:t>
      </w:r>
    </w:p>
    <w:p w14:paraId="5FBAE80B" w14:textId="77777777" w:rsidR="005B12F8" w:rsidRDefault="005B12F8" w:rsidP="005B12F8">
      <w:pPr>
        <w:tabs>
          <w:tab w:val="right" w:leader="dot" w:pos="7654"/>
          <w:tab w:val="right" w:pos="8929"/>
          <w:tab w:val="right" w:pos="9638"/>
        </w:tabs>
        <w:spacing w:after="120"/>
        <w:ind w:left="1559" w:hanging="425"/>
      </w:pPr>
      <w:r>
        <w:t>A.</w:t>
      </w:r>
      <w:r>
        <w:tab/>
      </w:r>
      <w:r w:rsidR="00AD63C3" w:rsidRPr="00EE7E98">
        <w:t>Questions en suspens</w:t>
      </w:r>
      <w:r>
        <w:tab/>
      </w:r>
      <w:r>
        <w:tab/>
      </w:r>
      <w:r w:rsidR="00253EE0">
        <w:t>22−24</w:t>
      </w:r>
      <w:r>
        <w:tab/>
      </w:r>
      <w:r w:rsidR="001D10CF">
        <w:t>9</w:t>
      </w:r>
    </w:p>
    <w:p w14:paraId="2064CDC2" w14:textId="19C34D99" w:rsidR="005B12F8" w:rsidRDefault="005B12F8" w:rsidP="005B12F8">
      <w:pPr>
        <w:tabs>
          <w:tab w:val="right" w:leader="dot" w:pos="7654"/>
          <w:tab w:val="right" w:pos="8929"/>
          <w:tab w:val="right" w:pos="9638"/>
        </w:tabs>
        <w:spacing w:after="120"/>
        <w:ind w:left="1984" w:hanging="425"/>
      </w:pPr>
      <w:r>
        <w:t>1.</w:t>
      </w:r>
      <w:r>
        <w:tab/>
      </w:r>
      <w:r w:rsidR="00AD63C3" w:rsidRPr="00EE7E98">
        <w:t>Proposition d</w:t>
      </w:r>
      <w:r w:rsidR="00333FCB">
        <w:t>’</w:t>
      </w:r>
      <w:r w:rsidR="00AD63C3" w:rsidRPr="00EE7E98">
        <w:t>amendement au paragraphe 5.4.1.1.1</w:t>
      </w:r>
      <w:r>
        <w:tab/>
      </w:r>
      <w:r>
        <w:tab/>
      </w:r>
      <w:r w:rsidR="00253EE0">
        <w:t>22</w:t>
      </w:r>
      <w:r>
        <w:tab/>
      </w:r>
      <w:r w:rsidR="001D10CF">
        <w:t>9</w:t>
      </w:r>
    </w:p>
    <w:p w14:paraId="56364432" w14:textId="77777777" w:rsidR="005B12F8" w:rsidRDefault="005B12F8" w:rsidP="005B12F8">
      <w:pPr>
        <w:tabs>
          <w:tab w:val="right" w:leader="dot" w:pos="7654"/>
          <w:tab w:val="right" w:pos="8929"/>
          <w:tab w:val="right" w:pos="9638"/>
        </w:tabs>
        <w:spacing w:after="120"/>
        <w:ind w:left="1984" w:hanging="425"/>
      </w:pPr>
      <w:r>
        <w:t>2.</w:t>
      </w:r>
      <w:r>
        <w:tab/>
      </w:r>
      <w:r w:rsidR="00AD63C3" w:rsidRPr="00AD63C3">
        <w:t xml:space="preserve">Marquage des wagons et conteneurs chargés de marchandises en </w:t>
      </w:r>
      <w:r w:rsidR="00AD63C3">
        <w:br/>
      </w:r>
      <w:r w:rsidR="00AD63C3" w:rsidRPr="00AD63C3">
        <w:t>quantités limitées</w:t>
      </w:r>
      <w:r>
        <w:tab/>
      </w:r>
      <w:r>
        <w:tab/>
      </w:r>
      <w:r w:rsidR="00253EE0">
        <w:t>23</w:t>
      </w:r>
      <w:r>
        <w:tab/>
      </w:r>
      <w:r w:rsidR="001D10CF">
        <w:t>10</w:t>
      </w:r>
    </w:p>
    <w:p w14:paraId="7AE31F42" w14:textId="77777777" w:rsidR="005B12F8" w:rsidRDefault="005B12F8" w:rsidP="001D10CF">
      <w:pPr>
        <w:tabs>
          <w:tab w:val="right" w:leader="dot" w:pos="7654"/>
          <w:tab w:val="right" w:pos="8929"/>
          <w:tab w:val="right" w:pos="9638"/>
        </w:tabs>
        <w:spacing w:after="120"/>
        <w:ind w:left="1984" w:hanging="425"/>
      </w:pPr>
      <w:r>
        <w:t>3.</w:t>
      </w:r>
      <w:r>
        <w:tab/>
      </w:r>
      <w:r w:rsidR="00AD63C3" w:rsidRPr="00AD63C3">
        <w:t xml:space="preserve">Cours de recyclage en ligne pour les conducteurs de véhicules </w:t>
      </w:r>
      <w:r w:rsidR="00AD63C3">
        <w:br/>
      </w:r>
      <w:r w:rsidR="00AD63C3" w:rsidRPr="00AD63C3">
        <w:t>transportant des marchandises dangereuses</w:t>
      </w:r>
      <w:r>
        <w:tab/>
      </w:r>
      <w:r>
        <w:tab/>
      </w:r>
      <w:r w:rsidR="00253EE0">
        <w:t>24</w:t>
      </w:r>
      <w:r>
        <w:tab/>
      </w:r>
      <w:r w:rsidR="001D10CF">
        <w:t>10</w:t>
      </w:r>
    </w:p>
    <w:p w14:paraId="763312CC" w14:textId="77777777" w:rsidR="005B12F8" w:rsidRDefault="005B12F8" w:rsidP="005B12F8">
      <w:pPr>
        <w:tabs>
          <w:tab w:val="right" w:leader="dot" w:pos="7654"/>
          <w:tab w:val="right" w:pos="8929"/>
          <w:tab w:val="right" w:pos="9638"/>
        </w:tabs>
        <w:spacing w:after="120"/>
        <w:ind w:left="1559" w:hanging="425"/>
      </w:pPr>
      <w:r>
        <w:t>B.</w:t>
      </w:r>
      <w:r>
        <w:tab/>
      </w:r>
      <w:r w:rsidR="00AD63C3" w:rsidRPr="00AD63C3">
        <w:t>Nouvelles propositions</w:t>
      </w:r>
      <w:r>
        <w:tab/>
      </w:r>
      <w:r>
        <w:tab/>
      </w:r>
      <w:r w:rsidR="00253EE0">
        <w:t>25−44</w:t>
      </w:r>
      <w:r>
        <w:tab/>
      </w:r>
      <w:r w:rsidR="001D10CF">
        <w:t>10</w:t>
      </w:r>
    </w:p>
    <w:p w14:paraId="206504A3" w14:textId="1E6A5F5F" w:rsidR="005B12F8" w:rsidRDefault="005B12F8" w:rsidP="005B12F8">
      <w:pPr>
        <w:tabs>
          <w:tab w:val="right" w:leader="dot" w:pos="7654"/>
          <w:tab w:val="right" w:pos="8929"/>
          <w:tab w:val="right" w:pos="9638"/>
        </w:tabs>
        <w:spacing w:after="120"/>
        <w:ind w:left="1984" w:hanging="425"/>
      </w:pPr>
      <w:r>
        <w:t>1.</w:t>
      </w:r>
      <w:r>
        <w:tab/>
      </w:r>
      <w:r w:rsidR="00AD63C3" w:rsidRPr="00AD63C3">
        <w:t>No ONU 3082, matières dangereuses du point de l</w:t>
      </w:r>
      <w:r w:rsidR="00333FCB">
        <w:t>’</w:t>
      </w:r>
      <w:r w:rsidR="00AD63C3" w:rsidRPr="00AD63C3">
        <w:t xml:space="preserve">environnement, </w:t>
      </w:r>
      <w:r w:rsidR="00AD63C3">
        <w:br/>
      </w:r>
      <w:r w:rsidR="00AD63C3" w:rsidRPr="00AD63C3">
        <w:t xml:space="preserve">liquides, </w:t>
      </w:r>
      <w:proofErr w:type="spellStart"/>
      <w:r w:rsidR="00AD63C3" w:rsidRPr="00AD63C3">
        <w:t>n.s.a</w:t>
      </w:r>
      <w:proofErr w:type="spellEnd"/>
      <w:r w:rsidR="00B86DC9">
        <w:t>.</w:t>
      </w:r>
      <w:r w:rsidR="00A70778">
        <w:t>.</w:t>
      </w:r>
      <w:r>
        <w:tab/>
      </w:r>
      <w:r>
        <w:tab/>
      </w:r>
      <w:r w:rsidR="00253EE0">
        <w:t>25</w:t>
      </w:r>
      <w:r>
        <w:tab/>
      </w:r>
      <w:r w:rsidR="001D10CF">
        <w:t>10</w:t>
      </w:r>
    </w:p>
    <w:p w14:paraId="5E6FA3AD" w14:textId="77777777" w:rsidR="005B12F8" w:rsidRDefault="005B12F8" w:rsidP="005B12F8">
      <w:pPr>
        <w:tabs>
          <w:tab w:val="right" w:leader="dot" w:pos="7654"/>
          <w:tab w:val="right" w:pos="8929"/>
          <w:tab w:val="right" w:pos="9638"/>
        </w:tabs>
        <w:spacing w:after="120"/>
        <w:ind w:left="1984" w:hanging="425"/>
      </w:pPr>
      <w:r>
        <w:t>2.</w:t>
      </w:r>
      <w:r>
        <w:tab/>
      </w:r>
      <w:r w:rsidR="00AD63C3" w:rsidRPr="00AD63C3">
        <w:t xml:space="preserve">Transports dans une chaîne de transport comportant un parcours </w:t>
      </w:r>
      <w:r w:rsidR="00AD63C3">
        <w:br/>
      </w:r>
      <w:r w:rsidR="00AD63C3" w:rsidRPr="00AD63C3">
        <w:t>maritime</w:t>
      </w:r>
      <w:r>
        <w:tab/>
      </w:r>
      <w:r>
        <w:tab/>
      </w:r>
      <w:r w:rsidR="00253EE0">
        <w:t>26</w:t>
      </w:r>
      <w:r>
        <w:tab/>
      </w:r>
      <w:r w:rsidR="001D10CF">
        <w:t>10</w:t>
      </w:r>
    </w:p>
    <w:p w14:paraId="7BE7021B" w14:textId="4324EBA5" w:rsidR="005B12F8" w:rsidRDefault="005B12F8" w:rsidP="005B12F8">
      <w:pPr>
        <w:tabs>
          <w:tab w:val="right" w:leader="dot" w:pos="7654"/>
          <w:tab w:val="right" w:pos="8929"/>
          <w:tab w:val="right" w:pos="9638"/>
        </w:tabs>
        <w:spacing w:after="120"/>
        <w:ind w:left="1984" w:hanging="425"/>
      </w:pPr>
      <w:r>
        <w:t>3.</w:t>
      </w:r>
      <w:r>
        <w:tab/>
      </w:r>
      <w:r w:rsidR="00AD63C3" w:rsidRPr="00AD63C3">
        <w:t xml:space="preserve">Classification des matières de la classe 9 autres que les matières </w:t>
      </w:r>
      <w:r w:rsidR="00AD63C3">
        <w:br/>
      </w:r>
      <w:r w:rsidR="00AD63C3" w:rsidRPr="00AD63C3">
        <w:t>dangereuses pour l</w:t>
      </w:r>
      <w:r w:rsidR="00333FCB">
        <w:t>’</w:t>
      </w:r>
      <w:r w:rsidR="00AD63C3" w:rsidRPr="00AD63C3">
        <w:t>environnement</w:t>
      </w:r>
      <w:r>
        <w:tab/>
      </w:r>
      <w:r>
        <w:tab/>
      </w:r>
      <w:r w:rsidR="00253EE0">
        <w:t>27</w:t>
      </w:r>
      <w:r>
        <w:tab/>
      </w:r>
      <w:r w:rsidR="001D10CF">
        <w:t>10</w:t>
      </w:r>
    </w:p>
    <w:p w14:paraId="6848B2FA" w14:textId="595B3D1F" w:rsidR="005B12F8" w:rsidRDefault="005B12F8" w:rsidP="005B12F8">
      <w:pPr>
        <w:tabs>
          <w:tab w:val="right" w:leader="dot" w:pos="7654"/>
          <w:tab w:val="right" w:pos="8929"/>
          <w:tab w:val="right" w:pos="9638"/>
        </w:tabs>
        <w:spacing w:after="120"/>
        <w:ind w:left="1984" w:hanging="425"/>
      </w:pPr>
      <w:r>
        <w:t>4.</w:t>
      </w:r>
      <w:r>
        <w:tab/>
      </w:r>
      <w:r w:rsidR="00AD63C3" w:rsidRPr="00AD63C3">
        <w:t>Proposition d</w:t>
      </w:r>
      <w:r w:rsidR="00333FCB">
        <w:t>’</w:t>
      </w:r>
      <w:r w:rsidR="00AD63C3" w:rsidRPr="00AD63C3">
        <w:t>amendement au chapitre 1.2 du RID/ADR</w:t>
      </w:r>
      <w:r>
        <w:tab/>
      </w:r>
      <w:r>
        <w:tab/>
      </w:r>
      <w:r w:rsidR="00253EE0">
        <w:t>28</w:t>
      </w:r>
      <w:r>
        <w:tab/>
      </w:r>
      <w:r w:rsidR="001D10CF">
        <w:t>10</w:t>
      </w:r>
    </w:p>
    <w:p w14:paraId="480713AF" w14:textId="77777777" w:rsidR="005B12F8" w:rsidRDefault="005B12F8" w:rsidP="005B12F8">
      <w:pPr>
        <w:tabs>
          <w:tab w:val="right" w:leader="dot" w:pos="7654"/>
          <w:tab w:val="right" w:pos="8929"/>
          <w:tab w:val="right" w:pos="9638"/>
        </w:tabs>
        <w:spacing w:after="120"/>
        <w:ind w:left="1984" w:hanging="425"/>
      </w:pPr>
      <w:r>
        <w:t>5.</w:t>
      </w:r>
      <w:r>
        <w:tab/>
      </w:r>
      <w:r w:rsidR="00AD63C3" w:rsidRPr="00AD63C3">
        <w:t>Modification de la section 1.2.1 (Définitions)</w:t>
      </w:r>
      <w:r>
        <w:tab/>
      </w:r>
      <w:r>
        <w:tab/>
      </w:r>
      <w:r w:rsidR="00253EE0">
        <w:t>29</w:t>
      </w:r>
      <w:r>
        <w:tab/>
      </w:r>
      <w:r w:rsidR="001D10CF">
        <w:t>11</w:t>
      </w:r>
    </w:p>
    <w:p w14:paraId="528B0BDF" w14:textId="12A6AB76" w:rsidR="005B12F8" w:rsidRDefault="005B12F8" w:rsidP="005B12F8">
      <w:pPr>
        <w:tabs>
          <w:tab w:val="right" w:leader="dot" w:pos="7654"/>
          <w:tab w:val="right" w:pos="8929"/>
          <w:tab w:val="right" w:pos="9638"/>
        </w:tabs>
        <w:spacing w:after="120"/>
        <w:ind w:left="1984" w:hanging="425"/>
      </w:pPr>
      <w:r>
        <w:t>6.</w:t>
      </w:r>
      <w:r>
        <w:tab/>
      </w:r>
      <w:r w:rsidR="00AD63C3" w:rsidRPr="00AD63C3">
        <w:t>Mise à jour des renvois à la documentation technique de l</w:t>
      </w:r>
      <w:r w:rsidR="00333FCB">
        <w:t>’</w:t>
      </w:r>
      <w:r w:rsidR="00AD63C3" w:rsidRPr="00AD63C3">
        <w:t xml:space="preserve">UIC </w:t>
      </w:r>
      <w:r w:rsidR="00AD63C3">
        <w:br/>
      </w:r>
      <w:r w:rsidR="00AD63C3" w:rsidRPr="00AD63C3">
        <w:t>en ce qui concerne le transport combiné</w:t>
      </w:r>
      <w:r>
        <w:tab/>
      </w:r>
      <w:r>
        <w:tab/>
      </w:r>
      <w:r w:rsidR="00253EE0">
        <w:t>30</w:t>
      </w:r>
      <w:r>
        <w:tab/>
      </w:r>
      <w:r w:rsidR="001D10CF">
        <w:t>11</w:t>
      </w:r>
    </w:p>
    <w:p w14:paraId="3B53480C" w14:textId="77777777" w:rsidR="005B12F8" w:rsidRDefault="005B12F8" w:rsidP="005B12F8">
      <w:pPr>
        <w:tabs>
          <w:tab w:val="right" w:leader="dot" w:pos="7654"/>
          <w:tab w:val="right" w:pos="8929"/>
          <w:tab w:val="right" w:pos="9638"/>
        </w:tabs>
        <w:spacing w:after="120"/>
        <w:ind w:left="1984" w:hanging="425"/>
      </w:pPr>
      <w:r>
        <w:t>7.</w:t>
      </w:r>
      <w:r>
        <w:tab/>
      </w:r>
      <w:r w:rsidR="00AD63C3" w:rsidRPr="00AD63C3">
        <w:t>Inclusion du No ONU 3358 dans la liste des rubriques collectives</w:t>
      </w:r>
      <w:r>
        <w:tab/>
      </w:r>
      <w:r>
        <w:tab/>
      </w:r>
      <w:r w:rsidR="00253EE0">
        <w:t>31</w:t>
      </w:r>
      <w:r>
        <w:tab/>
      </w:r>
      <w:r w:rsidR="001D10CF">
        <w:t>11</w:t>
      </w:r>
    </w:p>
    <w:p w14:paraId="04FFCCA1" w14:textId="77777777" w:rsidR="005B12F8" w:rsidRDefault="005B12F8" w:rsidP="005B12F8">
      <w:pPr>
        <w:tabs>
          <w:tab w:val="right" w:leader="dot" w:pos="7654"/>
          <w:tab w:val="right" w:pos="8929"/>
          <w:tab w:val="right" w:pos="9638"/>
        </w:tabs>
        <w:spacing w:after="120"/>
        <w:ind w:left="1984" w:hanging="425"/>
      </w:pPr>
      <w:r>
        <w:t>8.</w:t>
      </w:r>
      <w:r>
        <w:tab/>
      </w:r>
      <w:r w:rsidR="00AD63C3" w:rsidRPr="00AD63C3">
        <w:t xml:space="preserve">Modification de la disposition spéciale 591 au chapitre 3.3 </w:t>
      </w:r>
      <w:r w:rsidR="00AD63C3">
        <w:br/>
      </w:r>
      <w:r w:rsidR="00AD63C3" w:rsidRPr="00AD63C3">
        <w:t>du RID/ADR/ADN</w:t>
      </w:r>
      <w:r>
        <w:tab/>
      </w:r>
      <w:r>
        <w:tab/>
      </w:r>
      <w:r w:rsidR="00253EE0">
        <w:t>32</w:t>
      </w:r>
      <w:r>
        <w:tab/>
      </w:r>
      <w:r w:rsidR="001D10CF">
        <w:t>11</w:t>
      </w:r>
    </w:p>
    <w:p w14:paraId="6459EEEA" w14:textId="77777777" w:rsidR="005B12F8" w:rsidRDefault="005B12F8" w:rsidP="005B12F8">
      <w:pPr>
        <w:tabs>
          <w:tab w:val="right" w:leader="dot" w:pos="7654"/>
          <w:tab w:val="right" w:pos="8929"/>
          <w:tab w:val="right" w:pos="9638"/>
        </w:tabs>
        <w:spacing w:after="120"/>
        <w:ind w:left="1984" w:hanging="425"/>
      </w:pPr>
      <w:r>
        <w:t>9.</w:t>
      </w:r>
      <w:r>
        <w:tab/>
      </w:r>
      <w:r w:rsidR="00AD63C3" w:rsidRPr="00AD63C3">
        <w:t>Suppression de la disposition provisoire 1.6.1.22 du RID/ADR/ADN</w:t>
      </w:r>
      <w:r>
        <w:tab/>
      </w:r>
      <w:r>
        <w:tab/>
      </w:r>
      <w:r w:rsidR="00253EE0">
        <w:t>33</w:t>
      </w:r>
      <w:r>
        <w:tab/>
      </w:r>
      <w:r w:rsidR="001D10CF">
        <w:t>11</w:t>
      </w:r>
    </w:p>
    <w:p w14:paraId="692F6A36" w14:textId="77777777" w:rsidR="005B12F8" w:rsidRDefault="005B12F8" w:rsidP="00AD63C3">
      <w:pPr>
        <w:tabs>
          <w:tab w:val="right" w:leader="dot" w:pos="7654"/>
          <w:tab w:val="right" w:pos="8929"/>
          <w:tab w:val="right" w:pos="9638"/>
        </w:tabs>
        <w:ind w:left="1984" w:hanging="425"/>
      </w:pPr>
      <w:r>
        <w:t>10.</w:t>
      </w:r>
      <w:r>
        <w:tab/>
      </w:r>
      <w:r w:rsidR="00AD63C3" w:rsidRPr="00AD63C3">
        <w:t xml:space="preserve">Évaluation séparée des robinets et autres accessoires démontables </w:t>
      </w:r>
      <w:r w:rsidR="00F37058">
        <w:br/>
      </w:r>
      <w:r w:rsidR="00AD63C3" w:rsidRPr="00AD63C3">
        <w:t xml:space="preserve">ayant une fonction directe de sécurité sur des récipients à pression </w:t>
      </w:r>
      <w:r w:rsidR="00F37058">
        <w:br/>
      </w:r>
      <w:r w:rsidR="00AD63C3" w:rsidRPr="00AD63C3">
        <w:t>« UN »</w:t>
      </w:r>
      <w:r>
        <w:tab/>
      </w:r>
      <w:r>
        <w:tab/>
      </w:r>
      <w:r w:rsidR="00253EE0">
        <w:t>34</w:t>
      </w:r>
      <w:r>
        <w:tab/>
      </w:r>
      <w:r w:rsidR="001D10CF">
        <w:t>11</w:t>
      </w:r>
    </w:p>
    <w:p w14:paraId="5B0A8656" w14:textId="77777777" w:rsidR="005B12F8" w:rsidRDefault="005B12F8" w:rsidP="005B12F8">
      <w:pPr>
        <w:tabs>
          <w:tab w:val="right" w:leader="dot" w:pos="7654"/>
          <w:tab w:val="right" w:pos="8929"/>
          <w:tab w:val="right" w:pos="9638"/>
        </w:tabs>
        <w:spacing w:after="120"/>
        <w:ind w:left="1984" w:hanging="425"/>
      </w:pPr>
      <w:r>
        <w:t>11.</w:t>
      </w:r>
      <w:r>
        <w:tab/>
      </w:r>
      <w:r w:rsidR="00F37058" w:rsidRPr="00AD63C3">
        <w:t xml:space="preserve">Numéros ONU ont le nom et la description diffèrent dans le </w:t>
      </w:r>
      <w:r w:rsidR="00F37058">
        <w:br/>
      </w:r>
      <w:r w:rsidR="00F37058" w:rsidRPr="00AD63C3">
        <w:t>Règlement type et dans le</w:t>
      </w:r>
      <w:r w:rsidR="00F37058">
        <w:t xml:space="preserve"> </w:t>
      </w:r>
      <w:r w:rsidR="00F37058" w:rsidRPr="00AD63C3">
        <w:t>RID/ADR</w:t>
      </w:r>
      <w:r>
        <w:tab/>
      </w:r>
      <w:r>
        <w:tab/>
      </w:r>
      <w:r w:rsidR="00253EE0">
        <w:t>35</w:t>
      </w:r>
      <w:r>
        <w:tab/>
      </w:r>
      <w:r w:rsidR="001D10CF">
        <w:t>11</w:t>
      </w:r>
    </w:p>
    <w:p w14:paraId="3DD08096" w14:textId="77777777" w:rsidR="005B12F8" w:rsidRDefault="005B12F8" w:rsidP="005B12F8">
      <w:pPr>
        <w:tabs>
          <w:tab w:val="right" w:leader="dot" w:pos="7654"/>
          <w:tab w:val="right" w:pos="8929"/>
          <w:tab w:val="right" w:pos="9638"/>
        </w:tabs>
        <w:spacing w:after="120"/>
        <w:ind w:left="1984" w:hanging="425"/>
      </w:pPr>
      <w:r>
        <w:t>12.</w:t>
      </w:r>
      <w:r>
        <w:tab/>
      </w:r>
      <w:r w:rsidR="00F37058" w:rsidRPr="00AD63C3">
        <w:rPr>
          <w:spacing w:val="-2"/>
        </w:rPr>
        <w:t>Harmonisation de la disposition spéciale 593 avec le paragraphe 5.5.3</w:t>
      </w:r>
      <w:r>
        <w:tab/>
      </w:r>
      <w:r>
        <w:tab/>
      </w:r>
      <w:r w:rsidR="00253EE0">
        <w:t>36</w:t>
      </w:r>
      <w:r>
        <w:tab/>
      </w:r>
      <w:r w:rsidR="001D10CF">
        <w:t>11</w:t>
      </w:r>
    </w:p>
    <w:p w14:paraId="02E1D130" w14:textId="4CC266DA" w:rsidR="005B12F8" w:rsidRDefault="005B12F8" w:rsidP="005B12F8">
      <w:pPr>
        <w:tabs>
          <w:tab w:val="right" w:leader="dot" w:pos="7654"/>
          <w:tab w:val="right" w:pos="8929"/>
          <w:tab w:val="right" w:pos="9638"/>
        </w:tabs>
        <w:spacing w:after="120"/>
        <w:ind w:left="1984" w:hanging="425"/>
      </w:pPr>
      <w:r>
        <w:t>13.</w:t>
      </w:r>
      <w:r>
        <w:tab/>
      </w:r>
      <w:r w:rsidR="00F37058" w:rsidRPr="00AD63C3">
        <w:t>Amendements corollaires entraînés par l</w:t>
      </w:r>
      <w:r w:rsidR="00333FCB">
        <w:t>’</w:t>
      </w:r>
      <w:r w:rsidR="00F37058" w:rsidRPr="00AD63C3">
        <w:t xml:space="preserve"> introduction de l</w:t>
      </w:r>
      <w:r w:rsidR="00333FCB">
        <w:t>’</w:t>
      </w:r>
      <w:r w:rsidR="00F37058" w:rsidRPr="00AD63C3">
        <w:t xml:space="preserve">expression </w:t>
      </w:r>
      <w:r w:rsidR="00F37058">
        <w:br/>
      </w:r>
      <w:r w:rsidR="00F37058" w:rsidRPr="00AD63C3">
        <w:t xml:space="preserve">« AVEC RÉGULATION DE TEMPÉRATURE » </w:t>
      </w:r>
      <w:r w:rsidR="00F37058">
        <w:br/>
      </w:r>
      <w:r w:rsidR="00F37058" w:rsidRPr="00AD63C3">
        <w:t>au paragraphe 3.1.2.6</w:t>
      </w:r>
      <w:r>
        <w:tab/>
      </w:r>
      <w:r>
        <w:tab/>
      </w:r>
      <w:r w:rsidR="00253EE0">
        <w:t>37</w:t>
      </w:r>
      <w:r>
        <w:tab/>
      </w:r>
      <w:r w:rsidR="001D10CF">
        <w:t>12</w:t>
      </w:r>
    </w:p>
    <w:p w14:paraId="2C22D7FC" w14:textId="77777777" w:rsidR="00D65B26" w:rsidRDefault="00D65B26" w:rsidP="00D65B26">
      <w:pPr>
        <w:tabs>
          <w:tab w:val="right" w:leader="dot" w:pos="7654"/>
          <w:tab w:val="right" w:pos="8929"/>
          <w:tab w:val="right" w:pos="9638"/>
        </w:tabs>
        <w:spacing w:after="120"/>
        <w:ind w:left="1984" w:hanging="425"/>
      </w:pPr>
      <w:r>
        <w:t>14.</w:t>
      </w:r>
      <w:r>
        <w:tab/>
      </w:r>
      <w:r w:rsidR="00F37058" w:rsidRPr="00AD63C3">
        <w:t xml:space="preserve">Inclusion du terme « FONDU » dans la désignation officielle de </w:t>
      </w:r>
      <w:r w:rsidR="00F37058">
        <w:br/>
      </w:r>
      <w:r w:rsidR="00F37058" w:rsidRPr="00AD63C3">
        <w:t>transport dans le document de transport</w:t>
      </w:r>
      <w:r>
        <w:tab/>
      </w:r>
      <w:r>
        <w:tab/>
      </w:r>
      <w:r w:rsidR="00253EE0">
        <w:t>38</w:t>
      </w:r>
      <w:r>
        <w:tab/>
      </w:r>
      <w:r w:rsidR="001D10CF">
        <w:t>12</w:t>
      </w:r>
    </w:p>
    <w:p w14:paraId="4FC4A535" w14:textId="23C0A9DA" w:rsidR="00D65B26" w:rsidRDefault="00D65B26" w:rsidP="00D65B26">
      <w:pPr>
        <w:tabs>
          <w:tab w:val="right" w:leader="dot" w:pos="7654"/>
          <w:tab w:val="right" w:pos="8929"/>
          <w:tab w:val="right" w:pos="9638"/>
        </w:tabs>
        <w:spacing w:after="120"/>
        <w:ind w:left="1984" w:hanging="425"/>
      </w:pPr>
      <w:r>
        <w:t>15.</w:t>
      </w:r>
      <w:r>
        <w:tab/>
      </w:r>
      <w:r w:rsidR="00F37058" w:rsidRPr="00AD63C3">
        <w:t>Transport d</w:t>
      </w:r>
      <w:r w:rsidR="00333FCB">
        <w:t>’</w:t>
      </w:r>
      <w:r w:rsidR="00F37058" w:rsidRPr="00AD63C3">
        <w:t>« ENGRAIS EN SOLUTION » (No ONU 1043)</w:t>
      </w:r>
      <w:r>
        <w:tab/>
      </w:r>
      <w:r>
        <w:tab/>
      </w:r>
      <w:r w:rsidR="00253EE0">
        <w:t>39</w:t>
      </w:r>
      <w:r>
        <w:tab/>
      </w:r>
      <w:r w:rsidR="001D10CF">
        <w:t>12</w:t>
      </w:r>
    </w:p>
    <w:p w14:paraId="4602B7BF" w14:textId="4501B555" w:rsidR="005B12F8" w:rsidRDefault="005B12F8" w:rsidP="005B12F8">
      <w:pPr>
        <w:tabs>
          <w:tab w:val="right" w:leader="dot" w:pos="7654"/>
          <w:tab w:val="right" w:pos="8929"/>
          <w:tab w:val="right" w:pos="9638"/>
        </w:tabs>
        <w:spacing w:after="120"/>
        <w:ind w:left="1984" w:hanging="425"/>
      </w:pPr>
      <w:r>
        <w:t>16.</w:t>
      </w:r>
      <w:r>
        <w:tab/>
      </w:r>
      <w:r w:rsidR="00F37058" w:rsidRPr="00AD63C3">
        <w:t xml:space="preserve">Proposition concernant un nouveau modèle de GRV souple pour le </w:t>
      </w:r>
      <w:r w:rsidR="00F37058">
        <w:br/>
      </w:r>
      <w:r w:rsidR="00F37058" w:rsidRPr="00AD63C3">
        <w:t xml:space="preserve">transport de dihydroxyde de cobalt raffiné satisfaisant aux critères </w:t>
      </w:r>
      <w:r w:rsidR="00F37058">
        <w:br/>
      </w:r>
      <w:r w:rsidR="00F37058" w:rsidRPr="00AD63C3">
        <w:t>du groupe d</w:t>
      </w:r>
      <w:r w:rsidR="00333FCB">
        <w:t>’</w:t>
      </w:r>
      <w:r w:rsidR="00F37058" w:rsidRPr="00AD63C3">
        <w:t>emballage I en ce qui concerne la toxicité à l</w:t>
      </w:r>
      <w:r w:rsidR="00333FCB">
        <w:t>’</w:t>
      </w:r>
      <w:r w:rsidR="00F37058" w:rsidRPr="00AD63C3">
        <w:t>inhalation</w:t>
      </w:r>
      <w:r>
        <w:tab/>
      </w:r>
      <w:r>
        <w:tab/>
      </w:r>
      <w:r w:rsidR="00253EE0">
        <w:t>40</w:t>
      </w:r>
      <w:r>
        <w:tab/>
      </w:r>
      <w:r w:rsidR="001D10CF">
        <w:t>12</w:t>
      </w:r>
    </w:p>
    <w:p w14:paraId="714FFDE4" w14:textId="77777777" w:rsidR="005B12F8" w:rsidRDefault="005B12F8" w:rsidP="005B12F8">
      <w:pPr>
        <w:tabs>
          <w:tab w:val="right" w:leader="dot" w:pos="7654"/>
          <w:tab w:val="right" w:pos="8929"/>
          <w:tab w:val="right" w:pos="9638"/>
        </w:tabs>
        <w:spacing w:after="120"/>
        <w:ind w:left="1984" w:hanging="425"/>
      </w:pPr>
      <w:r>
        <w:t>17.</w:t>
      </w:r>
      <w:r>
        <w:tab/>
      </w:r>
      <w:r w:rsidR="00F37058" w:rsidRPr="00AD63C3">
        <w:t>Classification du dioxyde de plomb (No ONU 1872)</w:t>
      </w:r>
      <w:r>
        <w:tab/>
      </w:r>
      <w:r>
        <w:tab/>
      </w:r>
      <w:r w:rsidR="00253EE0">
        <w:t>41</w:t>
      </w:r>
      <w:r>
        <w:tab/>
      </w:r>
      <w:r w:rsidR="001D10CF">
        <w:t>12</w:t>
      </w:r>
    </w:p>
    <w:p w14:paraId="24CBF610" w14:textId="7835D330" w:rsidR="005B12F8" w:rsidRDefault="005B12F8" w:rsidP="005B12F8">
      <w:pPr>
        <w:tabs>
          <w:tab w:val="right" w:leader="dot" w:pos="7654"/>
          <w:tab w:val="right" w:pos="8929"/>
          <w:tab w:val="right" w:pos="9638"/>
        </w:tabs>
        <w:spacing w:after="120"/>
        <w:ind w:left="1984" w:hanging="425"/>
      </w:pPr>
      <w:r>
        <w:t>18.</w:t>
      </w:r>
      <w:r>
        <w:tab/>
      </w:r>
      <w:r w:rsidR="00F37058" w:rsidRPr="00AD63C3">
        <w:t>Proposition d</w:t>
      </w:r>
      <w:r w:rsidR="00333FCB">
        <w:t>’</w:t>
      </w:r>
      <w:r w:rsidR="00F37058" w:rsidRPr="00AD63C3">
        <w:t xml:space="preserve">amendement des exemptions relatives à la nature de </w:t>
      </w:r>
      <w:r w:rsidR="00F37058">
        <w:br/>
      </w:r>
      <w:r w:rsidR="00F37058" w:rsidRPr="00AD63C3">
        <w:t>l</w:t>
      </w:r>
      <w:r w:rsidR="00333FCB">
        <w:t>’</w:t>
      </w:r>
      <w:r w:rsidR="00F37058" w:rsidRPr="00AD63C3">
        <w:t>opération de transport au paragraphe 1.1.3.1</w:t>
      </w:r>
      <w:r>
        <w:tab/>
      </w:r>
      <w:r>
        <w:tab/>
      </w:r>
      <w:r w:rsidR="00253EE0">
        <w:t>42</w:t>
      </w:r>
      <w:r>
        <w:tab/>
      </w:r>
      <w:r w:rsidR="001D10CF">
        <w:t>12</w:t>
      </w:r>
    </w:p>
    <w:p w14:paraId="3FAB7C62" w14:textId="2574DE98" w:rsidR="001D10CF" w:rsidRDefault="001D10CF" w:rsidP="001D10CF">
      <w:pPr>
        <w:tabs>
          <w:tab w:val="right" w:leader="dot" w:pos="7654"/>
          <w:tab w:val="right" w:pos="8929"/>
          <w:tab w:val="right" w:pos="9638"/>
        </w:tabs>
        <w:spacing w:after="120"/>
        <w:ind w:left="1984" w:hanging="425"/>
      </w:pPr>
      <w:r>
        <w:t>19.</w:t>
      </w:r>
      <w:r>
        <w:tab/>
      </w:r>
      <w:r w:rsidRPr="00D23E90">
        <w:t>Problème d</w:t>
      </w:r>
      <w:r w:rsidR="00333FCB">
        <w:t>’</w:t>
      </w:r>
      <w:r w:rsidRPr="00D23E90">
        <w:t>interprétation du paragraphe 7.5.2.3 de l</w:t>
      </w:r>
      <w:r w:rsidR="00333FCB">
        <w:t>’</w:t>
      </w:r>
      <w:r w:rsidRPr="00D23E90">
        <w:t>ADR</w:t>
      </w:r>
      <w:r>
        <w:tab/>
      </w:r>
      <w:r>
        <w:tab/>
        <w:t>43</w:t>
      </w:r>
      <w:r>
        <w:tab/>
        <w:t>13</w:t>
      </w:r>
    </w:p>
    <w:p w14:paraId="30CF9AC3" w14:textId="111398B5" w:rsidR="00D65B26" w:rsidRDefault="00D65B26" w:rsidP="005B12F8">
      <w:pPr>
        <w:tabs>
          <w:tab w:val="right" w:leader="dot" w:pos="7654"/>
          <w:tab w:val="right" w:pos="8929"/>
          <w:tab w:val="right" w:pos="9638"/>
        </w:tabs>
        <w:spacing w:after="120"/>
        <w:ind w:left="1984" w:hanging="425"/>
      </w:pPr>
      <w:r>
        <w:t>20.</w:t>
      </w:r>
      <w:r>
        <w:tab/>
      </w:r>
      <w:r w:rsidR="00F37058" w:rsidRPr="00D23E90">
        <w:t xml:space="preserve">Dispositions du 5.5.3 applicables au transport de neige carbonique </w:t>
      </w:r>
      <w:r w:rsidR="00F37058">
        <w:br/>
      </w:r>
      <w:r w:rsidR="00F37058" w:rsidRPr="00D23E90">
        <w:t>(No ONU 1845) en tant qu</w:t>
      </w:r>
      <w:r w:rsidR="00333FCB">
        <w:t>’</w:t>
      </w:r>
      <w:r w:rsidR="00F37058" w:rsidRPr="00D23E90">
        <w:t>envoi</w:t>
      </w:r>
      <w:r>
        <w:tab/>
      </w:r>
      <w:r>
        <w:tab/>
      </w:r>
      <w:r w:rsidR="00253EE0">
        <w:t>44</w:t>
      </w:r>
      <w:r>
        <w:tab/>
      </w:r>
      <w:r w:rsidR="001D10CF">
        <w:t>13</w:t>
      </w:r>
    </w:p>
    <w:p w14:paraId="2770F88B" w14:textId="27EA1A15" w:rsidR="00D65B26" w:rsidRDefault="00D65B26" w:rsidP="00D65B26">
      <w:pPr>
        <w:tabs>
          <w:tab w:val="right" w:pos="850"/>
          <w:tab w:val="right" w:leader="dot" w:pos="7654"/>
          <w:tab w:val="right" w:pos="8929"/>
          <w:tab w:val="right" w:pos="9638"/>
        </w:tabs>
        <w:spacing w:after="120"/>
        <w:ind w:left="1134" w:hanging="1134"/>
      </w:pPr>
      <w:r>
        <w:tab/>
        <w:t>VIII.</w:t>
      </w:r>
      <w:r>
        <w:tab/>
      </w:r>
      <w:r w:rsidR="00F37058" w:rsidRPr="00D23E90">
        <w:t>Interprétation du RID/ADR/ADN (point 6 de l</w:t>
      </w:r>
      <w:r w:rsidR="00333FCB">
        <w:t>’</w:t>
      </w:r>
      <w:r w:rsidR="00F37058" w:rsidRPr="00D23E90">
        <w:t>ordre du jour)</w:t>
      </w:r>
      <w:r>
        <w:tab/>
      </w:r>
      <w:r>
        <w:tab/>
      </w:r>
      <w:r w:rsidR="00253EE0">
        <w:t>45</w:t>
      </w:r>
      <w:r>
        <w:tab/>
      </w:r>
      <w:r w:rsidR="001D10CF">
        <w:t>13</w:t>
      </w:r>
    </w:p>
    <w:p w14:paraId="33FBADD6" w14:textId="6152FF91" w:rsidR="00D65B26" w:rsidRDefault="00D65B26" w:rsidP="00D65B26">
      <w:pPr>
        <w:tabs>
          <w:tab w:val="right" w:pos="850"/>
          <w:tab w:val="right" w:leader="dot" w:pos="7654"/>
          <w:tab w:val="right" w:pos="8929"/>
          <w:tab w:val="right" w:pos="9638"/>
        </w:tabs>
        <w:spacing w:after="120"/>
        <w:ind w:left="1134" w:hanging="1134"/>
      </w:pPr>
      <w:r>
        <w:tab/>
        <w:t>IX.</w:t>
      </w:r>
      <w:r>
        <w:tab/>
      </w:r>
      <w:r w:rsidR="00F37058" w:rsidRPr="00D23E90">
        <w:t>Rapports des groupes de travail informels (point 7 de l</w:t>
      </w:r>
      <w:r w:rsidR="00333FCB">
        <w:t>’</w:t>
      </w:r>
      <w:r w:rsidR="00F37058" w:rsidRPr="00D23E90">
        <w:t>ordre du jour)</w:t>
      </w:r>
      <w:r>
        <w:tab/>
      </w:r>
      <w:r>
        <w:tab/>
      </w:r>
      <w:r w:rsidR="00253EE0">
        <w:t>46−52</w:t>
      </w:r>
      <w:r>
        <w:tab/>
      </w:r>
      <w:r w:rsidR="001D10CF">
        <w:t>13</w:t>
      </w:r>
    </w:p>
    <w:p w14:paraId="5948AD34" w14:textId="0C575AA2" w:rsidR="00D65B26" w:rsidRDefault="00D65B26" w:rsidP="00D65B26">
      <w:pPr>
        <w:tabs>
          <w:tab w:val="right" w:leader="dot" w:pos="7654"/>
          <w:tab w:val="right" w:pos="8929"/>
          <w:tab w:val="right" w:pos="9638"/>
        </w:tabs>
        <w:spacing w:after="120"/>
        <w:ind w:left="1559" w:hanging="425"/>
      </w:pPr>
      <w:bookmarkStart w:id="0" w:name="_GoBack"/>
      <w:bookmarkEnd w:id="0"/>
      <w:r>
        <w:lastRenderedPageBreak/>
        <w:t>A.</w:t>
      </w:r>
      <w:r>
        <w:tab/>
      </w:r>
      <w:r w:rsidR="00F37058" w:rsidRPr="00D23E90">
        <w:t xml:space="preserve">Transport de récipients à pression agréés par le Département </w:t>
      </w:r>
      <w:r w:rsidR="00F37058">
        <w:br/>
      </w:r>
      <w:r w:rsidR="00F37058" w:rsidRPr="00D23E90">
        <w:t>des transports des États-Unis d</w:t>
      </w:r>
      <w:r w:rsidR="00333FCB">
        <w:t>’</w:t>
      </w:r>
      <w:r w:rsidR="00F37058" w:rsidRPr="00D23E90">
        <w:t>Amérique</w:t>
      </w:r>
      <w:r>
        <w:tab/>
      </w:r>
      <w:r>
        <w:tab/>
      </w:r>
      <w:r w:rsidR="00253EE0">
        <w:t>46</w:t>
      </w:r>
      <w:r>
        <w:tab/>
      </w:r>
      <w:r w:rsidR="005F7362">
        <w:t>13</w:t>
      </w:r>
    </w:p>
    <w:p w14:paraId="54298226" w14:textId="77777777" w:rsidR="00D65B26" w:rsidRDefault="00D65B26" w:rsidP="00D65B26">
      <w:pPr>
        <w:tabs>
          <w:tab w:val="right" w:leader="dot" w:pos="7654"/>
          <w:tab w:val="right" w:pos="8929"/>
          <w:tab w:val="right" w:pos="9638"/>
        </w:tabs>
        <w:spacing w:after="120"/>
        <w:ind w:left="1559" w:hanging="425"/>
      </w:pPr>
      <w:r>
        <w:t>B.</w:t>
      </w:r>
      <w:r>
        <w:tab/>
      </w:r>
      <w:r w:rsidR="00F37058" w:rsidRPr="00D23E90">
        <w:t xml:space="preserve">Groupe de travail informel des transports de déchets dangereux : réunion </w:t>
      </w:r>
      <w:r w:rsidR="00F37058">
        <w:br/>
      </w:r>
      <w:r w:rsidR="00F37058" w:rsidRPr="00D23E90">
        <w:t>de Bruxelles (2 et 3</w:t>
      </w:r>
      <w:r w:rsidR="00046EEC">
        <w:t> </w:t>
      </w:r>
      <w:r w:rsidR="00F37058" w:rsidRPr="00D23E90">
        <w:t>avril 2019)</w:t>
      </w:r>
      <w:r>
        <w:tab/>
      </w:r>
      <w:r>
        <w:tab/>
      </w:r>
      <w:r w:rsidR="00253EE0">
        <w:t>47</w:t>
      </w:r>
      <w:r>
        <w:tab/>
      </w:r>
      <w:r w:rsidR="005F7362">
        <w:t>13</w:t>
      </w:r>
    </w:p>
    <w:p w14:paraId="5772D8F9" w14:textId="4AF369EF" w:rsidR="00D65B26" w:rsidRDefault="00D65B26" w:rsidP="00D65B26">
      <w:pPr>
        <w:tabs>
          <w:tab w:val="right" w:leader="dot" w:pos="7654"/>
          <w:tab w:val="right" w:pos="8929"/>
          <w:tab w:val="right" w:pos="9638"/>
        </w:tabs>
        <w:spacing w:after="120"/>
        <w:ind w:left="1559" w:hanging="425"/>
      </w:pPr>
      <w:r>
        <w:t>C.</w:t>
      </w:r>
      <w:r>
        <w:tab/>
      </w:r>
      <w:r w:rsidR="00046EEC" w:rsidRPr="00D23E90">
        <w:t xml:space="preserve">Groupe de travail informel de la télématique : lignes directrices pour </w:t>
      </w:r>
      <w:r w:rsidR="00046EEC">
        <w:br/>
      </w:r>
      <w:r w:rsidR="00046EEC" w:rsidRPr="00D23E90">
        <w:t>l</w:t>
      </w:r>
      <w:r w:rsidR="00333FCB">
        <w:t>’</w:t>
      </w:r>
      <w:r w:rsidR="00046EEC" w:rsidRPr="00D23E90">
        <w:t>application du paragraphe 5.4.0.2 du RID/ADR/ADN</w:t>
      </w:r>
      <w:r>
        <w:tab/>
      </w:r>
      <w:r>
        <w:tab/>
      </w:r>
      <w:r w:rsidR="00253EE0">
        <w:t>48−51</w:t>
      </w:r>
      <w:r>
        <w:tab/>
      </w:r>
      <w:r w:rsidR="005F7362">
        <w:t>14</w:t>
      </w:r>
    </w:p>
    <w:p w14:paraId="6BFABB3F" w14:textId="64D86BB4" w:rsidR="00D65B26" w:rsidRDefault="00D65B26" w:rsidP="00D65B26">
      <w:pPr>
        <w:tabs>
          <w:tab w:val="right" w:leader="dot" w:pos="7654"/>
          <w:tab w:val="right" w:pos="8929"/>
          <w:tab w:val="right" w:pos="9638"/>
        </w:tabs>
        <w:spacing w:after="120"/>
        <w:ind w:left="1559" w:hanging="425"/>
      </w:pPr>
      <w:r>
        <w:t>D.</w:t>
      </w:r>
      <w:r>
        <w:tab/>
      </w:r>
      <w:r w:rsidR="00046EEC" w:rsidRPr="00D23E90">
        <w:t>Rapport sur l</w:t>
      </w:r>
      <w:r w:rsidR="00333FCB">
        <w:t>’</w:t>
      </w:r>
      <w:r w:rsidR="00046EEC" w:rsidRPr="00D23E90">
        <w:t>examen de l</w:t>
      </w:r>
      <w:r w:rsidR="00333FCB">
        <w:t>’</w:t>
      </w:r>
      <w:r w:rsidR="00046EEC" w:rsidRPr="00D23E90">
        <w:t xml:space="preserve">utilisation des termes « risque » et « danger » </w:t>
      </w:r>
      <w:r w:rsidR="00046EEC">
        <w:br/>
      </w:r>
      <w:r w:rsidR="00046EEC" w:rsidRPr="00D23E90">
        <w:t>lors de la cinquante-cinquième session du Sous-Comité d</w:t>
      </w:r>
      <w:r w:rsidR="00333FCB">
        <w:t>’</w:t>
      </w:r>
      <w:r w:rsidR="00046EEC" w:rsidRPr="00D23E90">
        <w:t xml:space="preserve">Experts </w:t>
      </w:r>
      <w:r w:rsidR="00046EEC">
        <w:br/>
      </w:r>
      <w:r w:rsidR="00046EEC" w:rsidRPr="00D23E90">
        <w:t>du transport des marchandises dangereuses</w:t>
      </w:r>
      <w:r>
        <w:tab/>
      </w:r>
      <w:r>
        <w:tab/>
      </w:r>
      <w:r w:rsidR="00253EE0">
        <w:t>52</w:t>
      </w:r>
      <w:r>
        <w:tab/>
      </w:r>
      <w:r w:rsidR="005F7362">
        <w:t>14</w:t>
      </w:r>
    </w:p>
    <w:p w14:paraId="0CEE4438" w14:textId="2F3CCB67" w:rsidR="00D65B26" w:rsidRDefault="00D65B26" w:rsidP="00D65B26">
      <w:pPr>
        <w:tabs>
          <w:tab w:val="right" w:pos="850"/>
          <w:tab w:val="right" w:leader="dot" w:pos="7654"/>
          <w:tab w:val="right" w:pos="8929"/>
          <w:tab w:val="right" w:pos="9638"/>
        </w:tabs>
        <w:spacing w:after="120"/>
        <w:ind w:left="1134" w:hanging="1134"/>
      </w:pPr>
      <w:r>
        <w:tab/>
        <w:t>X.</w:t>
      </w:r>
      <w:r>
        <w:tab/>
      </w:r>
      <w:r w:rsidR="00046EEC" w:rsidRPr="00D23E90">
        <w:t>Accidents et gestion des risques (point 8 de l</w:t>
      </w:r>
      <w:r w:rsidR="00333FCB">
        <w:t>’</w:t>
      </w:r>
      <w:r w:rsidR="00046EEC" w:rsidRPr="00D23E90">
        <w:t>ordre du jour)</w:t>
      </w:r>
      <w:r>
        <w:tab/>
      </w:r>
      <w:r>
        <w:tab/>
      </w:r>
      <w:r w:rsidR="00B21BC8">
        <w:t>53−56</w:t>
      </w:r>
      <w:r>
        <w:tab/>
      </w:r>
      <w:r w:rsidR="005F7362">
        <w:t>15</w:t>
      </w:r>
    </w:p>
    <w:p w14:paraId="2BBBD437" w14:textId="77777777" w:rsidR="00D65B26" w:rsidRDefault="00D65B26" w:rsidP="00D65B26">
      <w:pPr>
        <w:tabs>
          <w:tab w:val="right" w:leader="dot" w:pos="7654"/>
          <w:tab w:val="right" w:pos="8929"/>
          <w:tab w:val="right" w:pos="9638"/>
        </w:tabs>
        <w:spacing w:after="120"/>
        <w:ind w:left="1559" w:hanging="425"/>
      </w:pPr>
      <w:r>
        <w:t>A.</w:t>
      </w:r>
      <w:r>
        <w:tab/>
      </w:r>
      <w:r w:rsidR="00046EEC" w:rsidRPr="00046EEC">
        <w:rPr>
          <w:spacing w:val="-2"/>
        </w:rPr>
        <w:t>Gestion des risques dans le transport intérieur de marchandises dangereuses</w:t>
      </w:r>
      <w:r>
        <w:tab/>
      </w:r>
      <w:r>
        <w:tab/>
      </w:r>
      <w:r w:rsidR="00B21BC8">
        <w:t>53−54</w:t>
      </w:r>
      <w:r>
        <w:tab/>
      </w:r>
      <w:r w:rsidR="005F7362">
        <w:t>15</w:t>
      </w:r>
    </w:p>
    <w:p w14:paraId="5FC8FA7A" w14:textId="77777777" w:rsidR="00D65B26" w:rsidRDefault="00D65B26" w:rsidP="00D65B26">
      <w:pPr>
        <w:tabs>
          <w:tab w:val="right" w:leader="dot" w:pos="7654"/>
          <w:tab w:val="right" w:pos="8929"/>
          <w:tab w:val="right" w:pos="9638"/>
        </w:tabs>
        <w:spacing w:after="120"/>
        <w:ind w:left="1984" w:hanging="425"/>
      </w:pPr>
      <w:r>
        <w:t>1.</w:t>
      </w:r>
      <w:r>
        <w:tab/>
      </w:r>
      <w:r w:rsidR="00046EEC" w:rsidRPr="00D23E90">
        <w:t xml:space="preserve">Publication du Cadre de la gestion des risques dans les transports </w:t>
      </w:r>
      <w:r w:rsidR="00046EEC">
        <w:br/>
      </w:r>
      <w:r w:rsidR="00046EEC" w:rsidRPr="00D23E90">
        <w:t>intérieurs du TMD</w:t>
      </w:r>
      <w:r>
        <w:tab/>
      </w:r>
      <w:r>
        <w:tab/>
      </w:r>
      <w:r w:rsidR="00B21BC8">
        <w:t>53</w:t>
      </w:r>
      <w:r>
        <w:tab/>
      </w:r>
      <w:r w:rsidR="005F7362">
        <w:t>15</w:t>
      </w:r>
    </w:p>
    <w:p w14:paraId="3C3DF283" w14:textId="2C1360A4" w:rsidR="00D65B26" w:rsidRDefault="00D65B26" w:rsidP="00D65B26">
      <w:pPr>
        <w:tabs>
          <w:tab w:val="right" w:leader="dot" w:pos="7654"/>
          <w:tab w:val="right" w:pos="8929"/>
          <w:tab w:val="right" w:pos="9638"/>
        </w:tabs>
        <w:spacing w:after="120"/>
        <w:ind w:left="1984" w:hanging="425"/>
      </w:pPr>
      <w:r>
        <w:t>2.</w:t>
      </w:r>
      <w:r>
        <w:tab/>
      </w:r>
      <w:r w:rsidR="00046EEC" w:rsidRPr="00D23E90">
        <w:t>Rapport de l</w:t>
      </w:r>
      <w:r w:rsidR="00333FCB">
        <w:t>’</w:t>
      </w:r>
      <w:r w:rsidR="00046EEC" w:rsidRPr="00D23E90">
        <w:t xml:space="preserve">« Expert </w:t>
      </w:r>
      <w:proofErr w:type="spellStart"/>
      <w:r w:rsidR="00046EEC" w:rsidRPr="00D23E90">
        <w:t>Users</w:t>
      </w:r>
      <w:proofErr w:type="spellEnd"/>
      <w:r w:rsidR="00046EEC" w:rsidRPr="00D23E90">
        <w:t xml:space="preserve"> and </w:t>
      </w:r>
      <w:proofErr w:type="spellStart"/>
      <w:r w:rsidR="00046EEC" w:rsidRPr="00D23E90">
        <w:t>Development</w:t>
      </w:r>
      <w:proofErr w:type="spellEnd"/>
      <w:r w:rsidR="00046EEC" w:rsidRPr="00D23E90">
        <w:t xml:space="preserve"> Group (EUDG) » </w:t>
      </w:r>
      <w:r w:rsidR="00046EEC">
        <w:br/>
      </w:r>
      <w:r w:rsidR="00046EEC" w:rsidRPr="00D23E90">
        <w:t>concernant l</w:t>
      </w:r>
      <w:r w:rsidR="00333FCB">
        <w:t>’</w:t>
      </w:r>
      <w:r w:rsidR="00046EEC" w:rsidRPr="00D23E90">
        <w:t>utilisation des critères d</w:t>
      </w:r>
      <w:r w:rsidR="00333FCB">
        <w:t>’</w:t>
      </w:r>
      <w:r w:rsidR="00046EEC" w:rsidRPr="00D23E90">
        <w:t xml:space="preserve">acceptation des risques dans le </w:t>
      </w:r>
      <w:r w:rsidR="00046EEC">
        <w:br/>
      </w:r>
      <w:r w:rsidR="00046EEC" w:rsidRPr="00046EEC">
        <w:rPr>
          <w:spacing w:val="-2"/>
        </w:rPr>
        <w:t>Cadre de la gestion des risques dans les transports intérieurs du TMD</w:t>
      </w:r>
      <w:r w:rsidRPr="00046EEC">
        <w:rPr>
          <w:spacing w:val="-2"/>
        </w:rPr>
        <w:tab/>
      </w:r>
      <w:r>
        <w:tab/>
      </w:r>
      <w:r w:rsidR="00B21BC8">
        <w:t>54</w:t>
      </w:r>
      <w:r>
        <w:tab/>
      </w:r>
      <w:r w:rsidR="005F7362">
        <w:t>15</w:t>
      </w:r>
    </w:p>
    <w:p w14:paraId="2F8D5D6A" w14:textId="4FB16B26" w:rsidR="00D65B26" w:rsidRDefault="00D65B26" w:rsidP="00D65B26">
      <w:pPr>
        <w:tabs>
          <w:tab w:val="right" w:leader="dot" w:pos="7654"/>
          <w:tab w:val="right" w:pos="8929"/>
          <w:tab w:val="right" w:pos="9638"/>
        </w:tabs>
        <w:spacing w:after="120"/>
        <w:ind w:left="1559" w:hanging="425"/>
      </w:pPr>
      <w:r>
        <w:t>B.</w:t>
      </w:r>
      <w:r>
        <w:tab/>
      </w:r>
      <w:r w:rsidR="00046EEC" w:rsidRPr="00D23E90">
        <w:t>Rapport du groupe de travail informel de l</w:t>
      </w:r>
      <w:r w:rsidR="00333FCB">
        <w:t>’</w:t>
      </w:r>
      <w:r w:rsidR="00046EEC" w:rsidRPr="00D23E90">
        <w:t xml:space="preserve">amélioration des rapports </w:t>
      </w:r>
      <w:r w:rsidR="00046EEC">
        <w:br/>
      </w:r>
      <w:r w:rsidR="00046EEC" w:rsidRPr="00D23E90">
        <w:t>d</w:t>
      </w:r>
      <w:r w:rsidR="00333FCB">
        <w:t>’</w:t>
      </w:r>
      <w:r w:rsidR="00046EEC" w:rsidRPr="00D23E90">
        <w:t>accident</w:t>
      </w:r>
      <w:r>
        <w:tab/>
      </w:r>
      <w:r>
        <w:tab/>
      </w:r>
      <w:r w:rsidR="00B21BC8">
        <w:t>55−56</w:t>
      </w:r>
      <w:r>
        <w:tab/>
      </w:r>
      <w:r w:rsidR="005F7362">
        <w:t>15</w:t>
      </w:r>
    </w:p>
    <w:p w14:paraId="5D456C78" w14:textId="173CF1AF" w:rsidR="00D65B26" w:rsidRDefault="00D65B26" w:rsidP="00D65B26">
      <w:pPr>
        <w:tabs>
          <w:tab w:val="right" w:pos="850"/>
          <w:tab w:val="right" w:leader="dot" w:pos="7654"/>
          <w:tab w:val="right" w:pos="8929"/>
          <w:tab w:val="right" w:pos="9638"/>
        </w:tabs>
        <w:spacing w:after="120"/>
        <w:ind w:left="1134" w:hanging="1134"/>
      </w:pPr>
      <w:r>
        <w:tab/>
        <w:t>XI.</w:t>
      </w:r>
      <w:r>
        <w:tab/>
      </w:r>
      <w:r w:rsidR="00046EEC" w:rsidRPr="00D23E90">
        <w:t>Élection du Bureau pour 2020 (point 9 de l</w:t>
      </w:r>
      <w:r w:rsidR="00333FCB">
        <w:t>’</w:t>
      </w:r>
      <w:r w:rsidR="00046EEC" w:rsidRPr="00D23E90">
        <w:t>ordre du jour)</w:t>
      </w:r>
      <w:r>
        <w:tab/>
      </w:r>
      <w:r>
        <w:tab/>
      </w:r>
      <w:r w:rsidR="00B21BC8">
        <w:t>57</w:t>
      </w:r>
      <w:r>
        <w:tab/>
      </w:r>
      <w:r w:rsidR="005F7362">
        <w:t>15</w:t>
      </w:r>
    </w:p>
    <w:p w14:paraId="4B5F23F1" w14:textId="49EAE49F" w:rsidR="00D65B26" w:rsidRDefault="00D65B26" w:rsidP="00D65B26">
      <w:pPr>
        <w:tabs>
          <w:tab w:val="right" w:pos="850"/>
          <w:tab w:val="right" w:leader="dot" w:pos="7654"/>
          <w:tab w:val="right" w:pos="8929"/>
          <w:tab w:val="right" w:pos="9638"/>
        </w:tabs>
        <w:spacing w:after="120"/>
        <w:ind w:left="1134" w:hanging="1134"/>
      </w:pPr>
      <w:r>
        <w:tab/>
        <w:t>XII.</w:t>
      </w:r>
      <w:r>
        <w:tab/>
      </w:r>
      <w:r w:rsidR="00046EEC" w:rsidRPr="00D23E90">
        <w:t>Travaux futurs (point 10 de l</w:t>
      </w:r>
      <w:r w:rsidR="00333FCB">
        <w:t>’</w:t>
      </w:r>
      <w:r w:rsidR="00046EEC" w:rsidRPr="00D23E90">
        <w:t>ordre du jour)</w:t>
      </w:r>
      <w:r>
        <w:tab/>
      </w:r>
      <w:r>
        <w:tab/>
      </w:r>
      <w:r w:rsidR="00B21BC8">
        <w:t>58</w:t>
      </w:r>
      <w:r>
        <w:tab/>
      </w:r>
      <w:r w:rsidR="005F7362">
        <w:t>16</w:t>
      </w:r>
    </w:p>
    <w:p w14:paraId="1BF2A10E" w14:textId="77C64F8C" w:rsidR="00D65B26" w:rsidRDefault="00D65B26" w:rsidP="00D65B26">
      <w:pPr>
        <w:tabs>
          <w:tab w:val="right" w:pos="850"/>
          <w:tab w:val="right" w:leader="dot" w:pos="7654"/>
          <w:tab w:val="right" w:pos="8929"/>
          <w:tab w:val="right" w:pos="9638"/>
        </w:tabs>
        <w:spacing w:after="120"/>
        <w:ind w:left="1134" w:hanging="1134"/>
      </w:pPr>
      <w:r>
        <w:tab/>
        <w:t>XIII.</w:t>
      </w:r>
      <w:r>
        <w:tab/>
      </w:r>
      <w:r w:rsidR="00046EEC" w:rsidRPr="00D23E90">
        <w:t>Questions diverses (point 11 de l</w:t>
      </w:r>
      <w:r w:rsidR="00333FCB">
        <w:t>’</w:t>
      </w:r>
      <w:r w:rsidR="00046EEC" w:rsidRPr="00D23E90">
        <w:t>ordre du jour)</w:t>
      </w:r>
      <w:r>
        <w:tab/>
      </w:r>
      <w:r>
        <w:tab/>
      </w:r>
      <w:r w:rsidR="00B21BC8">
        <w:t>59</w:t>
      </w:r>
      <w:r>
        <w:tab/>
      </w:r>
      <w:r w:rsidR="005F7362">
        <w:t>16</w:t>
      </w:r>
    </w:p>
    <w:p w14:paraId="46195B05" w14:textId="6423BF68" w:rsidR="00D65B26" w:rsidRDefault="00D65B26" w:rsidP="00D65B26">
      <w:pPr>
        <w:tabs>
          <w:tab w:val="right" w:pos="850"/>
          <w:tab w:val="right" w:leader="dot" w:pos="7654"/>
          <w:tab w:val="right" w:pos="8929"/>
          <w:tab w:val="right" w:pos="9638"/>
        </w:tabs>
        <w:spacing w:after="120"/>
        <w:ind w:left="1134" w:hanging="1134"/>
      </w:pPr>
      <w:r>
        <w:tab/>
        <w:t>XIV.</w:t>
      </w:r>
      <w:r>
        <w:tab/>
      </w:r>
      <w:r w:rsidR="00046EEC" w:rsidRPr="00D23E90">
        <w:t>Adoption du rapport (point 12 de l</w:t>
      </w:r>
      <w:r w:rsidR="00333FCB">
        <w:t>’</w:t>
      </w:r>
      <w:r w:rsidR="00046EEC" w:rsidRPr="00D23E90">
        <w:t>ordre du jour)</w:t>
      </w:r>
      <w:r>
        <w:tab/>
      </w:r>
      <w:r>
        <w:tab/>
      </w:r>
      <w:r w:rsidR="00B21BC8">
        <w:t>60</w:t>
      </w:r>
      <w:r>
        <w:tab/>
      </w:r>
      <w:r w:rsidR="005F7362">
        <w:t>16</w:t>
      </w:r>
    </w:p>
    <w:p w14:paraId="55C5ACDA" w14:textId="77777777" w:rsidR="005B12F8" w:rsidRPr="005B12F8" w:rsidRDefault="005B12F8" w:rsidP="005B12F8">
      <w:pPr>
        <w:tabs>
          <w:tab w:val="right" w:pos="850"/>
        </w:tabs>
        <w:spacing w:after="120"/>
      </w:pPr>
      <w:r>
        <w:tab/>
        <w:t>Annexes</w:t>
      </w:r>
    </w:p>
    <w:p w14:paraId="1B84FF77" w14:textId="3D3FA852" w:rsidR="005B12F8" w:rsidRDefault="005B12F8" w:rsidP="005B12F8">
      <w:pPr>
        <w:tabs>
          <w:tab w:val="right" w:pos="850"/>
          <w:tab w:val="right" w:leader="dot" w:pos="8929"/>
          <w:tab w:val="right" w:pos="9638"/>
        </w:tabs>
        <w:spacing w:after="120"/>
        <w:ind w:left="1134" w:hanging="1134"/>
      </w:pPr>
      <w:r>
        <w:tab/>
        <w:t>I.</w:t>
      </w:r>
      <w:r>
        <w:tab/>
      </w:r>
      <w:r w:rsidR="00046EEC" w:rsidRPr="00D23E90">
        <w:t>Rapport du Groupe de travail des citernes</w:t>
      </w:r>
      <w:r w:rsidR="002D6D59" w:rsidRPr="002D6D59">
        <w:rPr>
          <w:rStyle w:val="FootnoteReference"/>
          <w:sz w:val="20"/>
          <w:vertAlign w:val="baseline"/>
        </w:rPr>
        <w:footnoteReference w:customMarkFollows="1" w:id="4"/>
        <w:t>***</w:t>
      </w:r>
      <w:r>
        <w:tab/>
      </w:r>
      <w:r>
        <w:tab/>
      </w:r>
      <w:r w:rsidR="005F7362">
        <w:t>17</w:t>
      </w:r>
    </w:p>
    <w:p w14:paraId="58492AA8" w14:textId="4A34ED7D" w:rsidR="005F7362" w:rsidRDefault="005F7362" w:rsidP="005B12F8">
      <w:pPr>
        <w:tabs>
          <w:tab w:val="right" w:pos="850"/>
          <w:tab w:val="right" w:leader="dot" w:pos="8929"/>
          <w:tab w:val="right" w:pos="9638"/>
        </w:tabs>
        <w:spacing w:after="120"/>
        <w:ind w:left="1134" w:hanging="1134"/>
      </w:pPr>
      <w:r>
        <w:tab/>
        <w:t>II.</w:t>
      </w:r>
      <w:r>
        <w:tab/>
      </w:r>
      <w:r w:rsidRPr="00D23E90">
        <w:t>Projets d</w:t>
      </w:r>
      <w:r w:rsidR="00333FCB">
        <w:t>’</w:t>
      </w:r>
      <w:r w:rsidRPr="00D23E90">
        <w:t>amendements au RID, à l</w:t>
      </w:r>
      <w:r w:rsidR="00333FCB">
        <w:t>’</w:t>
      </w:r>
      <w:r w:rsidRPr="00D23E90">
        <w:t>ADR et à l</w:t>
      </w:r>
      <w:r w:rsidR="00333FCB">
        <w:t>’</w:t>
      </w:r>
      <w:r w:rsidRPr="00D23E90">
        <w:t>ADN pour</w:t>
      </w:r>
      <w:r>
        <w:t xml:space="preserve"> </w:t>
      </w:r>
      <w:proofErr w:type="spellStart"/>
      <w:r w:rsidRPr="00D23E90">
        <w:t>entrée</w:t>
      </w:r>
      <w:proofErr w:type="spellEnd"/>
      <w:r w:rsidRPr="00D23E90">
        <w:t xml:space="preserve"> en vigueur le 1</w:t>
      </w:r>
      <w:r w:rsidRPr="00D23E90">
        <w:rPr>
          <w:vertAlign w:val="superscript"/>
        </w:rPr>
        <w:t>er</w:t>
      </w:r>
      <w:r w:rsidRPr="00D23E90">
        <w:t> janvier 2021</w:t>
      </w:r>
      <w:r>
        <w:tab/>
      </w:r>
      <w:r>
        <w:tab/>
        <w:t>18</w:t>
      </w:r>
    </w:p>
    <w:p w14:paraId="09F6523D" w14:textId="4D1DF6FA" w:rsidR="00D65B26" w:rsidRDefault="00D65B26" w:rsidP="005B12F8">
      <w:pPr>
        <w:tabs>
          <w:tab w:val="right" w:pos="850"/>
          <w:tab w:val="right" w:leader="dot" w:pos="8929"/>
          <w:tab w:val="right" w:pos="9638"/>
        </w:tabs>
        <w:spacing w:after="120"/>
        <w:ind w:left="1134" w:hanging="1134"/>
      </w:pPr>
      <w:r>
        <w:tab/>
        <w:t>III.</w:t>
      </w:r>
      <w:r>
        <w:tab/>
      </w:r>
      <w:r w:rsidR="00046EEC" w:rsidRPr="00D23E90">
        <w:t>Directives pour l</w:t>
      </w:r>
      <w:r w:rsidR="00333FCB">
        <w:t>’</w:t>
      </w:r>
      <w:r w:rsidR="00046EEC" w:rsidRPr="00D23E90">
        <w:t>utilisation du 5.4.0.2 dans le RID/ADR/ADN</w:t>
      </w:r>
      <w:r>
        <w:tab/>
      </w:r>
      <w:r>
        <w:tab/>
      </w:r>
      <w:r w:rsidR="005F7362">
        <w:t>27</w:t>
      </w:r>
    </w:p>
    <w:p w14:paraId="49BDB484" w14:textId="77777777" w:rsidR="007B7BE0" w:rsidRPr="00F12E1F" w:rsidRDefault="005B12F8" w:rsidP="00A70778">
      <w:pPr>
        <w:pStyle w:val="HChG"/>
        <w:spacing w:before="0"/>
      </w:pPr>
      <w:r>
        <w:br w:type="page"/>
      </w:r>
      <w:r w:rsidR="007B7BE0" w:rsidRPr="00944671">
        <w:lastRenderedPageBreak/>
        <w:tab/>
      </w:r>
      <w:r w:rsidR="007B7BE0" w:rsidRPr="00F12E1F">
        <w:t>I.</w:t>
      </w:r>
      <w:r w:rsidR="007B7BE0" w:rsidRPr="00F12E1F">
        <w:tab/>
        <w:t>Participation</w:t>
      </w:r>
    </w:p>
    <w:p w14:paraId="0DC31B4D" w14:textId="617394F5" w:rsidR="007B7BE0" w:rsidRPr="00535410" w:rsidRDefault="007B7BE0" w:rsidP="00D65B26">
      <w:pPr>
        <w:pStyle w:val="SingleTxtG"/>
      </w:pPr>
      <w:r w:rsidRPr="00535410">
        <w:t>1.</w:t>
      </w:r>
      <w:r w:rsidRPr="00535410">
        <w:tab/>
        <w:t>La Réunion commune de la Commission d</w:t>
      </w:r>
      <w:r w:rsidR="00333FCB">
        <w:t>’</w:t>
      </w:r>
      <w:r w:rsidRPr="00535410">
        <w:t>experts du RID et du Groupe de travail des transports de marchandises dangereuses de la Commission économique pour l</w:t>
      </w:r>
      <w:r w:rsidR="00333FCB">
        <w:t>’</w:t>
      </w:r>
      <w:r w:rsidRPr="00535410">
        <w:t>Europe s</w:t>
      </w:r>
      <w:r w:rsidR="00333FCB">
        <w:t>’</w:t>
      </w:r>
      <w:r w:rsidRPr="00535410">
        <w:t xml:space="preserve">est tenue à </w:t>
      </w:r>
      <w:r>
        <w:t>Genève, du 17 au 26</w:t>
      </w:r>
      <w:r w:rsidR="00D65B26">
        <w:t> </w:t>
      </w:r>
      <w:r>
        <w:t>septembre</w:t>
      </w:r>
      <w:r w:rsidRPr="00535410">
        <w:t xml:space="preserve"> 2019</w:t>
      </w:r>
      <w:r>
        <w:t>,</w:t>
      </w:r>
      <w:r w:rsidRPr="00535410">
        <w:t xml:space="preserve"> sous la présidence de M.</w:t>
      </w:r>
      <w:r w:rsidR="00D65B26">
        <w:t> </w:t>
      </w:r>
      <w:r w:rsidRPr="00535410">
        <w:t>C.</w:t>
      </w:r>
      <w:r w:rsidR="00D65B26">
        <w:t> </w:t>
      </w:r>
      <w:proofErr w:type="spellStart"/>
      <w:r w:rsidRPr="00535410">
        <w:t>Pfauvadel</w:t>
      </w:r>
      <w:proofErr w:type="spellEnd"/>
      <w:r w:rsidRPr="00535410">
        <w:t xml:space="preserve"> (France) et la vice-présidence de M</w:t>
      </w:r>
      <w:r w:rsidRPr="00535410">
        <w:rPr>
          <w:vertAlign w:val="superscript"/>
        </w:rPr>
        <w:t>me</w:t>
      </w:r>
      <w:r w:rsidRPr="00535410">
        <w:t> S.</w:t>
      </w:r>
      <w:r w:rsidR="00D65B26">
        <w:t> </w:t>
      </w:r>
      <w:r w:rsidRPr="00535410">
        <w:t>Garcia Wolfrum (Espagne).</w:t>
      </w:r>
    </w:p>
    <w:p w14:paraId="10FB094E" w14:textId="4E46B771" w:rsidR="007B7BE0" w:rsidRDefault="007B7BE0" w:rsidP="007B7BE0">
      <w:pPr>
        <w:pStyle w:val="SingleTxtG"/>
      </w:pPr>
      <w:r w:rsidRPr="00535410">
        <w:t>2.</w:t>
      </w:r>
      <w:r w:rsidRPr="00535410">
        <w:tab/>
        <w:t xml:space="preserve">Conformément </w:t>
      </w:r>
      <w:r>
        <w:t>à l</w:t>
      </w:r>
      <w:r w:rsidR="00333FCB">
        <w:t>’</w:t>
      </w:r>
      <w:r>
        <w:t>alinéa</w:t>
      </w:r>
      <w:r w:rsidRPr="00535410">
        <w:t> a) de l</w:t>
      </w:r>
      <w:r w:rsidR="00333FCB">
        <w:t>’</w:t>
      </w:r>
      <w:r w:rsidRPr="00535410">
        <w:t xml:space="preserve">article 1 du règlement intérieur de la Réunion commune (ECE/TRANS/WP.15/AC.1/112/Add.2), les représentants des pays suivants ont participé de plein droit à la session : Allemagne, Autriche, Belgique, Croatie, Danemark, Espagne, </w:t>
      </w:r>
      <w:r>
        <w:t>États-Unis d</w:t>
      </w:r>
      <w:r w:rsidR="00333FCB">
        <w:t>’</w:t>
      </w:r>
      <w:r>
        <w:t xml:space="preserve">Amérique, Fédération de Russie, </w:t>
      </w:r>
      <w:r w:rsidRPr="00535410">
        <w:t xml:space="preserve">Finlande, France, Italie, Lettonie, Luxembourg, Pays-Bas, Pologne, Roumanie, Royaume-Uni, Slovaquie, Suède, Suisse, Tchéquie et Turquie. </w:t>
      </w:r>
    </w:p>
    <w:p w14:paraId="09A0AEE2" w14:textId="502911E4" w:rsidR="007B7BE0" w:rsidRPr="00535410" w:rsidRDefault="007B7BE0" w:rsidP="007B7BE0">
      <w:pPr>
        <w:pStyle w:val="SingleTxtG"/>
      </w:pPr>
      <w:r>
        <w:t xml:space="preserve">3. </w:t>
      </w:r>
      <w:r>
        <w:tab/>
        <w:t>Conformément à l</w:t>
      </w:r>
      <w:r w:rsidR="00333FCB">
        <w:t>’</w:t>
      </w:r>
      <w:r>
        <w:t>alinéa b) de l</w:t>
      </w:r>
      <w:r w:rsidR="00333FCB">
        <w:t>’</w:t>
      </w:r>
      <w:r>
        <w:t>article 1 du règlement intérieur, la République démocratique du Congo était représentée à titre consultatif.</w:t>
      </w:r>
    </w:p>
    <w:p w14:paraId="7461DAC2" w14:textId="689DE7C5" w:rsidR="007B7BE0" w:rsidRPr="00535410" w:rsidRDefault="007B7BE0" w:rsidP="007B7BE0">
      <w:pPr>
        <w:pStyle w:val="SingleTxtG"/>
      </w:pPr>
      <w:r>
        <w:t>4</w:t>
      </w:r>
      <w:r w:rsidRPr="00535410">
        <w:t>.</w:t>
      </w:r>
      <w:r w:rsidRPr="00535410">
        <w:tab/>
        <w:t>Conformément au</w:t>
      </w:r>
      <w:r>
        <w:t>x</w:t>
      </w:r>
      <w:r w:rsidRPr="00535410">
        <w:t xml:space="preserve"> </w:t>
      </w:r>
      <w:r>
        <w:t>alinéas</w:t>
      </w:r>
      <w:r w:rsidRPr="00535410">
        <w:t xml:space="preserve"> c) </w:t>
      </w:r>
      <w:r>
        <w:t xml:space="preserve">et d) </w:t>
      </w:r>
      <w:r w:rsidRPr="00535410">
        <w:t>de l</w:t>
      </w:r>
      <w:r w:rsidR="00333FCB">
        <w:t>’</w:t>
      </w:r>
      <w:r w:rsidRPr="00535410">
        <w:t>article 1 du règlement intérieur, étaient représentées à titre consultatif :</w:t>
      </w:r>
    </w:p>
    <w:p w14:paraId="69122954" w14:textId="79CE41BE" w:rsidR="007B7BE0" w:rsidRPr="00535410" w:rsidRDefault="007B7BE0" w:rsidP="00D65B26">
      <w:pPr>
        <w:pStyle w:val="SingleTxtG"/>
        <w:ind w:firstLine="567"/>
      </w:pPr>
      <w:r w:rsidRPr="00535410">
        <w:t>a)</w:t>
      </w:r>
      <w:r w:rsidRPr="00535410">
        <w:tab/>
        <w:t>L</w:t>
      </w:r>
      <w:r w:rsidR="00333FCB">
        <w:t>’</w:t>
      </w:r>
      <w:r w:rsidRPr="00535410">
        <w:t>Union européenne (Commission européenne, Agence de l</w:t>
      </w:r>
      <w:r w:rsidR="00333FCB">
        <w:t>’</w:t>
      </w:r>
      <w:r w:rsidRPr="00535410">
        <w:t>Union européenne pour les chemins de fer (ERA)) et l</w:t>
      </w:r>
      <w:r w:rsidR="00333FCB">
        <w:t>’</w:t>
      </w:r>
      <w:r w:rsidRPr="00535410">
        <w:t>Organisation pour la coopération des chemins de fer (OSJD) ;</w:t>
      </w:r>
    </w:p>
    <w:p w14:paraId="78C8683C" w14:textId="141EFCE6" w:rsidR="007B7BE0" w:rsidRPr="00535410" w:rsidRDefault="007B7BE0" w:rsidP="00D65B26">
      <w:pPr>
        <w:pStyle w:val="SingleTxtG"/>
        <w:ind w:firstLine="567"/>
      </w:pPr>
      <w:r w:rsidRPr="00535410">
        <w:t>b)</w:t>
      </w:r>
      <w:r w:rsidRPr="00535410">
        <w:tab/>
        <w:t xml:space="preserve">Les organisations non gouvernementales internationales suivantes : Association européenne des conseillers à la sécurité (EASA), Association européenne des gaz industriels (EIGA), </w:t>
      </w:r>
      <w:r>
        <w:t>Association internationale de la savonnerie, de la détergence et des produits d</w:t>
      </w:r>
      <w:r w:rsidR="00333FCB">
        <w:t>’</w:t>
      </w:r>
      <w:r>
        <w:t xml:space="preserve">entretien (AISE), </w:t>
      </w:r>
      <w:r w:rsidRPr="00535410">
        <w:t>Comité de liaison de la construction de carrosseries et de remorques (CLCCR), Comité européen de normalisation (CEN), Conseil européen de l</w:t>
      </w:r>
      <w:r w:rsidR="00333FCB">
        <w:t>’</w:t>
      </w:r>
      <w:r w:rsidRPr="00535410">
        <w:t xml:space="preserve">industrie chimique (CEFIC), Conférence européenne des négociants en combustibles et carburants (CENCC), </w:t>
      </w:r>
      <w:r>
        <w:t xml:space="preserve">Cosmetics Europe, </w:t>
      </w:r>
      <w:r w:rsidRPr="00535410">
        <w:t xml:space="preserve">Council on Safe Transportation of </w:t>
      </w:r>
      <w:proofErr w:type="spellStart"/>
      <w:r w:rsidRPr="00535410">
        <w:t>Hazardous</w:t>
      </w:r>
      <w:proofErr w:type="spellEnd"/>
      <w:r w:rsidRPr="00535410">
        <w:t xml:space="preserve"> Articles (COSTHA), </w:t>
      </w:r>
      <w:proofErr w:type="spellStart"/>
      <w:r>
        <w:t>European</w:t>
      </w:r>
      <w:proofErr w:type="spellEnd"/>
      <w:r>
        <w:t xml:space="preserve"> </w:t>
      </w:r>
      <w:proofErr w:type="spellStart"/>
      <w:r>
        <w:t>Cylinder</w:t>
      </w:r>
      <w:proofErr w:type="spellEnd"/>
      <w:r>
        <w:t xml:space="preserve"> </w:t>
      </w:r>
      <w:proofErr w:type="spellStart"/>
      <w:r>
        <w:t>Makers</w:t>
      </w:r>
      <w:proofErr w:type="spellEnd"/>
      <w:r>
        <w:t xml:space="preserve"> Association (ECMA), Fédération européenne des activités de la dépollution et de l</w:t>
      </w:r>
      <w:r w:rsidR="00333FCB">
        <w:t>’</w:t>
      </w:r>
      <w:r>
        <w:t xml:space="preserve">environnement (FEAD), Fédération européenne des aérosols (FEA), </w:t>
      </w:r>
      <w:proofErr w:type="spellStart"/>
      <w:r>
        <w:t>Fertilizers</w:t>
      </w:r>
      <w:proofErr w:type="spellEnd"/>
      <w:r>
        <w:t xml:space="preserve"> Europe (FE), Fuels Europe, International </w:t>
      </w:r>
      <w:proofErr w:type="spellStart"/>
      <w:r>
        <w:t>Confederation</w:t>
      </w:r>
      <w:proofErr w:type="spellEnd"/>
      <w:r>
        <w:t xml:space="preserve"> of Containers </w:t>
      </w:r>
      <w:proofErr w:type="spellStart"/>
      <w:r>
        <w:t>Reconditioners</w:t>
      </w:r>
      <w:proofErr w:type="spellEnd"/>
      <w:r>
        <w:t xml:space="preserve"> (ICCR), </w:t>
      </w:r>
      <w:proofErr w:type="spellStart"/>
      <w:r w:rsidRPr="00535410">
        <w:t>Liquid</w:t>
      </w:r>
      <w:proofErr w:type="spellEnd"/>
      <w:r w:rsidRPr="00535410">
        <w:t xml:space="preserve"> Gas Europe, </w:t>
      </w:r>
      <w:r>
        <w:t xml:space="preserve">Organisation internationale des conteneurs-citernes (ITCO), </w:t>
      </w:r>
      <w:r w:rsidRPr="00535410">
        <w:t>Union internationale des chemins de fer (UIC), Union internationale des propriétaires de wagons particuliers (UIP) et Union internationale des transports routiers (IRU).</w:t>
      </w:r>
    </w:p>
    <w:p w14:paraId="3B53B524" w14:textId="77777777" w:rsidR="007B7BE0" w:rsidRPr="00944671" w:rsidRDefault="007B7BE0" w:rsidP="00D65B26">
      <w:pPr>
        <w:pStyle w:val="HChG"/>
      </w:pPr>
      <w:r w:rsidRPr="00944671">
        <w:tab/>
        <w:t>I</w:t>
      </w:r>
      <w:r w:rsidRPr="00FD63D0">
        <w:t>I</w:t>
      </w:r>
      <w:r w:rsidRPr="00944671">
        <w:t>.</w:t>
      </w:r>
      <w:r w:rsidRPr="00944671">
        <w:tab/>
      </w:r>
      <w:r w:rsidRPr="00FD63D0">
        <w:t>Ouverture de la</w:t>
      </w:r>
      <w:r w:rsidRPr="00944671">
        <w:t xml:space="preserve"> session</w:t>
      </w:r>
    </w:p>
    <w:p w14:paraId="1558FCEC" w14:textId="1A7B73E2" w:rsidR="007B7BE0" w:rsidRPr="006F5417" w:rsidRDefault="007B7BE0" w:rsidP="007B7BE0">
      <w:pPr>
        <w:pStyle w:val="SingleTxtG"/>
      </w:pPr>
      <w:r w:rsidRPr="006F5417">
        <w:t>5.</w:t>
      </w:r>
      <w:r w:rsidRPr="006F5417">
        <w:tab/>
        <w:t>M.</w:t>
      </w:r>
      <w:r w:rsidR="00D65B26">
        <w:t> </w:t>
      </w:r>
      <w:r w:rsidRPr="006F5417">
        <w:t xml:space="preserve">Yuwei Li, </w:t>
      </w:r>
      <w:r>
        <w:t>D</w:t>
      </w:r>
      <w:r w:rsidRPr="006F5417">
        <w:t>irecteur de la Division des transports durables, a informé la Réunion commune des</w:t>
      </w:r>
      <w:r w:rsidR="0057350D">
        <w:t xml:space="preserve"> </w:t>
      </w:r>
      <w:r w:rsidRPr="006F5417">
        <w:t>récents changements qu</w:t>
      </w:r>
      <w:r w:rsidR="00333FCB">
        <w:t>’</w:t>
      </w:r>
      <w:r w:rsidRPr="006F5417">
        <w:t>elle a</w:t>
      </w:r>
      <w:r>
        <w:t xml:space="preserve"> </w:t>
      </w:r>
      <w:r w:rsidRPr="006F5417">
        <w:t>subis, notamment la création d</w:t>
      </w:r>
      <w:r w:rsidR="00333FCB">
        <w:t>’</w:t>
      </w:r>
      <w:r w:rsidRPr="006F5417">
        <w:t xml:space="preserve">une nouvelle section </w:t>
      </w:r>
      <w:r>
        <w:t xml:space="preserve">chargée de la </w:t>
      </w:r>
      <w:r w:rsidRPr="006F5417">
        <w:t>gestion de la sécurité routi</w:t>
      </w:r>
      <w:r>
        <w:t>ère</w:t>
      </w:r>
      <w:r w:rsidRPr="006F5417">
        <w:t xml:space="preserve"> </w:t>
      </w:r>
      <w:r>
        <w:t>et des marchandises dangereuses</w:t>
      </w:r>
      <w:r w:rsidRPr="006F5417">
        <w:t xml:space="preserve"> </w:t>
      </w:r>
      <w:r>
        <w:t>et la</w:t>
      </w:r>
      <w:r w:rsidRPr="006F5417">
        <w:t xml:space="preserve"> </w:t>
      </w:r>
      <w:r>
        <w:t>nomination à sa tête de M</w:t>
      </w:r>
      <w:r w:rsidRPr="006F5417">
        <w:t>.</w:t>
      </w:r>
      <w:r w:rsidR="00D65B26">
        <w:t> </w:t>
      </w:r>
      <w:r w:rsidRPr="006F5417">
        <w:t xml:space="preserve">Romain Hubert </w:t>
      </w:r>
      <w:r>
        <w:t>à compter du</w:t>
      </w:r>
      <w:r w:rsidRPr="006F5417">
        <w:t xml:space="preserve"> 1</w:t>
      </w:r>
      <w:r w:rsidR="00D65B26" w:rsidRPr="00D65B26">
        <w:rPr>
          <w:vertAlign w:val="superscript"/>
        </w:rPr>
        <w:t>er</w:t>
      </w:r>
      <w:r w:rsidR="00D65B26">
        <w:t> </w:t>
      </w:r>
      <w:r>
        <w:t>j</w:t>
      </w:r>
      <w:r w:rsidRPr="006F5417">
        <w:t>u</w:t>
      </w:r>
      <w:r>
        <w:t>i</w:t>
      </w:r>
      <w:r w:rsidRPr="006F5417">
        <w:t>n 2019. M.</w:t>
      </w:r>
      <w:r w:rsidR="00D65B26">
        <w:t> </w:t>
      </w:r>
      <w:r w:rsidRPr="006F5417">
        <w:t xml:space="preserve">Li a expliqué que cette nouvelle section était destinée à contribuer à la mise en œuvre de la stratégie du Comité des transports intérieurs </w:t>
      </w:r>
      <w:r>
        <w:t>pour</w:t>
      </w:r>
      <w:r w:rsidRPr="006F5417">
        <w:t xml:space="preserve"> l</w:t>
      </w:r>
      <w:r w:rsidR="00333FCB">
        <w:t>’</w:t>
      </w:r>
      <w:r w:rsidRPr="006F5417">
        <w:t>amé</w:t>
      </w:r>
      <w:r>
        <w:t>lioration de la sécurité routière.</w:t>
      </w:r>
      <w:r w:rsidRPr="006F5417">
        <w:t xml:space="preserve"> Les activités de la nouvelle section comprennent désormais, outre le transport des marchandises dangereuses, les services de s</w:t>
      </w:r>
      <w:r>
        <w:t>ecrétariat du Fonds d</w:t>
      </w:r>
      <w:r w:rsidR="00333FCB">
        <w:t>’</w:t>
      </w:r>
      <w:r>
        <w:t xml:space="preserve">affectation spéciale des </w:t>
      </w:r>
      <w:r w:rsidRPr="006F5417">
        <w:t xml:space="preserve">Nations </w:t>
      </w:r>
      <w:r>
        <w:t>Unies pour la sécurité routière et de l</w:t>
      </w:r>
      <w:r w:rsidR="00333FCB">
        <w:t>’</w:t>
      </w:r>
      <w:r>
        <w:t xml:space="preserve">envoyé spécial des </w:t>
      </w:r>
      <w:r w:rsidRPr="006F5417">
        <w:t xml:space="preserve">Nations </w:t>
      </w:r>
      <w:r>
        <w:t xml:space="preserve">Unies pour la sécurité routière. </w:t>
      </w:r>
      <w:r w:rsidRPr="006F5417">
        <w:t>M.</w:t>
      </w:r>
      <w:r w:rsidR="00D65B26">
        <w:t> </w:t>
      </w:r>
      <w:r w:rsidRPr="006F5417">
        <w:t xml:space="preserve">Li a annoncé que le Fonds </w:t>
      </w:r>
      <w:r>
        <w:t>d</w:t>
      </w:r>
      <w:r w:rsidR="00333FCB">
        <w:t>’</w:t>
      </w:r>
      <w:r>
        <w:t xml:space="preserve">affectation </w:t>
      </w:r>
      <w:r w:rsidRPr="006F5417">
        <w:t>spécial</w:t>
      </w:r>
      <w:r>
        <w:t>e</w:t>
      </w:r>
      <w:r w:rsidRPr="006F5417">
        <w:t xml:space="preserve"> était déjà parfaitement opérationnel et qu</w:t>
      </w:r>
      <w:r w:rsidR="00333FCB">
        <w:t>’</w:t>
      </w:r>
      <w:r w:rsidRPr="006F5417">
        <w:t>un premi</w:t>
      </w:r>
      <w:r>
        <w:t xml:space="preserve">er appel à </w:t>
      </w:r>
      <w:r w:rsidRPr="006F5417">
        <w:t>propositions de projets serait lancé en octobre 2019.</w:t>
      </w:r>
    </w:p>
    <w:p w14:paraId="11EBB138" w14:textId="467247D9" w:rsidR="007B7BE0" w:rsidRPr="006F5417" w:rsidRDefault="007B7BE0" w:rsidP="007B7BE0">
      <w:pPr>
        <w:pStyle w:val="SingleTxtG"/>
      </w:pPr>
      <w:r w:rsidRPr="006F5417">
        <w:t>6.</w:t>
      </w:r>
      <w:r w:rsidRPr="006F5417">
        <w:tab/>
        <w:t>Pour finir, M.</w:t>
      </w:r>
      <w:r w:rsidR="00D65B26">
        <w:t> </w:t>
      </w:r>
      <w:r w:rsidRPr="006F5417">
        <w:t>Li a invité la Réunion commune à se joindre à lui pour souhaiter la bienvenue à M.</w:t>
      </w:r>
      <w:r w:rsidR="00D65B26">
        <w:t> </w:t>
      </w:r>
      <w:r w:rsidRPr="006F5417">
        <w:t xml:space="preserve">Hubert et </w:t>
      </w:r>
      <w:r>
        <w:t>pour</w:t>
      </w:r>
      <w:r w:rsidRPr="006F5417">
        <w:t xml:space="preserve"> féliciter </w:t>
      </w:r>
      <w:r>
        <w:t>de</w:t>
      </w:r>
      <w:r w:rsidRPr="006F5417">
        <w:t xml:space="preserve"> son professionnalisme, </w:t>
      </w:r>
      <w:r>
        <w:t>d</w:t>
      </w:r>
      <w:r w:rsidRPr="006F5417">
        <w:t>es</w:t>
      </w:r>
      <w:r>
        <w:t xml:space="preserve"> bons</w:t>
      </w:r>
      <w:r w:rsidRPr="006F5417">
        <w:t xml:space="preserve"> résultats qu</w:t>
      </w:r>
      <w:r w:rsidR="00333FCB">
        <w:t>’</w:t>
      </w:r>
      <w:r>
        <w:t>elle</w:t>
      </w:r>
      <w:r w:rsidRPr="006F5417">
        <w:t xml:space="preserve"> a obtenus et </w:t>
      </w:r>
      <w:r>
        <w:t>de son travail</w:t>
      </w:r>
      <w:r w:rsidRPr="006F5417">
        <w:t xml:space="preserve"> l</w:t>
      </w:r>
      <w:r w:rsidR="00333FCB">
        <w:t>’</w:t>
      </w:r>
      <w:r>
        <w:t xml:space="preserve">équipe des marchandises dangereuses dirigée par </w:t>
      </w:r>
      <w:r w:rsidR="00D65B26">
        <w:t>M</w:t>
      </w:r>
      <w:r w:rsidR="00D65B26">
        <w:rPr>
          <w:vertAlign w:val="superscript"/>
        </w:rPr>
        <w:t>me</w:t>
      </w:r>
      <w:r w:rsidR="00D65B26">
        <w:t> </w:t>
      </w:r>
      <w:r w:rsidRPr="006F5417">
        <w:t xml:space="preserve">Garcia Couto, </w:t>
      </w:r>
      <w:r>
        <w:t>qui a assuré l</w:t>
      </w:r>
      <w:r w:rsidR="00333FCB">
        <w:t>’</w:t>
      </w:r>
      <w:r>
        <w:t>intérim entre le départ à la retraite de</w:t>
      </w:r>
      <w:r w:rsidR="0057350D">
        <w:t xml:space="preserve"> </w:t>
      </w:r>
      <w:r w:rsidRPr="006F5417">
        <w:t>M.</w:t>
      </w:r>
      <w:r w:rsidR="00D65B26">
        <w:t> </w:t>
      </w:r>
      <w:r w:rsidRPr="006F5417">
        <w:t>Kervella (</w:t>
      </w:r>
      <w:r>
        <w:t>ancien chef de section</w:t>
      </w:r>
      <w:r w:rsidRPr="006F5417">
        <w:t xml:space="preserve">) </w:t>
      </w:r>
      <w:r>
        <w:t>et le recrutement de</w:t>
      </w:r>
      <w:r w:rsidRPr="006F5417">
        <w:t xml:space="preserve"> M.</w:t>
      </w:r>
      <w:r w:rsidR="0057350D">
        <w:t> </w:t>
      </w:r>
      <w:r w:rsidRPr="006F5417">
        <w:t>Hubert.</w:t>
      </w:r>
    </w:p>
    <w:p w14:paraId="19FA6FC3" w14:textId="77C056E8" w:rsidR="007B7BE0" w:rsidRPr="00944671" w:rsidRDefault="007B7BE0" w:rsidP="0057350D">
      <w:pPr>
        <w:pStyle w:val="HChG"/>
      </w:pPr>
      <w:r w:rsidRPr="00944671">
        <w:lastRenderedPageBreak/>
        <w:tab/>
        <w:t>I</w:t>
      </w:r>
      <w:r w:rsidRPr="007D231E">
        <w:t>I</w:t>
      </w:r>
      <w:r w:rsidRPr="00944671">
        <w:t>I</w:t>
      </w:r>
      <w:r w:rsidRPr="007D231E">
        <w:t>.</w:t>
      </w:r>
      <w:r w:rsidRPr="00944671">
        <w:tab/>
        <w:t xml:space="preserve">Adoption </w:t>
      </w:r>
      <w:r>
        <w:t>de l</w:t>
      </w:r>
      <w:r w:rsidR="00333FCB">
        <w:t>’</w:t>
      </w:r>
      <w:r>
        <w:t>ordre du jour</w:t>
      </w:r>
      <w:r w:rsidRPr="00944671">
        <w:t xml:space="preserve"> (</w:t>
      </w:r>
      <w:r>
        <w:t>point</w:t>
      </w:r>
      <w:r w:rsidRPr="00944671">
        <w:t xml:space="preserve"> 1</w:t>
      </w:r>
      <w:r>
        <w:t xml:space="preserve"> de l</w:t>
      </w:r>
      <w:r w:rsidR="00333FCB">
        <w:t>’</w:t>
      </w:r>
      <w:r>
        <w:t>ordre du jour</w:t>
      </w:r>
      <w:r w:rsidRPr="00944671">
        <w:t>)</w:t>
      </w:r>
    </w:p>
    <w:p w14:paraId="379E4B15" w14:textId="77777777" w:rsidR="007B7BE0" w:rsidRPr="00D44BE6" w:rsidRDefault="007B7BE0" w:rsidP="0057350D">
      <w:pPr>
        <w:pStyle w:val="SingleTxtG"/>
        <w:ind w:left="3119" w:hanging="1985"/>
        <w:jc w:val="left"/>
      </w:pPr>
      <w:r w:rsidRPr="00B47A00">
        <w:rPr>
          <w:i/>
        </w:rPr>
        <w:t>Documents</w:t>
      </w:r>
      <w:r>
        <w:rPr>
          <w:i/>
        </w:rPr>
        <w:t xml:space="preserve"> officiels</w:t>
      </w:r>
      <w:r w:rsidR="0057350D">
        <w:rPr>
          <w:i/>
        </w:rPr>
        <w:t> </w:t>
      </w:r>
      <w:r w:rsidRPr="00B47A00">
        <w:t>:</w:t>
      </w:r>
      <w:r w:rsidRPr="00B47A00">
        <w:tab/>
        <w:t>ECE/TRANS/WP.15/AC.1/155</w:t>
      </w:r>
      <w:r w:rsidR="0057350D">
        <w:br/>
      </w:r>
      <w:r w:rsidRPr="00D44BE6">
        <w:t>ECE/TRANS/WP.15/AC.1/155/Add.1</w:t>
      </w:r>
    </w:p>
    <w:p w14:paraId="4EB323CB" w14:textId="77777777" w:rsidR="007B7BE0" w:rsidRPr="007D231E" w:rsidRDefault="007B7BE0" w:rsidP="00AA68E5">
      <w:pPr>
        <w:pStyle w:val="SingleTxtG"/>
        <w:ind w:left="3119" w:hanging="1985"/>
        <w:rPr>
          <w:iCs/>
        </w:rPr>
      </w:pPr>
      <w:r w:rsidRPr="00A8662B">
        <w:rPr>
          <w:i/>
        </w:rPr>
        <w:t>D</w:t>
      </w:r>
      <w:r>
        <w:rPr>
          <w:i/>
        </w:rPr>
        <w:t>ocuments informels</w:t>
      </w:r>
      <w:r w:rsidRPr="0057350D">
        <w:t> :</w:t>
      </w:r>
      <w:r w:rsidRPr="00A8662B">
        <w:tab/>
      </w:r>
      <w:r w:rsidRPr="007D231E">
        <w:rPr>
          <w:iCs/>
        </w:rPr>
        <w:t>INF.1, INF.2 et INF.26 (Secrétariat)</w:t>
      </w:r>
      <w:r w:rsidR="0057350D">
        <w:rPr>
          <w:iCs/>
        </w:rPr>
        <w:t>.</w:t>
      </w:r>
    </w:p>
    <w:p w14:paraId="4971014E" w14:textId="233B9041" w:rsidR="007B7BE0" w:rsidRPr="006F5417" w:rsidRDefault="007B7BE0" w:rsidP="0057350D">
      <w:pPr>
        <w:pStyle w:val="SingleTxtG"/>
      </w:pPr>
      <w:r w:rsidRPr="006F5417">
        <w:t>7.</w:t>
      </w:r>
      <w:r w:rsidRPr="006F5417">
        <w:tab/>
        <w:t>La Réunion commune a adopté l</w:t>
      </w:r>
      <w:r w:rsidR="00333FCB">
        <w:t>’</w:t>
      </w:r>
      <w:r w:rsidRPr="006F5417">
        <w:t>ordre du jour propos</w:t>
      </w:r>
      <w:r>
        <w:t>é</w:t>
      </w:r>
      <w:r w:rsidRPr="006F5417">
        <w:t xml:space="preserve"> par le secrétariat dans les documents ECE/TRANS/WP.15/AC.1/155 et Add.1 </w:t>
      </w:r>
      <w:r>
        <w:t>mis à jour par le</w:t>
      </w:r>
      <w:r w:rsidRPr="006F5417">
        <w:t xml:space="preserve"> document INF.2 </w:t>
      </w:r>
      <w:r>
        <w:t>après l</w:t>
      </w:r>
      <w:r w:rsidR="00333FCB">
        <w:t>’</w:t>
      </w:r>
      <w:r>
        <w:t>avoir modifié pour tenir compte des documents</w:t>
      </w:r>
      <w:r w:rsidRPr="006F5417">
        <w:t xml:space="preserve"> INF.1 </w:t>
      </w:r>
      <w:r>
        <w:t>à</w:t>
      </w:r>
      <w:r w:rsidRPr="006F5417">
        <w:t xml:space="preserve"> INF.50.</w:t>
      </w:r>
    </w:p>
    <w:p w14:paraId="0F4BF005" w14:textId="5F24A692" w:rsidR="007B7BE0" w:rsidRPr="00944671" w:rsidRDefault="007B7BE0" w:rsidP="0057350D">
      <w:pPr>
        <w:pStyle w:val="HChG"/>
      </w:pPr>
      <w:r w:rsidRPr="00944671">
        <w:tab/>
      </w:r>
      <w:r w:rsidRPr="006F5417">
        <w:t>IV</w:t>
      </w:r>
      <w:r w:rsidRPr="00944671">
        <w:t>.</w:t>
      </w:r>
      <w:r w:rsidRPr="00944671">
        <w:tab/>
      </w:r>
      <w:r>
        <w:t>Citernes</w:t>
      </w:r>
      <w:r w:rsidRPr="006F5417">
        <w:t xml:space="preserve"> </w:t>
      </w:r>
      <w:r w:rsidRPr="00944671">
        <w:t>(</w:t>
      </w:r>
      <w:r>
        <w:t>point</w:t>
      </w:r>
      <w:r w:rsidRPr="00944671">
        <w:t xml:space="preserve"> </w:t>
      </w:r>
      <w:r w:rsidRPr="006F5417">
        <w:t>2 de l</w:t>
      </w:r>
      <w:r w:rsidR="00333FCB">
        <w:t>’</w:t>
      </w:r>
      <w:r w:rsidRPr="006F5417">
        <w:t>ordre du jour</w:t>
      </w:r>
      <w:r w:rsidRPr="00944671">
        <w:t>)</w:t>
      </w:r>
    </w:p>
    <w:p w14:paraId="6F43ABC2" w14:textId="77777777" w:rsidR="007B7BE0" w:rsidRPr="006F5417" w:rsidRDefault="007B7BE0" w:rsidP="0057350D">
      <w:pPr>
        <w:pStyle w:val="SingleTxtG"/>
        <w:ind w:left="3119" w:hanging="1985"/>
        <w:jc w:val="left"/>
      </w:pPr>
      <w:r w:rsidRPr="0057350D">
        <w:t>Documents</w:t>
      </w:r>
      <w:r w:rsidRPr="006F5417">
        <w:rPr>
          <w:i/>
        </w:rPr>
        <w:t xml:space="preserve"> officiels</w:t>
      </w:r>
      <w:r w:rsidR="0057350D">
        <w:rPr>
          <w:i/>
        </w:rPr>
        <w:t> </w:t>
      </w:r>
      <w:r w:rsidRPr="006F5417">
        <w:t>:</w:t>
      </w:r>
      <w:r w:rsidRPr="006F5417">
        <w:tab/>
        <w:t>ECE/TRANS/WP.15/AC.1/2019/25 (Royaume-Uni)</w:t>
      </w:r>
      <w:r w:rsidR="0057350D">
        <w:br/>
      </w:r>
      <w:r w:rsidRPr="006F5417">
        <w:t>ECE/</w:t>
      </w:r>
      <w:r w:rsidRPr="0057350D">
        <w:t>TRANS</w:t>
      </w:r>
      <w:r w:rsidRPr="006F5417">
        <w:t>/WP.15/AC.1/2019/26 (Royaume-Uni)</w:t>
      </w:r>
      <w:r w:rsidR="0057350D">
        <w:br/>
      </w:r>
      <w:r w:rsidRPr="006F5417">
        <w:t xml:space="preserve">ECE/TRANS/WP.15/AC.1/2019/39 (Royaume-Uni) </w:t>
      </w:r>
      <w:r w:rsidR="0057350D">
        <w:br/>
      </w:r>
      <w:r w:rsidRPr="006F5417">
        <w:t>ECE/</w:t>
      </w:r>
      <w:r w:rsidRPr="0057350D">
        <w:t>TRANS</w:t>
      </w:r>
      <w:r w:rsidRPr="006F5417">
        <w:t>/WP.15/AC.1/2019/40 (Royaume-Uni)</w:t>
      </w:r>
      <w:r w:rsidR="0057350D">
        <w:br/>
      </w:r>
      <w:r w:rsidRPr="006F5417">
        <w:t>ECE/TRANS/WP.15/AC.1/2019/49 (Pays-Bas)</w:t>
      </w:r>
    </w:p>
    <w:p w14:paraId="1221174F" w14:textId="77777777" w:rsidR="007B7BE0" w:rsidRPr="00FD63D0" w:rsidRDefault="007B7BE0" w:rsidP="00AA68E5">
      <w:pPr>
        <w:pStyle w:val="SingleTxtG"/>
        <w:ind w:left="3119" w:hanging="1985"/>
        <w:jc w:val="left"/>
      </w:pPr>
      <w:r w:rsidRPr="00DF6409">
        <w:rPr>
          <w:i/>
        </w:rPr>
        <w:t>Document</w:t>
      </w:r>
      <w:r w:rsidRPr="0057350D">
        <w:rPr>
          <w:i/>
        </w:rPr>
        <w:t>s informels</w:t>
      </w:r>
      <w:r w:rsidR="0057350D">
        <w:t> </w:t>
      </w:r>
      <w:r w:rsidRPr="00DF6409">
        <w:t>:</w:t>
      </w:r>
      <w:r w:rsidRPr="00DF6409">
        <w:tab/>
        <w:t>INF.4 (OTIF)</w:t>
      </w:r>
      <w:r w:rsidR="0057350D">
        <w:br/>
      </w:r>
      <w:r w:rsidRPr="00DF6409">
        <w:t>INF.15 (Secrétariat)</w:t>
      </w:r>
      <w:r w:rsidR="0057350D">
        <w:br/>
      </w:r>
      <w:r w:rsidRPr="00FD63D0">
        <w:t>INF.16/Rev.1 (Allemagne)</w:t>
      </w:r>
      <w:r w:rsidR="0057350D">
        <w:br/>
      </w:r>
      <w:r w:rsidRPr="00DF6409">
        <w:t xml:space="preserve">INF.17 (Royaume-Uni) </w:t>
      </w:r>
      <w:r w:rsidR="0057350D">
        <w:br/>
      </w:r>
      <w:r w:rsidRPr="00DF6409">
        <w:t xml:space="preserve">INF.18 (Royaume-Uni) </w:t>
      </w:r>
      <w:r w:rsidR="0057350D">
        <w:br/>
      </w:r>
      <w:r w:rsidRPr="00DF6409">
        <w:t xml:space="preserve">INF.19 (Royaume-Uni) </w:t>
      </w:r>
      <w:r w:rsidR="0057350D">
        <w:br/>
      </w:r>
      <w:r w:rsidRPr="00DF6409">
        <w:t xml:space="preserve">INF.21 (Pologne) </w:t>
      </w:r>
      <w:r w:rsidR="0057350D">
        <w:br/>
      </w:r>
      <w:r w:rsidRPr="00FD63D0">
        <w:t>INF.24 (Allemagne)</w:t>
      </w:r>
      <w:r w:rsidR="0057350D">
        <w:br/>
      </w:r>
      <w:r w:rsidRPr="00FD63D0">
        <w:t xml:space="preserve">INF.27 (France) </w:t>
      </w:r>
      <w:r w:rsidR="0057350D">
        <w:br/>
      </w:r>
      <w:r w:rsidRPr="00FD63D0">
        <w:t>INF.29 (France)</w:t>
      </w:r>
      <w:r w:rsidR="0057350D">
        <w:br/>
      </w:r>
      <w:r w:rsidRPr="00DF6409">
        <w:t>INF.31 (Suisse)</w:t>
      </w:r>
      <w:r w:rsidR="0057350D">
        <w:br/>
        <w:t>I</w:t>
      </w:r>
      <w:r w:rsidRPr="00DF6409">
        <w:t>NF.33 (Suisse)</w:t>
      </w:r>
      <w:r w:rsidR="0057350D">
        <w:br/>
      </w:r>
      <w:r w:rsidRPr="00DF6409">
        <w:t>INF.37 (Pologne)</w:t>
      </w:r>
      <w:r w:rsidR="0057350D">
        <w:br/>
      </w:r>
      <w:r w:rsidRPr="00FD63D0">
        <w:t>INF.38 (France)</w:t>
      </w:r>
      <w:r w:rsidR="0057350D">
        <w:br/>
      </w:r>
      <w:r w:rsidRPr="00FD63D0">
        <w:t>INF.39 (France)</w:t>
      </w:r>
      <w:r w:rsidR="0057350D">
        <w:t>.</w:t>
      </w:r>
    </w:p>
    <w:p w14:paraId="1A87DF7C" w14:textId="3BD06E89" w:rsidR="007B7BE0" w:rsidRPr="00DF6409" w:rsidRDefault="007B7BE0" w:rsidP="0057350D">
      <w:pPr>
        <w:pStyle w:val="SingleTxtG"/>
      </w:pPr>
      <w:r w:rsidRPr="00DF6409">
        <w:t>8.</w:t>
      </w:r>
      <w:r w:rsidRPr="00DF6409">
        <w:tab/>
        <w:t>Après une brève introduction en séance plénière, l</w:t>
      </w:r>
      <w:r w:rsidR="00333FCB">
        <w:t>’</w:t>
      </w:r>
      <w:r w:rsidRPr="00DF6409">
        <w:t>examen des documents inscrits au point 2 de l</w:t>
      </w:r>
      <w:r w:rsidR="00333FCB">
        <w:t>’</w:t>
      </w:r>
      <w:r w:rsidRPr="00DF6409">
        <w:t>ordre du jour a été confié au Groupe de travail des citernes</w:t>
      </w:r>
      <w:r>
        <w:t>,</w:t>
      </w:r>
      <w:r w:rsidRPr="00DF6409">
        <w:t xml:space="preserve"> qui s</w:t>
      </w:r>
      <w:r w:rsidR="00333FCB">
        <w:t>’</w:t>
      </w:r>
      <w:r w:rsidRPr="00DF6409">
        <w:t>est réuni du 17 au 19</w:t>
      </w:r>
      <w:r w:rsidR="0057350D">
        <w:t> </w:t>
      </w:r>
      <w:r>
        <w:t>s</w:t>
      </w:r>
      <w:r w:rsidRPr="00DF6409">
        <w:t>eptembr</w:t>
      </w:r>
      <w:r>
        <w:t>e</w:t>
      </w:r>
      <w:r w:rsidRPr="00DF6409">
        <w:t xml:space="preserve"> 2019 </w:t>
      </w:r>
      <w:r>
        <w:t>sous la présidence de</w:t>
      </w:r>
      <w:r w:rsidRPr="00DF6409">
        <w:t xml:space="preserve"> M.</w:t>
      </w:r>
      <w:r w:rsidR="0057350D">
        <w:t> </w:t>
      </w:r>
      <w:r w:rsidRPr="00DF6409">
        <w:t>A.</w:t>
      </w:r>
      <w:r w:rsidR="0057350D">
        <w:t> </w:t>
      </w:r>
      <w:r w:rsidRPr="00DF6409">
        <w:t>Bale (Royaume-Uni).</w:t>
      </w:r>
    </w:p>
    <w:p w14:paraId="69954AD9" w14:textId="2B033F8D" w:rsidR="007B7BE0" w:rsidRPr="00FD63D0" w:rsidRDefault="007B7BE0" w:rsidP="0057350D">
      <w:pPr>
        <w:pStyle w:val="SingleTxtG"/>
      </w:pPr>
      <w:r w:rsidRPr="00DF6409">
        <w:t>9.</w:t>
      </w:r>
      <w:r w:rsidRPr="00DF6409">
        <w:tab/>
        <w:t>La Réunion commune a examiné les amendements relatifs aux citernes</w:t>
      </w:r>
      <w:r>
        <w:t xml:space="preserve"> qu</w:t>
      </w:r>
      <w:r w:rsidR="00333FCB">
        <w:t>’</w:t>
      </w:r>
      <w:r>
        <w:t>il est</w:t>
      </w:r>
      <w:r w:rsidR="0057350D">
        <w:t xml:space="preserve"> </w:t>
      </w:r>
      <w:r w:rsidRPr="00DF6409">
        <w:t>propos</w:t>
      </w:r>
      <w:r>
        <w:t>é d</w:t>
      </w:r>
      <w:r w:rsidR="00333FCB">
        <w:t>’</w:t>
      </w:r>
      <w:r>
        <w:t xml:space="preserve">apporter </w:t>
      </w:r>
      <w:r w:rsidRPr="00DF6409">
        <w:t xml:space="preserve">aux paragraphes 4.2.5.3 et 6.7.2.19.6.2 dans les documents INF.31 </w:t>
      </w:r>
      <w:r>
        <w:t>et</w:t>
      </w:r>
      <w:r w:rsidRPr="00DF6409">
        <w:t xml:space="preserve"> INF.24 et il a</w:t>
      </w:r>
      <w:r>
        <w:t xml:space="preserve"> conclu qu</w:t>
      </w:r>
      <w:r w:rsidR="00333FCB">
        <w:t>’</w:t>
      </w:r>
      <w:r>
        <w:t>il était inutile de transmettre ces questions d</w:t>
      </w:r>
      <w:r w:rsidR="00333FCB">
        <w:t>’</w:t>
      </w:r>
      <w:r>
        <w:t>ordre linguistique au Groupe de travail des citernes.</w:t>
      </w:r>
      <w:r w:rsidR="0057350D">
        <w:t xml:space="preserve"> </w:t>
      </w:r>
      <w:r w:rsidRPr="00DF6409">
        <w:t>Après un échange de vues, la plupart des</w:t>
      </w:r>
      <w:r w:rsidR="0057350D">
        <w:t xml:space="preserve"> </w:t>
      </w:r>
      <w:r w:rsidRPr="00DF6409">
        <w:t>délégations ont estimé que le libellé des paragraphes en question dans le</w:t>
      </w:r>
      <w:r w:rsidR="0057350D">
        <w:t xml:space="preserve"> </w:t>
      </w:r>
      <w:r w:rsidRPr="00DF6409">
        <w:t>RID</w:t>
      </w:r>
      <w:r>
        <w:t xml:space="preserve"> et l</w:t>
      </w:r>
      <w:r w:rsidR="00333FCB">
        <w:t>’</w:t>
      </w:r>
      <w:r w:rsidRPr="00DF6409">
        <w:t xml:space="preserve">ADR </w:t>
      </w:r>
      <w:r>
        <w:t>était approprié et conforme au Règlement type et conclu qu</w:t>
      </w:r>
      <w:r w:rsidR="00333FCB">
        <w:t>’</w:t>
      </w:r>
      <w:r>
        <w:t>il ne devrait pas être modifié.</w:t>
      </w:r>
      <w:r w:rsidRPr="00DF6409">
        <w:t xml:space="preserve"> La Réunion commune a confirmé que les inspections et les épreuves prescrites tous les cinq ans devr</w:t>
      </w:r>
      <w:r>
        <w:t>a</w:t>
      </w:r>
      <w:r w:rsidRPr="00DF6409">
        <w:t>ient</w:t>
      </w:r>
      <w:r>
        <w:t xml:space="preserve"> être effectuées avant le remplissage</w:t>
      </w:r>
      <w:r w:rsidRPr="00DF6409">
        <w:t>.</w:t>
      </w:r>
      <w:r>
        <w:t xml:space="preserve"> </w:t>
      </w:r>
      <w:r w:rsidRPr="00DF6409">
        <w:t>Elle a décidé que, si des précisions supplémentaires étaient nécessaires, une proposition d</w:t>
      </w:r>
      <w:r w:rsidR="00333FCB">
        <w:t>’</w:t>
      </w:r>
      <w:r w:rsidRPr="00DF6409">
        <w:t>amendement du Règlement type devrait être soumise au Sous-Comité d</w:t>
      </w:r>
      <w:r w:rsidR="00333FCB">
        <w:t>’</w:t>
      </w:r>
      <w:r w:rsidRPr="00DF6409">
        <w:t>experts du transport des marchand</w:t>
      </w:r>
      <w:r>
        <w:t>ises dangereuses.</w:t>
      </w:r>
      <w:r w:rsidR="0057350D">
        <w:t xml:space="preserve"> </w:t>
      </w:r>
    </w:p>
    <w:p w14:paraId="1F654685" w14:textId="77777777" w:rsidR="007B7BE0" w:rsidRPr="0057350D" w:rsidRDefault="007B7BE0" w:rsidP="00364FCF">
      <w:pPr>
        <w:pStyle w:val="H1G"/>
        <w:rPr>
          <w:i/>
        </w:rPr>
      </w:pPr>
      <w:r w:rsidRPr="00FD63D0">
        <w:tab/>
      </w:r>
      <w:r w:rsidRPr="00FD63D0">
        <w:tab/>
      </w:r>
      <w:r w:rsidRPr="00DF6409">
        <w:t>Rapport du Groupe de travail des citernes</w:t>
      </w:r>
    </w:p>
    <w:p w14:paraId="0B4F0E13" w14:textId="77777777" w:rsidR="007B7BE0" w:rsidRPr="00DF6409" w:rsidRDefault="007B7BE0" w:rsidP="00AA68E5">
      <w:pPr>
        <w:pStyle w:val="SingleTxtG"/>
        <w:ind w:left="3119" w:hanging="1985"/>
        <w:jc w:val="left"/>
      </w:pPr>
      <w:r w:rsidRPr="0057350D">
        <w:rPr>
          <w:i/>
        </w:rPr>
        <w:t>Documents</w:t>
      </w:r>
      <w:r w:rsidR="0057350D">
        <w:t> </w:t>
      </w:r>
      <w:r w:rsidRPr="0057350D">
        <w:rPr>
          <w:iCs/>
        </w:rPr>
        <w:t>:</w:t>
      </w:r>
      <w:r w:rsidRPr="00DF6409">
        <w:t xml:space="preserve"> </w:t>
      </w:r>
      <w:r w:rsidRPr="00DF6409">
        <w:tab/>
        <w:t>INF.45 (Rapport du Groupe de travail des citernes)</w:t>
      </w:r>
      <w:r w:rsidR="0057350D">
        <w:br/>
      </w:r>
      <w:r w:rsidRPr="00DF6409">
        <w:t>INF.19/Rev.1 et INF.47 (Royaume-Uni)</w:t>
      </w:r>
      <w:r w:rsidR="00364FCF">
        <w:t>.</w:t>
      </w:r>
    </w:p>
    <w:p w14:paraId="72DB9364" w14:textId="6EA0272C" w:rsidR="007B7BE0" w:rsidRPr="00DF6409" w:rsidRDefault="007B7BE0" w:rsidP="00364FCF">
      <w:pPr>
        <w:pStyle w:val="SingleTxtG"/>
      </w:pPr>
      <w:r w:rsidRPr="00DF6409">
        <w:t>10.</w:t>
      </w:r>
      <w:r w:rsidRPr="00DF6409">
        <w:tab/>
        <w:t>La Réunion commune a pris note des r</w:t>
      </w:r>
      <w:r>
        <w:t>é</w:t>
      </w:r>
      <w:r w:rsidRPr="00DF6409">
        <w:t>sult</w:t>
      </w:r>
      <w:r>
        <w:t>at</w:t>
      </w:r>
      <w:r w:rsidRPr="00DF6409">
        <w:t xml:space="preserve">s obtenus par le Groupe de travail </w:t>
      </w:r>
      <w:r>
        <w:t xml:space="preserve">des citernes </w:t>
      </w:r>
      <w:r w:rsidRPr="00DF6409">
        <w:t>dont le rapport est reproduit à l</w:t>
      </w:r>
      <w:r w:rsidR="00333FCB">
        <w:t>’</w:t>
      </w:r>
      <w:r w:rsidRPr="00DF6409">
        <w:t>annexe</w:t>
      </w:r>
      <w:r>
        <w:t xml:space="preserve"> I en tant qu</w:t>
      </w:r>
      <w:r w:rsidR="00333FCB">
        <w:t>’</w:t>
      </w:r>
      <w:r>
        <w:t>additif 1 au présent rapport.</w:t>
      </w:r>
      <w:r w:rsidR="0057350D">
        <w:t xml:space="preserve"> </w:t>
      </w:r>
      <w:r w:rsidRPr="00DF6409">
        <w:t xml:space="preserve">Elle a adopté les propositions 1 </w:t>
      </w:r>
      <w:r>
        <w:t>à</w:t>
      </w:r>
      <w:r w:rsidRPr="00DF6409">
        <w:t xml:space="preserve"> 5 figurant dans l</w:t>
      </w:r>
      <w:r w:rsidR="00333FCB">
        <w:t>’</w:t>
      </w:r>
      <w:r w:rsidRPr="00DF6409">
        <w:t>annex</w:t>
      </w:r>
      <w:r>
        <w:t>e</w:t>
      </w:r>
      <w:r w:rsidRPr="00DF6409">
        <w:t xml:space="preserve"> 1 (</w:t>
      </w:r>
      <w:r>
        <w:t xml:space="preserve">voir </w:t>
      </w:r>
      <w:r w:rsidRPr="00DF6409">
        <w:t>annex</w:t>
      </w:r>
      <w:r>
        <w:t>e</w:t>
      </w:r>
      <w:r w:rsidRPr="00DF6409">
        <w:t xml:space="preserve"> II).</w:t>
      </w:r>
    </w:p>
    <w:p w14:paraId="6CB24EC6" w14:textId="34EAF657" w:rsidR="007B7BE0" w:rsidRPr="00FD63D0" w:rsidRDefault="007B7BE0" w:rsidP="00364FCF">
      <w:pPr>
        <w:pStyle w:val="SingleTxtG"/>
      </w:pPr>
      <w:r w:rsidRPr="00DF6409">
        <w:t>11.</w:t>
      </w:r>
      <w:r w:rsidRPr="00DF6409">
        <w:tab/>
      </w:r>
      <w:r w:rsidR="00364FCF">
        <w:t>À</w:t>
      </w:r>
      <w:r w:rsidRPr="00DF6409">
        <w:t xml:space="preserve"> propos du point 4, la Réunion commune a examin</w:t>
      </w:r>
      <w:r>
        <w:t>é</w:t>
      </w:r>
      <w:r w:rsidRPr="00DF6409">
        <w:t xml:space="preserve"> les directives d</w:t>
      </w:r>
      <w:r w:rsidR="00333FCB">
        <w:t>’</w:t>
      </w:r>
      <w:r w:rsidRPr="00DF6409">
        <w:t>application de</w:t>
      </w:r>
      <w:r>
        <w:t xml:space="preserve"> la proposition d</w:t>
      </w:r>
      <w:r w:rsidR="00333FCB">
        <w:t>’</w:t>
      </w:r>
      <w:r>
        <w:t>ajout à la note de bas de page 3 du paragraphe</w:t>
      </w:r>
      <w:r w:rsidR="0057350D">
        <w:t xml:space="preserve"> </w:t>
      </w:r>
      <w:r w:rsidRPr="00DF6409">
        <w:t xml:space="preserve">6.8.2.1.18 </w:t>
      </w:r>
      <w:r>
        <w:t>de l</w:t>
      </w:r>
      <w:r w:rsidR="00333FCB">
        <w:t>’</w:t>
      </w:r>
      <w:r w:rsidRPr="00DF6409">
        <w:t>ADR</w:t>
      </w:r>
      <w:r>
        <w:t xml:space="preserve">, telle </w:t>
      </w:r>
      <w:r>
        <w:lastRenderedPageBreak/>
        <w:t>qu</w:t>
      </w:r>
      <w:r w:rsidR="00333FCB">
        <w:t>’</w:t>
      </w:r>
      <w:r>
        <w:t>elle est révisée dans le</w:t>
      </w:r>
      <w:r w:rsidRPr="00DF6409">
        <w:t xml:space="preserve"> document INF.47. </w:t>
      </w:r>
      <w:r w:rsidRPr="00FD63D0">
        <w:t>Aucune observation n</w:t>
      </w:r>
      <w:r w:rsidR="00333FCB">
        <w:t>’</w:t>
      </w:r>
      <w:r w:rsidRPr="00FD63D0">
        <w:t>a été formul</w:t>
      </w:r>
      <w:r>
        <w:t>é</w:t>
      </w:r>
      <w:r w:rsidRPr="00FD63D0">
        <w:t>e, si ce n</w:t>
      </w:r>
      <w:r w:rsidR="00333FCB">
        <w:t>’</w:t>
      </w:r>
      <w:r w:rsidRPr="00FD63D0">
        <w:t>est que le texte pourrait être simplifié et le représentant du Royaume-Uni</w:t>
      </w:r>
      <w:r w:rsidR="0057350D">
        <w:t xml:space="preserve"> </w:t>
      </w:r>
      <w:r w:rsidRPr="00FD63D0">
        <w:t>s</w:t>
      </w:r>
      <w:r w:rsidR="00333FCB">
        <w:t>’</w:t>
      </w:r>
      <w:r w:rsidRPr="00FD63D0">
        <w:t>est propos</w:t>
      </w:r>
      <w:r>
        <w:t>é</w:t>
      </w:r>
      <w:r w:rsidRPr="00FD63D0">
        <w:t xml:space="preserve"> pour soumettre une version finale simplifiée au Groupe de travail du transport des marchandises dangereuses</w:t>
      </w:r>
      <w:r>
        <w:t xml:space="preserve"> </w:t>
      </w:r>
      <w:r w:rsidRPr="00FD63D0">
        <w:t>(WP.15)</w:t>
      </w:r>
      <w:r>
        <w:t>,</w:t>
      </w:r>
      <w:r w:rsidRPr="00FD63D0">
        <w:t xml:space="preserve"> </w:t>
      </w:r>
      <w:r>
        <w:t>pour examen à sa</w:t>
      </w:r>
      <w:r w:rsidRPr="00FD63D0">
        <w:t xml:space="preserve"> 107</w:t>
      </w:r>
      <w:r w:rsidRPr="00364FCF">
        <w:rPr>
          <w:vertAlign w:val="superscript"/>
        </w:rPr>
        <w:t>e</w:t>
      </w:r>
      <w:r w:rsidR="00364FCF">
        <w:t> </w:t>
      </w:r>
      <w:r w:rsidRPr="00FD63D0">
        <w:t>session</w:t>
      </w:r>
      <w:r>
        <w:t>,</w:t>
      </w:r>
      <w:r w:rsidRPr="00FD63D0">
        <w:t xml:space="preserve"> </w:t>
      </w:r>
      <w:r>
        <w:t>en n</w:t>
      </w:r>
      <w:r w:rsidRPr="00FD63D0">
        <w:t>ovembr</w:t>
      </w:r>
      <w:r>
        <w:t>e</w:t>
      </w:r>
      <w:r w:rsidRPr="00FD63D0">
        <w:t xml:space="preserve"> 2019.</w:t>
      </w:r>
    </w:p>
    <w:p w14:paraId="0F84EE0E" w14:textId="293161C2" w:rsidR="007B7BE0" w:rsidRPr="00FD63D0" w:rsidRDefault="007B7BE0" w:rsidP="007B7BE0">
      <w:pPr>
        <w:pStyle w:val="SingleTxtG"/>
        <w:spacing w:line="240" w:lineRule="auto"/>
      </w:pPr>
      <w:r w:rsidRPr="00FD63D0">
        <w:t>12.</w:t>
      </w:r>
      <w:r w:rsidRPr="00FD63D0">
        <w:tab/>
      </w:r>
      <w:r w:rsidR="00364FCF">
        <w:t>À</w:t>
      </w:r>
      <w:r w:rsidRPr="00FD63D0">
        <w:t xml:space="preserve"> propos du point 5, la Réunion commune a convenu avec le Groupe de travail de la nécessité de compl</w:t>
      </w:r>
      <w:r>
        <w:t>é</w:t>
      </w:r>
      <w:r w:rsidRPr="00FD63D0">
        <w:t>ter le libellé et de transmettre un document offici</w:t>
      </w:r>
      <w:r>
        <w:t>e</w:t>
      </w:r>
      <w:r w:rsidRPr="00FD63D0">
        <w:t xml:space="preserve">l </w:t>
      </w:r>
      <w:r>
        <w:t>à la session de mars</w:t>
      </w:r>
      <w:r w:rsidRPr="00FD63D0">
        <w:t xml:space="preserve"> 2020. Toutes les délégations ont été instamment priées d</w:t>
      </w:r>
      <w:r w:rsidR="00333FCB">
        <w:t>’</w:t>
      </w:r>
      <w:r w:rsidRPr="00FD63D0">
        <w:t>examiner le document INF.19/Rev.1, et d</w:t>
      </w:r>
      <w:r w:rsidR="00333FCB">
        <w:t>’</w:t>
      </w:r>
      <w:r w:rsidRPr="00FD63D0">
        <w:t>envoyer leurs observations et leurs propositions par écrit, en langue anglaise, avant la fin octobre 2019, au Président du groupe de travail informel pour qu</w:t>
      </w:r>
      <w:r w:rsidR="00333FCB">
        <w:t>’</w:t>
      </w:r>
      <w:r w:rsidRPr="00FD63D0">
        <w:t>il puisse l</w:t>
      </w:r>
      <w:r w:rsidR="00333FCB">
        <w:t>’</w:t>
      </w:r>
      <w:r w:rsidRPr="00FD63D0">
        <w:t>examiner à sa prochaine session, prévue à Londres, d</w:t>
      </w:r>
      <w:r>
        <w:t xml:space="preserve">u </w:t>
      </w:r>
      <w:r w:rsidRPr="00FD63D0">
        <w:t xml:space="preserve">11 </w:t>
      </w:r>
      <w:r>
        <w:t>au</w:t>
      </w:r>
      <w:r w:rsidRPr="00FD63D0">
        <w:t xml:space="preserve"> 13</w:t>
      </w:r>
      <w:r w:rsidR="00364FCF">
        <w:t> </w:t>
      </w:r>
      <w:r>
        <w:t>dé</w:t>
      </w:r>
      <w:r w:rsidRPr="00FD63D0">
        <w:t>cembr</w:t>
      </w:r>
      <w:r>
        <w:t>e</w:t>
      </w:r>
      <w:r w:rsidRPr="00FD63D0">
        <w:t xml:space="preserve"> 2019.</w:t>
      </w:r>
    </w:p>
    <w:p w14:paraId="79AD46C1" w14:textId="41A9D911" w:rsidR="007B7BE0" w:rsidRPr="00412B78" w:rsidRDefault="007B7BE0" w:rsidP="00364FCF">
      <w:pPr>
        <w:pStyle w:val="SingleTxtG"/>
      </w:pPr>
      <w:r w:rsidRPr="00FD63D0">
        <w:t>13.</w:t>
      </w:r>
      <w:r w:rsidRPr="00FD63D0">
        <w:tab/>
      </w:r>
      <w:r w:rsidR="00364FCF">
        <w:t>À</w:t>
      </w:r>
      <w:r w:rsidRPr="00FD63D0">
        <w:t xml:space="preserve"> propos du point 6, </w:t>
      </w:r>
      <w:r>
        <w:t>l</w:t>
      </w:r>
      <w:r w:rsidRPr="00FD63D0">
        <w:t>es représentants de la Bel</w:t>
      </w:r>
      <w:r>
        <w:t>g</w:t>
      </w:r>
      <w:r w:rsidRPr="00FD63D0">
        <w:t>ique et des Pays Bas ont fait savoir qu</w:t>
      </w:r>
      <w:r w:rsidR="00333FCB">
        <w:t>’</w:t>
      </w:r>
      <w:r w:rsidRPr="00FD63D0">
        <w:t>ils ne partageaient pas les conclusions du Groupe de travail, ce qui n</w:t>
      </w:r>
      <w:r w:rsidR="00333FCB">
        <w:t>’</w:t>
      </w:r>
      <w:r w:rsidRPr="00FD63D0">
        <w:t>a pas e</w:t>
      </w:r>
      <w:r>
        <w:t>mp</w:t>
      </w:r>
      <w:r w:rsidRPr="00FD63D0">
        <w:t>êché la Réunion commune de conclure qu</w:t>
      </w:r>
      <w:r w:rsidR="00333FCB">
        <w:t>’</w:t>
      </w:r>
      <w:r w:rsidRPr="00FD63D0">
        <w:t xml:space="preserve">il fallait </w:t>
      </w:r>
      <w:r>
        <w:t>poursuivre</w:t>
      </w:r>
      <w:r w:rsidRPr="00FD63D0">
        <w:t xml:space="preserve"> comme l</w:t>
      </w:r>
      <w:r w:rsidR="00333FCB">
        <w:t>’</w:t>
      </w:r>
      <w:r w:rsidRPr="00FD63D0">
        <w:t xml:space="preserve">a recommandé le Groupe de travail. </w:t>
      </w:r>
    </w:p>
    <w:p w14:paraId="078058BF" w14:textId="13205CB7" w:rsidR="007B7BE0" w:rsidRPr="00944671" w:rsidRDefault="007B7BE0" w:rsidP="00364FCF">
      <w:pPr>
        <w:pStyle w:val="HChG"/>
      </w:pPr>
      <w:r w:rsidRPr="00944671">
        <w:tab/>
        <w:t>V.</w:t>
      </w:r>
      <w:r w:rsidRPr="00944671">
        <w:tab/>
      </w:r>
      <w:r>
        <w:t>Norme</w:t>
      </w:r>
      <w:r w:rsidRPr="00944671">
        <w:t>s (</w:t>
      </w:r>
      <w:r>
        <w:t>point</w:t>
      </w:r>
      <w:r w:rsidRPr="00944671">
        <w:t xml:space="preserve"> 3</w:t>
      </w:r>
      <w:r>
        <w:t xml:space="preserve"> de l</w:t>
      </w:r>
      <w:r w:rsidR="00333FCB">
        <w:t>’</w:t>
      </w:r>
      <w:r>
        <w:t>ordre du jour</w:t>
      </w:r>
      <w:r w:rsidRPr="00944671">
        <w:t>)</w:t>
      </w:r>
    </w:p>
    <w:p w14:paraId="61D949F6" w14:textId="77777777" w:rsidR="007B7BE0" w:rsidRPr="00364FCF" w:rsidRDefault="007B7BE0" w:rsidP="00AA68E5">
      <w:pPr>
        <w:pStyle w:val="SingleTxtG"/>
        <w:ind w:left="3119" w:hanging="1985"/>
        <w:jc w:val="left"/>
      </w:pPr>
      <w:r w:rsidRPr="007E435E">
        <w:rPr>
          <w:i/>
        </w:rPr>
        <w:t>Documents</w:t>
      </w:r>
      <w:r>
        <w:rPr>
          <w:i/>
        </w:rPr>
        <w:t xml:space="preserve"> officiels</w:t>
      </w:r>
      <w:r w:rsidR="00364FCF">
        <w:rPr>
          <w:i/>
        </w:rPr>
        <w:t> </w:t>
      </w:r>
      <w:r w:rsidRPr="007E435E">
        <w:t xml:space="preserve">: </w:t>
      </w:r>
      <w:r w:rsidRPr="007E435E">
        <w:tab/>
        <w:t>ECE/TRANS/WP.15/AC.1/2019/35 (Finlande)</w:t>
      </w:r>
      <w:r w:rsidR="00364FCF">
        <w:br/>
      </w:r>
      <w:r w:rsidRPr="007E435E">
        <w:t>ECE/TRANS/WP.15/AC.1/2019/36 (Finlande)</w:t>
      </w:r>
      <w:r w:rsidR="00364FCF">
        <w:br/>
      </w:r>
      <w:r w:rsidRPr="00364FCF">
        <w:t>ECE/TRANS/WP.15/AC.1/2019/46 (CEN)</w:t>
      </w:r>
      <w:r w:rsidR="00364FCF">
        <w:t>.</w:t>
      </w:r>
    </w:p>
    <w:p w14:paraId="67F75382" w14:textId="77777777" w:rsidR="007B7BE0" w:rsidRPr="007E435E" w:rsidRDefault="007B7BE0" w:rsidP="00AA68E5">
      <w:pPr>
        <w:pStyle w:val="SingleTxtG"/>
        <w:ind w:left="3119" w:hanging="1985"/>
        <w:jc w:val="left"/>
        <w:rPr>
          <w:i/>
        </w:rPr>
      </w:pPr>
      <w:r w:rsidRPr="00364FCF">
        <w:rPr>
          <w:i/>
        </w:rPr>
        <w:t>Documents informels</w:t>
      </w:r>
      <w:r w:rsidR="00364FCF">
        <w:t> </w:t>
      </w:r>
      <w:r w:rsidRPr="007E435E">
        <w:t>:</w:t>
      </w:r>
      <w:r w:rsidRPr="007E435E">
        <w:tab/>
        <w:t>INF.32 et</w:t>
      </w:r>
      <w:r>
        <w:t xml:space="preserve"> </w:t>
      </w:r>
      <w:r w:rsidRPr="007E435E">
        <w:t>INF.41 (CEN)</w:t>
      </w:r>
      <w:r w:rsidR="00364FCF">
        <w:t>.</w:t>
      </w:r>
    </w:p>
    <w:p w14:paraId="164B86B5" w14:textId="77777777" w:rsidR="007B7BE0" w:rsidRPr="007E435E" w:rsidRDefault="007B7BE0" w:rsidP="00364FCF">
      <w:pPr>
        <w:pStyle w:val="SingleTxtG"/>
      </w:pPr>
      <w:r w:rsidRPr="007E435E">
        <w:t>14.</w:t>
      </w:r>
      <w:r w:rsidRPr="007E435E">
        <w:tab/>
        <w:t xml:space="preserve">La Réunion commune a adopté la proposition </w:t>
      </w:r>
      <w:r w:rsidR="00364FCF" w:rsidRPr="00364FCF">
        <w:rPr>
          <w:rFonts w:eastAsia="MS Mincho"/>
          <w:szCs w:val="22"/>
        </w:rPr>
        <w:t>n</w:t>
      </w:r>
      <w:r w:rsidR="00364FCF" w:rsidRPr="00364FCF">
        <w:rPr>
          <w:rFonts w:eastAsia="MS Mincho"/>
          <w:szCs w:val="22"/>
          <w:vertAlign w:val="superscript"/>
        </w:rPr>
        <w:t>o</w:t>
      </w:r>
      <w:r w:rsidR="00364FCF">
        <w:rPr>
          <w:rFonts w:eastAsia="MS Mincho"/>
          <w:szCs w:val="22"/>
        </w:rPr>
        <w:t> </w:t>
      </w:r>
      <w:r w:rsidRPr="007E435E">
        <w:t>3</w:t>
      </w:r>
      <w:r>
        <w:t xml:space="preserve"> du document</w:t>
      </w:r>
      <w:r w:rsidRPr="007E435E">
        <w:t xml:space="preserve"> ECE/TRANS/</w:t>
      </w:r>
      <w:r w:rsidR="00364FCF">
        <w:t xml:space="preserve"> </w:t>
      </w:r>
      <w:r w:rsidRPr="007E435E">
        <w:t>WP.15/AC.1/2019/35 (</w:t>
      </w:r>
      <w:r>
        <w:t>voir</w:t>
      </w:r>
      <w:r w:rsidRPr="007E435E">
        <w:t xml:space="preserve"> annex</w:t>
      </w:r>
      <w:r>
        <w:t>e</w:t>
      </w:r>
      <w:r w:rsidRPr="007E435E">
        <w:t xml:space="preserve"> II).</w:t>
      </w:r>
    </w:p>
    <w:p w14:paraId="6A7B977B" w14:textId="7A7C3E9F" w:rsidR="007B7BE0" w:rsidRPr="007E435E" w:rsidRDefault="007B7BE0" w:rsidP="00364FCF">
      <w:pPr>
        <w:pStyle w:val="SingleTxtG"/>
      </w:pPr>
      <w:r w:rsidRPr="007E435E">
        <w:t>15.</w:t>
      </w:r>
      <w:r w:rsidRPr="007E435E">
        <w:tab/>
        <w:t xml:space="preserve">La Réunion commune a adopté </w:t>
      </w:r>
      <w:r>
        <w:t xml:space="preserve">par vote la proposition </w:t>
      </w:r>
      <w:r w:rsidR="00364FCF" w:rsidRPr="002D76F4">
        <w:rPr>
          <w:rFonts w:eastAsia="MS Mincho"/>
          <w:szCs w:val="22"/>
        </w:rPr>
        <w:t>n</w:t>
      </w:r>
      <w:r w:rsidR="00364FCF" w:rsidRPr="002D76F4">
        <w:rPr>
          <w:rFonts w:eastAsia="MS Mincho"/>
          <w:szCs w:val="22"/>
          <w:vertAlign w:val="superscript"/>
        </w:rPr>
        <w:t>o</w:t>
      </w:r>
      <w:r w:rsidR="00364FCF">
        <w:t> </w:t>
      </w:r>
      <w:r>
        <w:t xml:space="preserve">2 du document </w:t>
      </w:r>
      <w:r w:rsidRPr="007E435E">
        <w:t>ECE/TRANS/WP.15/AC.1/2019/36 (</w:t>
      </w:r>
      <w:r>
        <w:t>voir</w:t>
      </w:r>
      <w:r w:rsidRPr="007E435E">
        <w:t xml:space="preserve"> annex</w:t>
      </w:r>
      <w:r>
        <w:t>e</w:t>
      </w:r>
      <w:r w:rsidRPr="007E435E">
        <w:t xml:space="preserve"> II). Elle a </w:t>
      </w:r>
      <w:r>
        <w:t>a</w:t>
      </w:r>
      <w:r w:rsidRPr="007E435E">
        <w:t>ussi adopté la proposition d</w:t>
      </w:r>
      <w:r w:rsidR="00333FCB">
        <w:t>’</w:t>
      </w:r>
      <w:r w:rsidRPr="007E435E">
        <w:t>amendement figurant dans le</w:t>
      </w:r>
      <w:r w:rsidR="0057350D">
        <w:t xml:space="preserve"> </w:t>
      </w:r>
      <w:r w:rsidRPr="007E435E">
        <w:t>document INF.41 (</w:t>
      </w:r>
      <w:r>
        <w:t xml:space="preserve">voir </w:t>
      </w:r>
      <w:r w:rsidRPr="007E435E">
        <w:t>annex</w:t>
      </w:r>
      <w:r>
        <w:t>e</w:t>
      </w:r>
      <w:r w:rsidRPr="007E435E">
        <w:t xml:space="preserve"> II).</w:t>
      </w:r>
    </w:p>
    <w:p w14:paraId="226F3FB3" w14:textId="0B7B637E" w:rsidR="007B7BE0" w:rsidRPr="007E435E" w:rsidRDefault="007B7BE0" w:rsidP="00364FCF">
      <w:pPr>
        <w:pStyle w:val="SingleTxtG"/>
      </w:pPr>
      <w:r w:rsidRPr="007E435E">
        <w:t>16.</w:t>
      </w:r>
      <w:r w:rsidRPr="007E435E">
        <w:tab/>
        <w:t>L</w:t>
      </w:r>
      <w:r w:rsidR="00333FCB">
        <w:t>’</w:t>
      </w:r>
      <w:r w:rsidRPr="007E435E">
        <w:t>examen des documents ECE/TRANS/WP.15/AC.1/2019/46 et INF.32 a été confié au Groupe de travail des</w:t>
      </w:r>
      <w:r>
        <w:t xml:space="preserve"> </w:t>
      </w:r>
      <w:r w:rsidRPr="007E435E">
        <w:t>normes</w:t>
      </w:r>
      <w:r>
        <w:t>,</w:t>
      </w:r>
      <w:r w:rsidRPr="007E435E">
        <w:t xml:space="preserve"> qui s</w:t>
      </w:r>
      <w:r w:rsidR="00333FCB">
        <w:t>’</w:t>
      </w:r>
      <w:r w:rsidRPr="007E435E">
        <w:t>est réuni pendant les pauses déjeuner. Ce dernier a en outre été chargé d</w:t>
      </w:r>
      <w:r w:rsidR="00333FCB">
        <w:t>’</w:t>
      </w:r>
      <w:r w:rsidRPr="007E435E">
        <w:t>examiner les amendements au paragra</w:t>
      </w:r>
      <w:r>
        <w:t>phe</w:t>
      </w:r>
      <w:r w:rsidRPr="007E435E">
        <w:t xml:space="preserve"> 4.1.6.15 propos</w:t>
      </w:r>
      <w:r>
        <w:t>és dans le document</w:t>
      </w:r>
      <w:r w:rsidR="0057350D">
        <w:t xml:space="preserve"> </w:t>
      </w:r>
      <w:r w:rsidRPr="007E435E">
        <w:t>ECE/TRANS/WP.15/AC.1/2019/22/Add.1.</w:t>
      </w:r>
    </w:p>
    <w:p w14:paraId="20EB6CBA" w14:textId="77777777" w:rsidR="007B7BE0" w:rsidRPr="007E435E" w:rsidRDefault="007B7BE0" w:rsidP="00364FCF">
      <w:pPr>
        <w:pStyle w:val="H1G"/>
        <w:rPr>
          <w:lang w:eastAsia="fr-FR"/>
        </w:rPr>
      </w:pPr>
      <w:r w:rsidRPr="007E435E">
        <w:tab/>
      </w:r>
      <w:r w:rsidRPr="007E435E">
        <w:tab/>
        <w:t>Rapport du Groupe de travail des normes</w:t>
      </w:r>
    </w:p>
    <w:p w14:paraId="02B6E5FA" w14:textId="77777777" w:rsidR="007B7BE0" w:rsidRPr="007E435E" w:rsidRDefault="007B7BE0" w:rsidP="00B70120">
      <w:pPr>
        <w:pStyle w:val="SingleTxtG"/>
        <w:ind w:left="3119" w:hanging="1985"/>
        <w:jc w:val="left"/>
      </w:pPr>
      <w:r w:rsidRPr="007E435E">
        <w:rPr>
          <w:i/>
          <w:iCs/>
        </w:rPr>
        <w:t>Document</w:t>
      </w:r>
      <w:r w:rsidR="00364FCF" w:rsidRPr="00364FCF">
        <w:rPr>
          <w:iCs/>
        </w:rPr>
        <w:t> </w:t>
      </w:r>
      <w:r w:rsidRPr="00364FCF">
        <w:rPr>
          <w:iCs/>
        </w:rPr>
        <w:t>:</w:t>
      </w:r>
      <w:r w:rsidRPr="007E435E">
        <w:tab/>
        <w:t>INF.50 (Rapport du Groupe de travail des normes)</w:t>
      </w:r>
      <w:r w:rsidR="00364FCF">
        <w:t>.</w:t>
      </w:r>
    </w:p>
    <w:p w14:paraId="3DA16975" w14:textId="5EC0DEF8" w:rsidR="007B7BE0" w:rsidRPr="007E435E" w:rsidRDefault="007B7BE0" w:rsidP="00B70120">
      <w:pPr>
        <w:pStyle w:val="SingleTxtG"/>
      </w:pPr>
      <w:r w:rsidRPr="007E435E">
        <w:t>17.</w:t>
      </w:r>
      <w:r w:rsidRPr="007E435E">
        <w:tab/>
        <w:t>La Réunion commune a pris note des recommandations et des conclusions formulées par le Groupe de travail dans le document INF.50 et elle a adopté le</w:t>
      </w:r>
      <w:r>
        <w:t>s propositions d</w:t>
      </w:r>
      <w:r w:rsidR="00333FCB">
        <w:t>’</w:t>
      </w:r>
      <w:r w:rsidRPr="007E435E">
        <w:t>amend</w:t>
      </w:r>
      <w:r>
        <w:t>e</w:t>
      </w:r>
      <w:r w:rsidRPr="007E435E">
        <w:t xml:space="preserve">ments </w:t>
      </w:r>
      <w:r>
        <w:t>aux paragraphes</w:t>
      </w:r>
      <w:r w:rsidRPr="007E435E">
        <w:t xml:space="preserve"> 4.1.6.15, 6.2.4.1, 6.2.4.2 </w:t>
      </w:r>
      <w:r>
        <w:t>et à l</w:t>
      </w:r>
      <w:r w:rsidR="00333FCB">
        <w:t>’</w:t>
      </w:r>
      <w:r>
        <w:t>instruction</w:t>
      </w:r>
      <w:r w:rsidRPr="007E435E">
        <w:t xml:space="preserve"> P200 </w:t>
      </w:r>
      <w:r>
        <w:t>du</w:t>
      </w:r>
      <w:r w:rsidRPr="007E435E">
        <w:t xml:space="preserve"> RID</w:t>
      </w:r>
      <w:r>
        <w:t>/</w:t>
      </w:r>
      <w:r w:rsidRPr="007E435E">
        <w:t>ADR</w:t>
      </w:r>
      <w:r>
        <w:t>,</w:t>
      </w:r>
      <w:r w:rsidRPr="007E435E">
        <w:t xml:space="preserve"> </w:t>
      </w:r>
      <w:r>
        <w:t>avec quelques modifications de forme</w:t>
      </w:r>
      <w:r w:rsidRPr="007E435E">
        <w:t xml:space="preserve"> (</w:t>
      </w:r>
      <w:r>
        <w:t>voir</w:t>
      </w:r>
      <w:r w:rsidRPr="007E435E">
        <w:t xml:space="preserve"> annex</w:t>
      </w:r>
      <w:r>
        <w:t>e</w:t>
      </w:r>
      <w:r w:rsidRPr="007E435E">
        <w:t xml:space="preserve"> II).</w:t>
      </w:r>
    </w:p>
    <w:p w14:paraId="74578BD7" w14:textId="113A6C34" w:rsidR="007B7BE0" w:rsidRPr="00944671" w:rsidRDefault="007B7BE0" w:rsidP="00364FCF">
      <w:pPr>
        <w:pStyle w:val="HChG"/>
      </w:pPr>
      <w:r w:rsidRPr="00944671">
        <w:tab/>
        <w:t>V</w:t>
      </w:r>
      <w:r w:rsidRPr="007E435E">
        <w:t>I</w:t>
      </w:r>
      <w:r w:rsidRPr="00944671">
        <w:t>.</w:t>
      </w:r>
      <w:r w:rsidRPr="00944671">
        <w:tab/>
      </w:r>
      <w:r w:rsidRPr="00364FCF">
        <w:rPr>
          <w:spacing w:val="2"/>
        </w:rPr>
        <w:t>Harmonisation avec les Recommandations relatives au</w:t>
      </w:r>
      <w:r>
        <w:t xml:space="preserve"> </w:t>
      </w:r>
      <w:r w:rsidRPr="00364FCF">
        <w:rPr>
          <w:spacing w:val="-2"/>
        </w:rPr>
        <w:t>transport des marchandises dangereuses de l</w:t>
      </w:r>
      <w:r w:rsidR="00333FCB">
        <w:rPr>
          <w:spacing w:val="-2"/>
        </w:rPr>
        <w:t>’</w:t>
      </w:r>
      <w:r w:rsidRPr="00364FCF">
        <w:rPr>
          <w:spacing w:val="-2"/>
        </w:rPr>
        <w:t>Organisation</w:t>
      </w:r>
      <w:r>
        <w:t xml:space="preserve"> </w:t>
      </w:r>
      <w:r w:rsidR="00364FCF">
        <w:br/>
      </w:r>
      <w:r>
        <w:t xml:space="preserve">des Nations Unies </w:t>
      </w:r>
      <w:r w:rsidRPr="00944671">
        <w:t>(</w:t>
      </w:r>
      <w:r>
        <w:t>point</w:t>
      </w:r>
      <w:r w:rsidRPr="00944671">
        <w:t xml:space="preserve"> 4</w:t>
      </w:r>
      <w:r>
        <w:t xml:space="preserve"> de l</w:t>
      </w:r>
      <w:r w:rsidR="00333FCB">
        <w:t>’</w:t>
      </w:r>
      <w:r>
        <w:t>ordre du jour</w:t>
      </w:r>
      <w:r w:rsidRPr="00944671">
        <w:t>)</w:t>
      </w:r>
    </w:p>
    <w:p w14:paraId="5D9C9BE2" w14:textId="0F1E9040" w:rsidR="007B7BE0" w:rsidRPr="007E435E" w:rsidRDefault="007B7BE0" w:rsidP="00364FCF">
      <w:pPr>
        <w:pStyle w:val="H1G"/>
      </w:pPr>
      <w:r w:rsidRPr="007E435E">
        <w:tab/>
        <w:t>A.</w:t>
      </w:r>
      <w:r w:rsidRPr="007E435E">
        <w:tab/>
      </w:r>
      <w:r w:rsidRPr="00364FCF">
        <w:rPr>
          <w:spacing w:val="2"/>
        </w:rPr>
        <w:t>Rapport du Groupe de travail spécial de l</w:t>
      </w:r>
      <w:r w:rsidR="00333FCB">
        <w:rPr>
          <w:spacing w:val="2"/>
        </w:rPr>
        <w:t>’</w:t>
      </w:r>
      <w:r w:rsidRPr="00364FCF">
        <w:rPr>
          <w:spacing w:val="2"/>
        </w:rPr>
        <w:t>harmonisation des</w:t>
      </w:r>
      <w:r w:rsidRPr="007E435E">
        <w:t xml:space="preserve"> </w:t>
      </w:r>
      <w:r w:rsidRPr="00364FCF">
        <w:rPr>
          <w:spacing w:val="-2"/>
        </w:rPr>
        <w:t>Règlements RID/ADR/ADN avec les Recommandations de l</w:t>
      </w:r>
      <w:r w:rsidR="00333FCB">
        <w:rPr>
          <w:spacing w:val="-2"/>
        </w:rPr>
        <w:t>’</w:t>
      </w:r>
      <w:r w:rsidRPr="00364FCF">
        <w:rPr>
          <w:spacing w:val="-2"/>
        </w:rPr>
        <w:t>ONU</w:t>
      </w:r>
      <w:r>
        <w:t xml:space="preserve"> relatives au</w:t>
      </w:r>
      <w:r w:rsidRPr="007E435E">
        <w:t xml:space="preserve"> </w:t>
      </w:r>
      <w:r>
        <w:t>t</w:t>
      </w:r>
      <w:r w:rsidRPr="007E435E">
        <w:t xml:space="preserve">ransport </w:t>
      </w:r>
      <w:r>
        <w:t>des marchandises dangereuses</w:t>
      </w:r>
    </w:p>
    <w:p w14:paraId="5C1512C7" w14:textId="77777777" w:rsidR="007B7BE0" w:rsidRPr="00B6535B" w:rsidRDefault="007B7BE0" w:rsidP="00AA68E5">
      <w:pPr>
        <w:pStyle w:val="SingleTxtG"/>
        <w:ind w:left="3119" w:hanging="1985"/>
        <w:jc w:val="left"/>
      </w:pPr>
      <w:r w:rsidRPr="00B6535B">
        <w:rPr>
          <w:i/>
        </w:rPr>
        <w:t>Documents officiels</w:t>
      </w:r>
      <w:r w:rsidR="00103210">
        <w:rPr>
          <w:i/>
        </w:rPr>
        <w:t> </w:t>
      </w:r>
      <w:r w:rsidRPr="00B6535B">
        <w:t>:</w:t>
      </w:r>
      <w:r w:rsidRPr="00B6535B">
        <w:tab/>
        <w:t xml:space="preserve">ECE/TRANS/WP.15/AC.1/2019/22 </w:t>
      </w:r>
      <w:r>
        <w:t>et</w:t>
      </w:r>
      <w:r w:rsidRPr="00B6535B">
        <w:t xml:space="preserve"> Add.1 (Secrétariat)</w:t>
      </w:r>
    </w:p>
    <w:p w14:paraId="2F7E48CA" w14:textId="221391A8" w:rsidR="007B7BE0" w:rsidRPr="00871A9D" w:rsidRDefault="007B7BE0" w:rsidP="00AA68E5">
      <w:pPr>
        <w:pStyle w:val="SingleTxtG"/>
        <w:ind w:left="3119" w:hanging="1985"/>
        <w:jc w:val="left"/>
      </w:pPr>
      <w:r w:rsidRPr="00B6535B">
        <w:rPr>
          <w:i/>
          <w:iCs/>
        </w:rPr>
        <w:t>Documents</w:t>
      </w:r>
      <w:r>
        <w:rPr>
          <w:i/>
          <w:iCs/>
        </w:rPr>
        <w:t xml:space="preserve"> informels</w:t>
      </w:r>
      <w:r w:rsidR="00103210">
        <w:rPr>
          <w:i/>
          <w:iCs/>
        </w:rPr>
        <w:t> </w:t>
      </w:r>
      <w:r w:rsidRPr="00103210">
        <w:rPr>
          <w:iCs/>
        </w:rPr>
        <w:t>:</w:t>
      </w:r>
      <w:r w:rsidRPr="00B6535B">
        <w:tab/>
        <w:t xml:space="preserve">INF.20 (Secrétariat </w:t>
      </w:r>
      <w:r>
        <w:t>de l</w:t>
      </w:r>
      <w:r w:rsidR="00333FCB">
        <w:t>’</w:t>
      </w:r>
      <w:r w:rsidRPr="00B6535B">
        <w:t>OTIF)</w:t>
      </w:r>
      <w:r w:rsidR="00103210">
        <w:br/>
      </w:r>
      <w:r w:rsidRPr="00B6535B">
        <w:t>INF.24 (Allemagne)</w:t>
      </w:r>
      <w:r w:rsidR="00103210">
        <w:br/>
      </w:r>
      <w:r w:rsidRPr="00B6535B">
        <w:t>INF.30 (Suisse)</w:t>
      </w:r>
      <w:r w:rsidR="00103210">
        <w:br/>
      </w:r>
      <w:r w:rsidRPr="00B6535B">
        <w:t>INF.31 (Suisse)</w:t>
      </w:r>
      <w:r w:rsidR="00103210">
        <w:br/>
      </w:r>
      <w:r w:rsidRPr="00871A9D">
        <w:lastRenderedPageBreak/>
        <w:t>INF.43 (EIGA)</w:t>
      </w:r>
      <w:r w:rsidR="00103210">
        <w:br/>
      </w:r>
      <w:r w:rsidRPr="00871A9D">
        <w:t>INF.49 (Suisse)</w:t>
      </w:r>
      <w:r w:rsidR="00103210">
        <w:t>.</w:t>
      </w:r>
    </w:p>
    <w:p w14:paraId="1ABB47D3" w14:textId="699B568C" w:rsidR="007B7BE0" w:rsidRPr="00412B78" w:rsidRDefault="007B7BE0" w:rsidP="00103210">
      <w:pPr>
        <w:pStyle w:val="SingleTxtG"/>
      </w:pPr>
      <w:r w:rsidRPr="00412B78">
        <w:t>18.</w:t>
      </w:r>
      <w:r w:rsidRPr="00412B78">
        <w:tab/>
        <w:t>La Réunion commune a pris note du rapport présenté par le</w:t>
      </w:r>
      <w:r w:rsidR="0057350D">
        <w:t xml:space="preserve"> </w:t>
      </w:r>
      <w:r w:rsidRPr="00412B78">
        <w:t xml:space="preserve">Groupe de travail </w:t>
      </w:r>
      <w:r>
        <w:t>spécial</w:t>
      </w:r>
      <w:r w:rsidRPr="00412B78">
        <w:t xml:space="preserve"> (ECE/TRANS/WP.15/AC.1/2019/22 et Add.1) et </w:t>
      </w:r>
      <w:r>
        <w:t>elle</w:t>
      </w:r>
      <w:r w:rsidRPr="00412B78">
        <w:t xml:space="preserve"> a examin</w:t>
      </w:r>
      <w:r>
        <w:t>é</w:t>
      </w:r>
      <w:r w:rsidRPr="00412B78">
        <w:t xml:space="preserve"> un par un les amendements propos</w:t>
      </w:r>
      <w:r>
        <w:t>é</w:t>
      </w:r>
      <w:r w:rsidRPr="00412B78">
        <w:t>s en vue d</w:t>
      </w:r>
      <w:r w:rsidR="00333FCB">
        <w:t>’</w:t>
      </w:r>
      <w:r w:rsidRPr="00412B78">
        <w:t>une harmoni</w:t>
      </w:r>
      <w:r>
        <w:t>s</w:t>
      </w:r>
      <w:r w:rsidRPr="00412B78">
        <w:t>ation avec les dispositions du Règlement ty</w:t>
      </w:r>
      <w:r>
        <w:t>pe annexées</w:t>
      </w:r>
      <w:r w:rsidRPr="00412B78">
        <w:t xml:space="preserve"> </w:t>
      </w:r>
      <w:r>
        <w:t>à la vingt et unième édition</w:t>
      </w:r>
      <w:r w:rsidRPr="00412B78">
        <w:t xml:space="preserve"> r</w:t>
      </w:r>
      <w:r>
        <w:t>é</w:t>
      </w:r>
      <w:r w:rsidRPr="00412B78">
        <w:t>vis</w:t>
      </w:r>
      <w:r>
        <w:t>ée</w:t>
      </w:r>
      <w:r w:rsidRPr="00412B78">
        <w:t xml:space="preserve"> </w:t>
      </w:r>
      <w:r>
        <w:t>des</w:t>
      </w:r>
      <w:r w:rsidRPr="00412B78">
        <w:t xml:space="preserve"> Recomm</w:t>
      </w:r>
      <w:r>
        <w:t>a</w:t>
      </w:r>
      <w:r w:rsidRPr="00412B78">
        <w:t xml:space="preserve">ndations </w:t>
      </w:r>
      <w:r>
        <w:t>de l</w:t>
      </w:r>
      <w:r w:rsidR="00333FCB">
        <w:t>’</w:t>
      </w:r>
      <w:r>
        <w:t>ONU relatives au t</w:t>
      </w:r>
      <w:r w:rsidRPr="00412B78">
        <w:t xml:space="preserve">ransport </w:t>
      </w:r>
      <w:r>
        <w:t>des marchandises dangereuses</w:t>
      </w:r>
      <w:r w:rsidRPr="00412B78">
        <w:t>. Elle a adopté les amendements propos</w:t>
      </w:r>
      <w:r>
        <w:t>é</w:t>
      </w:r>
      <w:r w:rsidRPr="00412B78">
        <w:t xml:space="preserve">s, moyennant quelques modifications </w:t>
      </w:r>
      <w:r>
        <w:t>(voir</w:t>
      </w:r>
      <w:r w:rsidRPr="00412B78">
        <w:t xml:space="preserve"> annex</w:t>
      </w:r>
      <w:r>
        <w:t>e</w:t>
      </w:r>
      <w:r w:rsidRPr="00412B78">
        <w:t xml:space="preserve"> II) </w:t>
      </w:r>
      <w:r>
        <w:t>et les observations ci-dessous</w:t>
      </w:r>
      <w:r w:rsidR="00103210">
        <w:t> </w:t>
      </w:r>
      <w:r w:rsidRPr="00412B78">
        <w:t>:</w:t>
      </w:r>
    </w:p>
    <w:p w14:paraId="1DBF2659" w14:textId="77777777" w:rsidR="007B7BE0" w:rsidRPr="00412B78" w:rsidRDefault="007B7BE0" w:rsidP="00103210">
      <w:pPr>
        <w:pStyle w:val="SingleTxtG"/>
        <w:ind w:left="2268" w:hanging="567"/>
      </w:pPr>
      <w:r w:rsidRPr="00412B78">
        <w:t>a)</w:t>
      </w:r>
      <w:r w:rsidRPr="00412B78">
        <w:tab/>
        <w:t>Pour les décisions concernant les amendements propos</w:t>
      </w:r>
      <w:r>
        <w:t>é</w:t>
      </w:r>
      <w:r w:rsidRPr="00412B78">
        <w:t xml:space="preserve">s aux paragraphes 4.2.5.3 </w:t>
      </w:r>
      <w:r>
        <w:t>et</w:t>
      </w:r>
      <w:r w:rsidRPr="00412B78">
        <w:t xml:space="preserve"> 6.7.2.19.6.2 </w:t>
      </w:r>
      <w:r>
        <w:t>dans les</w:t>
      </w:r>
      <w:r w:rsidRPr="00412B78">
        <w:t xml:space="preserve"> documents INF.31 </w:t>
      </w:r>
      <w:r>
        <w:t>et</w:t>
      </w:r>
      <w:r w:rsidRPr="00412B78">
        <w:t xml:space="preserve"> INF.24, </w:t>
      </w:r>
      <w:r>
        <w:t xml:space="preserve">voir le </w:t>
      </w:r>
      <w:r w:rsidRPr="00412B78">
        <w:t>paragraph</w:t>
      </w:r>
      <w:r>
        <w:t>e</w:t>
      </w:r>
      <w:r w:rsidRPr="00412B78">
        <w:t xml:space="preserve"> 9 </w:t>
      </w:r>
      <w:r>
        <w:t>ci-dessus ;</w:t>
      </w:r>
    </w:p>
    <w:p w14:paraId="492EDCC1" w14:textId="197BC986" w:rsidR="007B7BE0" w:rsidRPr="00412B78" w:rsidRDefault="007B7BE0" w:rsidP="00103210">
      <w:pPr>
        <w:pStyle w:val="SingleTxtG"/>
        <w:ind w:left="2268" w:hanging="567"/>
      </w:pPr>
      <w:r w:rsidRPr="00412B78">
        <w:t>b)</w:t>
      </w:r>
      <w:r w:rsidRPr="00412B78">
        <w:tab/>
      </w:r>
      <w:r w:rsidRPr="00412B78">
        <w:tab/>
        <w:t>En ce qui concerne les solutions propos</w:t>
      </w:r>
      <w:r>
        <w:t>ée</w:t>
      </w:r>
      <w:r w:rsidRPr="00412B78">
        <w:t>s pour le transport d</w:t>
      </w:r>
      <w:r>
        <w:t>u</w:t>
      </w:r>
      <w:r w:rsidRPr="00412B78">
        <w:t xml:space="preserve"> </w:t>
      </w:r>
      <w:r w:rsidR="00103210">
        <w:rPr>
          <w:rFonts w:eastAsia="MS Mincho"/>
          <w:szCs w:val="22"/>
        </w:rPr>
        <w:t>No </w:t>
      </w:r>
      <w:r w:rsidRPr="00412B78">
        <w:t>ONU</w:t>
      </w:r>
      <w:r w:rsidR="00103210">
        <w:t> </w:t>
      </w:r>
      <w:r w:rsidRPr="00412B78">
        <w:t>3549 (voir document ECE/TRANS/WP.15/AC.1/2019/22, par</w:t>
      </w:r>
      <w:r w:rsidR="00103210">
        <w:t>. </w:t>
      </w:r>
      <w:r w:rsidRPr="00412B78">
        <w:t>32), toutes les</w:t>
      </w:r>
      <w:r w:rsidR="0057350D">
        <w:t xml:space="preserve"> </w:t>
      </w:r>
      <w:r w:rsidRPr="00412B78">
        <w:t xml:space="preserve">délégations </w:t>
      </w:r>
      <w:r>
        <w:t xml:space="preserve">qui se sont exprimées ont donné la préférence à la solution </w:t>
      </w:r>
      <w:r w:rsidR="00A70778" w:rsidRPr="002D76F4">
        <w:rPr>
          <w:rFonts w:eastAsia="MS Mincho"/>
          <w:szCs w:val="22"/>
        </w:rPr>
        <w:t>n</w:t>
      </w:r>
      <w:r w:rsidR="00A70778" w:rsidRPr="002D76F4">
        <w:rPr>
          <w:rFonts w:eastAsia="MS Mincho"/>
          <w:szCs w:val="22"/>
          <w:vertAlign w:val="superscript"/>
        </w:rPr>
        <w:t>o</w:t>
      </w:r>
      <w:r w:rsidR="00A70778">
        <w:t> </w:t>
      </w:r>
      <w:r w:rsidRPr="00412B78">
        <w:t xml:space="preserve">1 </w:t>
      </w:r>
      <w:r>
        <w:t>parce qu</w:t>
      </w:r>
      <w:r w:rsidR="00333FCB">
        <w:t>’</w:t>
      </w:r>
      <w:r>
        <w:t>elles ont estimé que le refroidissement de ces marchandises n</w:t>
      </w:r>
      <w:r w:rsidR="00333FCB">
        <w:t>’</w:t>
      </w:r>
      <w:r>
        <w:t>était pas nécessaire pendant le transport</w:t>
      </w:r>
      <w:r w:rsidRPr="00412B78">
        <w:t xml:space="preserve">. La Réunion commune a adopté la solution </w:t>
      </w:r>
      <w:r w:rsidR="00103210" w:rsidRPr="002D76F4">
        <w:rPr>
          <w:rFonts w:eastAsia="MS Mincho"/>
          <w:szCs w:val="22"/>
        </w:rPr>
        <w:t>n</w:t>
      </w:r>
      <w:r w:rsidR="00103210" w:rsidRPr="002D76F4">
        <w:rPr>
          <w:rFonts w:eastAsia="MS Mincho"/>
          <w:szCs w:val="22"/>
          <w:vertAlign w:val="superscript"/>
        </w:rPr>
        <w:t>o</w:t>
      </w:r>
      <w:r w:rsidR="00103210">
        <w:t> </w:t>
      </w:r>
      <w:r w:rsidRPr="00412B78">
        <w:t>1, après avoir remplacé dans la col</w:t>
      </w:r>
      <w:r>
        <w:t>on</w:t>
      </w:r>
      <w:r w:rsidRPr="00412B78">
        <w:t>n</w:t>
      </w:r>
      <w:r>
        <w:t>e</w:t>
      </w:r>
      <w:r w:rsidRPr="00412B78">
        <w:t xml:space="preserve"> 9</w:t>
      </w:r>
      <w:r w:rsidR="00103210">
        <w:t xml:space="preserve"> </w:t>
      </w:r>
      <w:r w:rsidRPr="00412B78">
        <w:t xml:space="preserve">b) </w:t>
      </w:r>
      <w:r>
        <w:t>« </w:t>
      </w:r>
      <w:r w:rsidRPr="00412B78">
        <w:t>MP6</w:t>
      </w:r>
      <w:r>
        <w:t> »</w:t>
      </w:r>
      <w:r w:rsidRPr="00412B78">
        <w:t xml:space="preserve"> </w:t>
      </w:r>
      <w:r>
        <w:t>par « </w:t>
      </w:r>
      <w:r w:rsidRPr="00412B78">
        <w:t>MP2</w:t>
      </w:r>
      <w:r>
        <w:t> »</w:t>
      </w:r>
      <w:r w:rsidRPr="00412B78">
        <w:t xml:space="preserve"> </w:t>
      </w:r>
      <w:r>
        <w:t>et supprimé, dans la colonne</w:t>
      </w:r>
      <w:r w:rsidRPr="00412B78">
        <w:t xml:space="preserve"> 6</w:t>
      </w:r>
      <w:r>
        <w:t>,</w:t>
      </w:r>
      <w:r w:rsidR="0057350D">
        <w:t xml:space="preserve"> </w:t>
      </w:r>
      <w:r>
        <w:t>la disposition</w:t>
      </w:r>
      <w:r w:rsidRPr="00412B78">
        <w:t xml:space="preserve"> spécial</w:t>
      </w:r>
      <w:r>
        <w:t>e</w:t>
      </w:r>
      <w:r w:rsidRPr="00412B78">
        <w:t xml:space="preserve"> 6XX</w:t>
      </w:r>
      <w:r>
        <w:t xml:space="preserve"> proposée</w:t>
      </w:r>
      <w:r w:rsidRPr="00412B78">
        <w:t xml:space="preserve"> (</w:t>
      </w:r>
      <w:r>
        <w:t>voir</w:t>
      </w:r>
      <w:r w:rsidRPr="00412B78">
        <w:t xml:space="preserve"> annex</w:t>
      </w:r>
      <w:r>
        <w:t>e</w:t>
      </w:r>
      <w:r w:rsidRPr="00412B78">
        <w:t xml:space="preserve"> II)</w:t>
      </w:r>
      <w:r>
        <w:t> ;</w:t>
      </w:r>
    </w:p>
    <w:p w14:paraId="25D7A956" w14:textId="1BDC100E" w:rsidR="007B7BE0" w:rsidRPr="0076038D" w:rsidRDefault="007B7BE0" w:rsidP="00103210">
      <w:pPr>
        <w:pStyle w:val="SingleTxtG"/>
        <w:ind w:left="2268" w:hanging="567"/>
      </w:pPr>
      <w:r w:rsidRPr="0076038D">
        <w:t>c)</w:t>
      </w:r>
      <w:r w:rsidRPr="0076038D">
        <w:tab/>
      </w:r>
      <w:r w:rsidR="00103210">
        <w:t>À</w:t>
      </w:r>
      <w:r w:rsidRPr="0076038D">
        <w:t xml:space="preserve"> propos de l</w:t>
      </w:r>
      <w:r w:rsidR="00333FCB">
        <w:t>’</w:t>
      </w:r>
      <w:r w:rsidRPr="0076038D">
        <w:t xml:space="preserve">exemption des </w:t>
      </w:r>
      <w:r w:rsidR="00103210">
        <w:t>« </w:t>
      </w:r>
      <w:r w:rsidRPr="0076038D">
        <w:t>matières animale</w:t>
      </w:r>
      <w:r>
        <w:t>s</w:t>
      </w:r>
      <w:r w:rsidR="00103210">
        <w:t> »</w:t>
      </w:r>
      <w:r w:rsidRPr="0076038D">
        <w:t xml:space="preserve"> de la catégorie A dans le tableau 1.10.3.1.2 (voir ECE/TRANS/WP.15/AC.1/2019/22, paragraphes 14 à 16), un membr</w:t>
      </w:r>
      <w:r>
        <w:t>e</w:t>
      </w:r>
      <w:r w:rsidR="0057350D">
        <w:t xml:space="preserve"> </w:t>
      </w:r>
      <w:r w:rsidRPr="0076038D">
        <w:t>du secrétariat a informé la Réunion commune que, par manqu</w:t>
      </w:r>
      <w:r>
        <w:t>e</w:t>
      </w:r>
      <w:r w:rsidRPr="0076038D">
        <w:t xml:space="preserve"> de temps, le</w:t>
      </w:r>
      <w:r>
        <w:t xml:space="preserve"> Sous-Comité TMD avait reporté l</w:t>
      </w:r>
      <w:r w:rsidR="00333FCB">
        <w:t>’</w:t>
      </w:r>
      <w:r>
        <w:t>examen de toutes les questions découlant du rapport du Groupe de travail spécial à sa session de décembre 2019.</w:t>
      </w:r>
      <w:r w:rsidR="0057350D">
        <w:t xml:space="preserve"> </w:t>
      </w:r>
      <w:r w:rsidR="00103210">
        <w:t>À</w:t>
      </w:r>
      <w:r w:rsidRPr="0076038D">
        <w:t xml:space="preserve"> l</w:t>
      </w:r>
      <w:r w:rsidR="00333FCB">
        <w:t>’</w:t>
      </w:r>
      <w:r w:rsidRPr="0076038D">
        <w:t>issue d</w:t>
      </w:r>
      <w:r w:rsidR="00333FCB">
        <w:t>’</w:t>
      </w:r>
      <w:r w:rsidRPr="0076038D">
        <w:t>un échange de vues,</w:t>
      </w:r>
      <w:r w:rsidR="0057350D">
        <w:t xml:space="preserve"> </w:t>
      </w:r>
      <w:r w:rsidRPr="0076038D">
        <w:t>la Réunion commune a décidé de maintenir cette exemption dans</w:t>
      </w:r>
      <w:r w:rsidR="0057350D">
        <w:t xml:space="preserve"> </w:t>
      </w:r>
      <w:r>
        <w:t>le</w:t>
      </w:r>
      <w:r w:rsidRPr="0076038D">
        <w:t xml:space="preserve"> RID/ADR/ADN </w:t>
      </w:r>
      <w:r>
        <w:t>jusqu</w:t>
      </w:r>
      <w:r w:rsidR="00333FCB">
        <w:t>’</w:t>
      </w:r>
      <w:r>
        <w:t>à ce que la question soit réexaminée par le Sous-Comité TMD</w:t>
      </w:r>
      <w:r w:rsidRPr="0076038D">
        <w:t xml:space="preserve"> (</w:t>
      </w:r>
      <w:r>
        <w:t>voir</w:t>
      </w:r>
      <w:r w:rsidRPr="0076038D">
        <w:t xml:space="preserve"> annex</w:t>
      </w:r>
      <w:r>
        <w:t>e</w:t>
      </w:r>
      <w:r w:rsidRPr="0076038D">
        <w:t xml:space="preserve"> II). Quelques délégations ont estimé que les matières animal</w:t>
      </w:r>
      <w:r>
        <w:t>es</w:t>
      </w:r>
      <w:r w:rsidRPr="0076038D">
        <w:t xml:space="preserve"> et les déchets médicaux de la </w:t>
      </w:r>
      <w:r>
        <w:t>c</w:t>
      </w:r>
      <w:r w:rsidRPr="0076038D">
        <w:t>at</w:t>
      </w:r>
      <w:r>
        <w:t>é</w:t>
      </w:r>
      <w:r w:rsidRPr="0076038D">
        <w:t>gor</w:t>
      </w:r>
      <w:r>
        <w:t>ie</w:t>
      </w:r>
      <w:r w:rsidRPr="0076038D">
        <w:t xml:space="preserve"> A </w:t>
      </w:r>
      <w:r>
        <w:t>devraient être traités de la même façon en ce qui concerne les prescriptions de sécurité ;</w:t>
      </w:r>
      <w:r w:rsidRPr="0076038D">
        <w:t xml:space="preserve"> </w:t>
      </w:r>
    </w:p>
    <w:p w14:paraId="5D881E2F" w14:textId="77777777" w:rsidR="007B7BE0" w:rsidRPr="0076038D" w:rsidRDefault="007B7BE0" w:rsidP="00103210">
      <w:pPr>
        <w:pStyle w:val="SingleTxtG"/>
        <w:ind w:left="2268" w:hanging="567"/>
      </w:pPr>
      <w:r w:rsidRPr="0076038D">
        <w:t>d)</w:t>
      </w:r>
      <w:r w:rsidRPr="0076038D">
        <w:tab/>
        <w:t>Ayant not</w:t>
      </w:r>
      <w:r>
        <w:t>é</w:t>
      </w:r>
      <w:r w:rsidRPr="0076038D">
        <w:t xml:space="preserve"> que le Groupe de travail des explosifs du Sous-Comité </w:t>
      </w:r>
      <w:r>
        <w:t>T</w:t>
      </w:r>
      <w:r w:rsidRPr="0076038D">
        <w:t>MD avait examin</w:t>
      </w:r>
      <w:r>
        <w:t>é</w:t>
      </w:r>
      <w:r w:rsidRPr="0076038D">
        <w:t xml:space="preserve"> et approuvé les modifications de forme du paragraphe 2.2.1.1.7.2, </w:t>
      </w:r>
      <w:r>
        <w:t>la Réunion commune a décidé de supprimer les crochets et de conserver le texte proposé</w:t>
      </w:r>
      <w:r w:rsidR="0057350D">
        <w:t xml:space="preserve"> </w:t>
      </w:r>
      <w:r w:rsidRPr="0076038D">
        <w:t>(</w:t>
      </w:r>
      <w:r>
        <w:t>voir</w:t>
      </w:r>
      <w:r w:rsidRPr="0076038D">
        <w:t xml:space="preserve"> annex</w:t>
      </w:r>
      <w:r>
        <w:t>e</w:t>
      </w:r>
      <w:r w:rsidRPr="0076038D">
        <w:t xml:space="preserve"> II)</w:t>
      </w:r>
      <w:r>
        <w:t> ;</w:t>
      </w:r>
    </w:p>
    <w:p w14:paraId="49FAD807" w14:textId="132E4090" w:rsidR="007B7BE0" w:rsidRPr="00EE648A" w:rsidRDefault="007B7BE0" w:rsidP="00103210">
      <w:pPr>
        <w:pStyle w:val="SingleTxtG"/>
        <w:ind w:left="2268" w:hanging="567"/>
      </w:pPr>
      <w:r w:rsidRPr="0076038D">
        <w:t>e)</w:t>
      </w:r>
      <w:r w:rsidRPr="0076038D">
        <w:tab/>
        <w:t>La Réunion commune a not</w:t>
      </w:r>
      <w:r>
        <w:t>é</w:t>
      </w:r>
      <w:r w:rsidRPr="0076038D">
        <w:t xml:space="preserve"> que l</w:t>
      </w:r>
      <w:r w:rsidR="00333FCB">
        <w:t>’</w:t>
      </w:r>
      <w:r w:rsidRPr="0076038D">
        <w:t xml:space="preserve">utilisation du terme </w:t>
      </w:r>
      <w:r w:rsidR="00103210">
        <w:t>« </w:t>
      </w:r>
      <w:proofErr w:type="spellStart"/>
      <w:r w:rsidRPr="0076038D">
        <w:t>a</w:t>
      </w:r>
      <w:r>
        <w:t>ssignment</w:t>
      </w:r>
      <w:proofErr w:type="spellEnd"/>
      <w:r w:rsidR="00103210">
        <w:t> »</w:t>
      </w:r>
      <w:r w:rsidRPr="0076038D">
        <w:t xml:space="preserve"> à la place du terme </w:t>
      </w:r>
      <w:r w:rsidR="00103210">
        <w:t>« </w:t>
      </w:r>
      <w:r w:rsidRPr="0076038D">
        <w:t>classification</w:t>
      </w:r>
      <w:r w:rsidR="00103210">
        <w:t> »</w:t>
      </w:r>
      <w:r w:rsidRPr="0076038D">
        <w:t xml:space="preserve"> dans le paragraphe</w:t>
      </w:r>
      <w:r w:rsidR="0057350D">
        <w:t xml:space="preserve"> </w:t>
      </w:r>
      <w:r w:rsidRPr="0076038D">
        <w:t xml:space="preserve">2.2.8.1.5.2 </w:t>
      </w:r>
      <w:r>
        <w:t xml:space="preserve">était correcte dans la version anglaise. </w:t>
      </w:r>
      <w:r w:rsidRPr="0076038D">
        <w:t>Il a été noté que le Sous-Comité TMD</w:t>
      </w:r>
      <w:r w:rsidR="0057350D">
        <w:t xml:space="preserve"> </w:t>
      </w:r>
      <w:r w:rsidRPr="0076038D">
        <w:t xml:space="preserve">avait examiné cette question à sa session de </w:t>
      </w:r>
      <w:r>
        <w:t>juillet</w:t>
      </w:r>
      <w:r w:rsidRPr="0076038D">
        <w:t xml:space="preserve"> 2019 </w:t>
      </w:r>
      <w:r>
        <w:t>et avait adopté des</w:t>
      </w:r>
      <w:r w:rsidRPr="0076038D">
        <w:t xml:space="preserve"> amend</w:t>
      </w:r>
      <w:r>
        <w:t>e</w:t>
      </w:r>
      <w:r w:rsidRPr="0076038D">
        <w:t xml:space="preserve">ments </w:t>
      </w:r>
      <w:r>
        <w:t>au paragraphe</w:t>
      </w:r>
      <w:r w:rsidRPr="0076038D">
        <w:t xml:space="preserve"> 2.8.3.2 </w:t>
      </w:r>
      <w:r>
        <w:t>du Règlement type</w:t>
      </w:r>
      <w:r w:rsidRPr="0076038D">
        <w:t xml:space="preserve"> (</w:t>
      </w:r>
      <w:r>
        <w:t>voir</w:t>
      </w:r>
      <w:r w:rsidRPr="0076038D">
        <w:t xml:space="preserve"> ST/SG/AC.10/C.3/110, paragraph</w:t>
      </w:r>
      <w:r>
        <w:t>e</w:t>
      </w:r>
      <w:r w:rsidRPr="0076038D">
        <w:t xml:space="preserve"> 104 </w:t>
      </w:r>
      <w:r>
        <w:t>et</w:t>
      </w:r>
      <w:r w:rsidR="0057350D">
        <w:t xml:space="preserve"> </w:t>
      </w:r>
      <w:r w:rsidRPr="0076038D">
        <w:t>annex</w:t>
      </w:r>
      <w:r>
        <w:t>e</w:t>
      </w:r>
      <w:r w:rsidRPr="0076038D">
        <w:t>). Cependant, la Réunion commune a constaté que le libellé de la version française du paragraphe 2.2.8.1.5.2 n</w:t>
      </w:r>
      <w:r w:rsidR="00333FCB">
        <w:t>’</w:t>
      </w:r>
      <w:r>
        <w:t xml:space="preserve">était pas aligné sur celui de la </w:t>
      </w:r>
      <w:r w:rsidRPr="0076038D">
        <w:t xml:space="preserve">version </w:t>
      </w:r>
      <w:r>
        <w:t>anglaise et que cette dernière utilisait d</w:t>
      </w:r>
      <w:r w:rsidR="00333FCB">
        <w:t>’</w:t>
      </w:r>
      <w:r>
        <w:t>autres termes pour rendre l</w:t>
      </w:r>
      <w:r w:rsidR="00333FCB">
        <w:t>’</w:t>
      </w:r>
      <w:r>
        <w:t>idée d</w:t>
      </w:r>
      <w:r w:rsidR="00333FCB">
        <w:t>’</w:t>
      </w:r>
      <w:r>
        <w:t>« affectation » à un « groupe d</w:t>
      </w:r>
      <w:r w:rsidR="00333FCB">
        <w:t>’</w:t>
      </w:r>
      <w:r>
        <w:t xml:space="preserve">emballage ». </w:t>
      </w:r>
      <w:r w:rsidRPr="0076038D">
        <w:t>La Réunion commune a adopté l</w:t>
      </w:r>
      <w:r w:rsidR="00333FCB">
        <w:t>’</w:t>
      </w:r>
      <w:r w:rsidRPr="0076038D">
        <w:t xml:space="preserve">amendement </w:t>
      </w:r>
      <w:r>
        <w:t>a</w:t>
      </w:r>
      <w:r w:rsidRPr="0076038D">
        <w:t>u paragraphe 2.2.8.1.5.2 proposé dans le document ECE/TRANS/WP.15/AC.1/2019/22/Add.1 (voir annexe II) et</w:t>
      </w:r>
      <w:r>
        <w:t xml:space="preserve"> a conclu que les différences de termes utilisés dans le chapitre</w:t>
      </w:r>
      <w:r w:rsidRPr="0076038D">
        <w:t xml:space="preserve"> 2.8 </w:t>
      </w:r>
      <w:r>
        <w:t>devraient être portées à l</w:t>
      </w:r>
      <w:r w:rsidR="00333FCB">
        <w:t>’</w:t>
      </w:r>
      <w:r>
        <w:t>attention du Sous-Comité TMD</w:t>
      </w:r>
      <w:r w:rsidRPr="0076038D">
        <w:t xml:space="preserve">. </w:t>
      </w:r>
      <w:r w:rsidRPr="00EE648A">
        <w:t>Il a été not</w:t>
      </w:r>
      <w:r>
        <w:t>é</w:t>
      </w:r>
      <w:r w:rsidRPr="00EE648A">
        <w:t xml:space="preserve"> qu</w:t>
      </w:r>
      <w:r w:rsidR="00333FCB">
        <w:t>’</w:t>
      </w:r>
      <w:r w:rsidRPr="00EE648A">
        <w:t>une proposition présentée conjointement par les Pays</w:t>
      </w:r>
      <w:r>
        <w:t>-</w:t>
      </w:r>
      <w:r w:rsidRPr="00EE648A">
        <w:t>Bas et l</w:t>
      </w:r>
      <w:r w:rsidR="00333FCB">
        <w:t>’</w:t>
      </w:r>
      <w:r w:rsidRPr="00EE648A">
        <w:t xml:space="preserve">Union européenne </w:t>
      </w:r>
      <w:r>
        <w:t>serait soumise à la prochaine</w:t>
      </w:r>
      <w:r w:rsidRPr="00EE648A">
        <w:t xml:space="preserve"> session </w:t>
      </w:r>
      <w:r>
        <w:t>du Sous-Comité TMD</w:t>
      </w:r>
      <w:r w:rsidRPr="00EE648A">
        <w:t xml:space="preserve"> (ST/SG/AC.10/</w:t>
      </w:r>
      <w:r w:rsidR="00103210">
        <w:t xml:space="preserve"> </w:t>
      </w:r>
      <w:r w:rsidRPr="00EE648A">
        <w:t>C.3/2019/53)</w:t>
      </w:r>
      <w:r>
        <w:t> ;</w:t>
      </w:r>
    </w:p>
    <w:p w14:paraId="373E4E0C" w14:textId="71F54FC7" w:rsidR="007B7BE0" w:rsidRPr="00EE648A" w:rsidRDefault="007B7BE0" w:rsidP="00103210">
      <w:pPr>
        <w:pStyle w:val="SingleTxtG"/>
        <w:ind w:left="2268" w:hanging="567"/>
      </w:pPr>
      <w:r w:rsidRPr="00EE648A">
        <w:t>f)</w:t>
      </w:r>
      <w:r w:rsidRPr="00EE648A">
        <w:tab/>
      </w:r>
      <w:r w:rsidR="00103210">
        <w:t>À</w:t>
      </w:r>
      <w:r w:rsidRPr="00EE648A">
        <w:t xml:space="preserve"> la suite d</w:t>
      </w:r>
      <w:r w:rsidR="00333FCB">
        <w:t>’</w:t>
      </w:r>
      <w:r w:rsidRPr="00EE648A">
        <w:t>un échange de vues, la Réunion commune a conclu que les modifications propos</w:t>
      </w:r>
      <w:r>
        <w:t>ée</w:t>
      </w:r>
      <w:r w:rsidRPr="00EE648A">
        <w:t xml:space="preserve">s entre crochets au paragraphe 3.1.2.8.1.4 </w:t>
      </w:r>
      <w:r>
        <w:t>dans le document</w:t>
      </w:r>
      <w:r w:rsidR="0057350D">
        <w:t xml:space="preserve"> </w:t>
      </w:r>
      <w:r w:rsidRPr="00EE648A">
        <w:t xml:space="preserve">ECE/TRANS/WP.15/AC.1/2019/22/Add.1 </w:t>
      </w:r>
      <w:r>
        <w:t>n</w:t>
      </w:r>
      <w:r w:rsidR="00333FCB">
        <w:t>’</w:t>
      </w:r>
      <w:r>
        <w:t xml:space="preserve">apportaient aucune amélioration au texte et elle a décidé que celui-ci resterait aligné sur la </w:t>
      </w:r>
      <w:r>
        <w:lastRenderedPageBreak/>
        <w:t xml:space="preserve">disposition spéciale </w:t>
      </w:r>
      <w:r w:rsidRPr="00EE648A">
        <w:t xml:space="preserve">274 </w:t>
      </w:r>
      <w:r>
        <w:t>du Règlement type</w:t>
      </w:r>
      <w:r w:rsidRPr="00EE648A">
        <w:t xml:space="preserve">. Quant au texte figurant entre crochets </w:t>
      </w:r>
      <w:r>
        <w:t>dans</w:t>
      </w:r>
      <w:r w:rsidRPr="00EE648A">
        <w:t xml:space="preserve"> le</w:t>
      </w:r>
      <w:r w:rsidR="0057350D">
        <w:t xml:space="preserve"> </w:t>
      </w:r>
      <w:r w:rsidRPr="00EE648A">
        <w:t>3.1.2.8.1.4, il a été supprimé (</w:t>
      </w:r>
      <w:r>
        <w:t>voir</w:t>
      </w:r>
      <w:r w:rsidRPr="00EE648A">
        <w:t xml:space="preserve"> annex</w:t>
      </w:r>
      <w:r>
        <w:t>e</w:t>
      </w:r>
      <w:r w:rsidRPr="00EE648A">
        <w:t xml:space="preserve"> II)</w:t>
      </w:r>
      <w:r>
        <w:t> ;</w:t>
      </w:r>
    </w:p>
    <w:p w14:paraId="6C450377" w14:textId="5A43F0D5" w:rsidR="007B7BE0" w:rsidRPr="00EE648A" w:rsidRDefault="007B7BE0" w:rsidP="00103210">
      <w:pPr>
        <w:pStyle w:val="SingleTxtG"/>
        <w:ind w:left="2268" w:hanging="567"/>
      </w:pPr>
      <w:r w:rsidRPr="00EE648A">
        <w:t>g)</w:t>
      </w:r>
      <w:r w:rsidRPr="00EE648A">
        <w:tab/>
        <w:t>La Réunion commune a not</w:t>
      </w:r>
      <w:r>
        <w:t>é</w:t>
      </w:r>
      <w:r w:rsidRPr="00EE648A">
        <w:t xml:space="preserve"> que le Sous-Comité TMD avait examin</w:t>
      </w:r>
      <w:r>
        <w:t>é</w:t>
      </w:r>
      <w:r w:rsidRPr="00EE648A">
        <w:t xml:space="preserve"> l</w:t>
      </w:r>
      <w:r w:rsidR="00333FCB">
        <w:t>’</w:t>
      </w:r>
      <w:r w:rsidRPr="00EE648A">
        <w:t xml:space="preserve">utilisation du terme </w:t>
      </w:r>
      <w:r w:rsidR="00103210">
        <w:t>« </w:t>
      </w:r>
      <w:r>
        <w:t>engin de</w:t>
      </w:r>
      <w:r w:rsidRPr="00EE648A">
        <w:t xml:space="preserve"> transport</w:t>
      </w:r>
      <w:r w:rsidR="00103210">
        <w:t> »</w:t>
      </w:r>
      <w:r w:rsidRPr="00EE648A">
        <w:t xml:space="preserve"> </w:t>
      </w:r>
      <w:r>
        <w:t>à propos du No</w:t>
      </w:r>
      <w:r w:rsidR="00103210">
        <w:t> </w:t>
      </w:r>
      <w:r>
        <w:t>ONU</w:t>
      </w:r>
      <w:r w:rsidR="00103210">
        <w:t> </w:t>
      </w:r>
      <w:r w:rsidRPr="00EE648A">
        <w:t xml:space="preserve">3536 </w:t>
      </w:r>
      <w:r>
        <w:t>lors de sa cinquante-cinquième</w:t>
      </w:r>
      <w:r w:rsidRPr="00EE648A">
        <w:t xml:space="preserve"> session </w:t>
      </w:r>
      <w:r>
        <w:t>sans pouvoir parvenir à une</w:t>
      </w:r>
      <w:r w:rsidRPr="00EE648A">
        <w:t xml:space="preserve"> conclusion. En attendant que le Sous-Comité TMD réex</w:t>
      </w:r>
      <w:r>
        <w:t>a</w:t>
      </w:r>
      <w:r w:rsidRPr="00EE648A">
        <w:t xml:space="preserve">mine cette question, la Réunion commune a décidé de supprimer les crochets </w:t>
      </w:r>
      <w:r>
        <w:t>dans la disposition</w:t>
      </w:r>
      <w:r w:rsidRPr="00EE648A">
        <w:t xml:space="preserve"> sp</w:t>
      </w:r>
      <w:r>
        <w:t>é</w:t>
      </w:r>
      <w:r w:rsidRPr="00EE648A">
        <w:t>cial</w:t>
      </w:r>
      <w:r>
        <w:t>e</w:t>
      </w:r>
      <w:r w:rsidRPr="00EE648A">
        <w:t xml:space="preserve"> 360 (</w:t>
      </w:r>
      <w:r>
        <w:t>voir</w:t>
      </w:r>
      <w:r w:rsidRPr="00EE648A">
        <w:t xml:space="preserve"> annex</w:t>
      </w:r>
      <w:r>
        <w:t>e</w:t>
      </w:r>
      <w:r w:rsidRPr="00EE648A">
        <w:t xml:space="preserve"> II)</w:t>
      </w:r>
      <w:r>
        <w:t> ;</w:t>
      </w:r>
    </w:p>
    <w:p w14:paraId="2EA2D5A8" w14:textId="37C4EF84" w:rsidR="007B7BE0" w:rsidRPr="00EE648A" w:rsidRDefault="007B7BE0" w:rsidP="00103210">
      <w:pPr>
        <w:pStyle w:val="SingleTxtG"/>
        <w:ind w:left="2268" w:hanging="567"/>
      </w:pPr>
      <w:r w:rsidRPr="00EE648A">
        <w:t>h)</w:t>
      </w:r>
      <w:r w:rsidRPr="00EE648A">
        <w:tab/>
      </w:r>
      <w:r w:rsidR="00A70778">
        <w:t>À</w:t>
      </w:r>
      <w:r w:rsidRPr="00EE648A">
        <w:t xml:space="preserve"> propos de l</w:t>
      </w:r>
      <w:r w:rsidR="00333FCB">
        <w:t>’</w:t>
      </w:r>
      <w:r w:rsidRPr="00EE648A">
        <w:t>amendement propos</w:t>
      </w:r>
      <w:r>
        <w:t>é</w:t>
      </w:r>
      <w:r w:rsidRPr="00EE648A">
        <w:t xml:space="preserve"> à la disposition 376 e) dans le document INF.31, qui </w:t>
      </w:r>
      <w:r>
        <w:t>présente les différents termes utilisés dans la version française pour traduire les termes anglais « </w:t>
      </w:r>
      <w:proofErr w:type="spellStart"/>
      <w:r>
        <w:t>safety</w:t>
      </w:r>
      <w:proofErr w:type="spellEnd"/>
      <w:r>
        <w:t xml:space="preserve"> </w:t>
      </w:r>
      <w:proofErr w:type="spellStart"/>
      <w:r>
        <w:t>features</w:t>
      </w:r>
      <w:proofErr w:type="spellEnd"/>
      <w:r>
        <w:t xml:space="preserve"> », la Réunion commune a décidé que les termes </w:t>
      </w:r>
      <w:r w:rsidR="00A70778">
        <w:t>« </w:t>
      </w:r>
      <w:r>
        <w:t>éléments de sécurité</w:t>
      </w:r>
      <w:r w:rsidR="00A70778">
        <w:t> »</w:t>
      </w:r>
      <w:r>
        <w:t xml:space="preserve"> devraient être utilisés tout au long de la disposition spéciale </w:t>
      </w:r>
      <w:r w:rsidRPr="00EE648A">
        <w:t>376 (</w:t>
      </w:r>
      <w:r>
        <w:t>voir</w:t>
      </w:r>
      <w:r w:rsidRPr="00EE648A">
        <w:t xml:space="preserve"> annex</w:t>
      </w:r>
      <w:r>
        <w:t>e</w:t>
      </w:r>
      <w:r w:rsidRPr="00EE648A">
        <w:t xml:space="preserve"> II)</w:t>
      </w:r>
      <w:r>
        <w:t> ;</w:t>
      </w:r>
    </w:p>
    <w:p w14:paraId="37EB5763" w14:textId="05F5A499" w:rsidR="007B7BE0" w:rsidRPr="00EE648A" w:rsidRDefault="007B7BE0" w:rsidP="00103210">
      <w:pPr>
        <w:pStyle w:val="SingleTxtG"/>
        <w:ind w:left="2268" w:hanging="567"/>
      </w:pPr>
      <w:bookmarkStart w:id="1" w:name="_Hlk19700353"/>
      <w:r w:rsidRPr="00EE648A">
        <w:t>i)</w:t>
      </w:r>
      <w:r w:rsidRPr="00EE648A">
        <w:tab/>
        <w:t>L</w:t>
      </w:r>
      <w:r w:rsidR="00333FCB">
        <w:t>’</w:t>
      </w:r>
      <w:r w:rsidRPr="00EE648A">
        <w:t>amend</w:t>
      </w:r>
      <w:r>
        <w:t>e</w:t>
      </w:r>
      <w:r w:rsidRPr="00EE648A">
        <w:t xml:space="preserve">ment </w:t>
      </w:r>
      <w:r>
        <w:t>a</w:t>
      </w:r>
      <w:r w:rsidRPr="00EE648A">
        <w:t>u paragraphe 4.1.8.6 proposé dans le document INF.30 (propos</w:t>
      </w:r>
      <w:r>
        <w:t xml:space="preserve">ition </w:t>
      </w:r>
      <w:r w:rsidR="00103210" w:rsidRPr="002D76F4">
        <w:rPr>
          <w:rFonts w:eastAsia="MS Mincho"/>
          <w:szCs w:val="22"/>
        </w:rPr>
        <w:t>n</w:t>
      </w:r>
      <w:r w:rsidR="00103210" w:rsidRPr="002D76F4">
        <w:rPr>
          <w:rFonts w:eastAsia="MS Mincho"/>
          <w:szCs w:val="22"/>
          <w:vertAlign w:val="superscript"/>
        </w:rPr>
        <w:t>o</w:t>
      </w:r>
      <w:r w:rsidR="00103210">
        <w:t> </w:t>
      </w:r>
      <w:r w:rsidRPr="00EE648A">
        <w:t xml:space="preserve">1) </w:t>
      </w:r>
      <w:r>
        <w:t>a été adopté</w:t>
      </w:r>
      <w:r w:rsidRPr="00EE648A">
        <w:t xml:space="preserve"> (</w:t>
      </w:r>
      <w:r>
        <w:t>voir</w:t>
      </w:r>
      <w:r w:rsidRPr="00EE648A">
        <w:t xml:space="preserve"> annex</w:t>
      </w:r>
      <w:r>
        <w:t>e</w:t>
      </w:r>
      <w:r w:rsidRPr="00EE648A">
        <w:t xml:space="preserve"> II). </w:t>
      </w:r>
      <w:r w:rsidR="00103210">
        <w:t>À</w:t>
      </w:r>
      <w:r w:rsidRPr="00EE648A">
        <w:t xml:space="preserve"> l</w:t>
      </w:r>
      <w:r w:rsidR="00333FCB">
        <w:t>’</w:t>
      </w:r>
      <w:r w:rsidRPr="00EE648A">
        <w:t>issue d</w:t>
      </w:r>
      <w:r w:rsidR="00333FCB">
        <w:t>’</w:t>
      </w:r>
      <w:r w:rsidRPr="00EE648A">
        <w:t>un échange de vues, le représentant de la Suisse s</w:t>
      </w:r>
      <w:r w:rsidR="00333FCB">
        <w:t>’</w:t>
      </w:r>
      <w:r w:rsidRPr="00EE648A">
        <w:t>et propos</w:t>
      </w:r>
      <w:r>
        <w:t>é</w:t>
      </w:r>
      <w:r w:rsidRPr="00EE648A">
        <w:t xml:space="preserve"> pour pr</w:t>
      </w:r>
      <w:r>
        <w:t>é</w:t>
      </w:r>
      <w:r w:rsidRPr="00EE648A">
        <w:t xml:space="preserve">senter une version révisée de la proposition </w:t>
      </w:r>
      <w:r w:rsidR="00103210" w:rsidRPr="002D76F4">
        <w:rPr>
          <w:rFonts w:eastAsia="MS Mincho"/>
          <w:szCs w:val="22"/>
        </w:rPr>
        <w:t>n</w:t>
      </w:r>
      <w:r w:rsidR="00103210" w:rsidRPr="002D76F4">
        <w:rPr>
          <w:rFonts w:eastAsia="MS Mincho"/>
          <w:szCs w:val="22"/>
          <w:vertAlign w:val="superscript"/>
        </w:rPr>
        <w:t>o</w:t>
      </w:r>
      <w:r w:rsidR="00103210">
        <w:t> </w:t>
      </w:r>
      <w:r>
        <w:t>2 au Sous-Comité TMD</w:t>
      </w:r>
      <w:r w:rsidRPr="00EE648A">
        <w:t>,</w:t>
      </w:r>
      <w:r>
        <w:t xml:space="preserve"> afin de préciser la question, y compris dans une perspective multimodale ;</w:t>
      </w:r>
      <w:r w:rsidRPr="00EE648A">
        <w:t xml:space="preserve"> </w:t>
      </w:r>
    </w:p>
    <w:p w14:paraId="5A844422" w14:textId="6AED9CE7" w:rsidR="007B7BE0" w:rsidRPr="007670F8" w:rsidRDefault="007B7BE0" w:rsidP="007B7BE0">
      <w:pPr>
        <w:pStyle w:val="SingleTxtG"/>
        <w:spacing w:before="120"/>
        <w:ind w:left="2268" w:hanging="567"/>
      </w:pPr>
      <w:r w:rsidRPr="007670F8">
        <w:t>j)</w:t>
      </w:r>
      <w:r w:rsidRPr="007670F8">
        <w:tab/>
      </w:r>
      <w:r w:rsidR="00103210">
        <w:t>L</w:t>
      </w:r>
      <w:r w:rsidRPr="007670F8">
        <w:t>a Réunion commune a décidé que le libellé de l</w:t>
      </w:r>
      <w:r w:rsidR="00333FCB">
        <w:t>’</w:t>
      </w:r>
      <w:r w:rsidRPr="007670F8">
        <w:t xml:space="preserve">instruction </w:t>
      </w:r>
      <w:r>
        <w:t>P801</w:t>
      </w:r>
      <w:r w:rsidRPr="007670F8">
        <w:t xml:space="preserve"> resterait aligné sur celui du Règlement type et elle a donc décidé de supprimer les croche</w:t>
      </w:r>
      <w:r>
        <w:t>ts entourant cette instruction d</w:t>
      </w:r>
      <w:r w:rsidR="00333FCB">
        <w:t>’</w:t>
      </w:r>
      <w:r>
        <w:t>emballage dans le document</w:t>
      </w:r>
      <w:r w:rsidRPr="007670F8">
        <w:t xml:space="preserve"> ECE/TRANS/WP.15/AC.1/2019/22/Add.1 (</w:t>
      </w:r>
      <w:r>
        <w:t>voir</w:t>
      </w:r>
      <w:r w:rsidRPr="007670F8">
        <w:t xml:space="preserve"> annex</w:t>
      </w:r>
      <w:r>
        <w:t>e</w:t>
      </w:r>
      <w:r w:rsidRPr="007670F8">
        <w:t xml:space="preserve"> II). Étant donné que les corrections propos</w:t>
      </w:r>
      <w:r>
        <w:t>é</w:t>
      </w:r>
      <w:r w:rsidRPr="007670F8">
        <w:t>es par le Groupe de travail spécial ont aussi été transmises au Sous-Comité TMD aux fins d</w:t>
      </w:r>
      <w:r w:rsidR="00333FCB">
        <w:t>’</w:t>
      </w:r>
      <w:r w:rsidRPr="007670F8">
        <w:t>examen à sa cinquante-</w:t>
      </w:r>
      <w:r>
        <w:t>sixième session</w:t>
      </w:r>
      <w:r w:rsidR="0057350D">
        <w:t xml:space="preserve"> </w:t>
      </w:r>
      <w:r w:rsidRPr="007670F8">
        <w:t>(</w:t>
      </w:r>
      <w:r>
        <w:t>voir</w:t>
      </w:r>
      <w:r w:rsidRPr="007670F8">
        <w:t xml:space="preserve"> ST/SG/AC.10/C.3/2019/69), </w:t>
      </w:r>
      <w:r>
        <w:t>l</w:t>
      </w:r>
      <w:r w:rsidRPr="007670F8">
        <w:t>e secr</w:t>
      </w:r>
      <w:r>
        <w:t>é</w:t>
      </w:r>
      <w:r w:rsidRPr="007670F8">
        <w:t xml:space="preserve">tariat </w:t>
      </w:r>
      <w:r>
        <w:t>informera le Sous-Comité TMD en conséquence ;</w:t>
      </w:r>
    </w:p>
    <w:p w14:paraId="1F36BE05" w14:textId="0F137F08" w:rsidR="007B7BE0" w:rsidRPr="007670F8" w:rsidRDefault="007B7BE0" w:rsidP="00103210">
      <w:pPr>
        <w:pStyle w:val="SingleTxtG"/>
        <w:ind w:left="2268" w:hanging="567"/>
      </w:pPr>
      <w:r w:rsidRPr="007670F8">
        <w:t>k)</w:t>
      </w:r>
      <w:r w:rsidRPr="007670F8">
        <w:tab/>
        <w:t>Le secrétariat</w:t>
      </w:r>
      <w:r w:rsidR="0057350D">
        <w:t xml:space="preserve"> </w:t>
      </w:r>
      <w:r w:rsidRPr="007670F8">
        <w:t>a</w:t>
      </w:r>
      <w:r>
        <w:t xml:space="preserve"> </w:t>
      </w:r>
      <w:r w:rsidRPr="007670F8">
        <w:t>inform</w:t>
      </w:r>
      <w:r>
        <w:t>é</w:t>
      </w:r>
      <w:r w:rsidRPr="007670F8">
        <w:t xml:space="preserve"> la Réunion commune qu</w:t>
      </w:r>
      <w:r w:rsidR="00333FCB">
        <w:t>’</w:t>
      </w:r>
      <w:r w:rsidRPr="007670F8">
        <w:t xml:space="preserve">un document portant sur la question de la traduction des termes </w:t>
      </w:r>
      <w:r w:rsidR="00103210">
        <w:t>« </w:t>
      </w:r>
      <w:proofErr w:type="spellStart"/>
      <w:r w:rsidRPr="007670F8">
        <w:t>safety</w:t>
      </w:r>
      <w:proofErr w:type="spellEnd"/>
      <w:r w:rsidR="00103210">
        <w:t> »</w:t>
      </w:r>
      <w:r w:rsidRPr="007670F8">
        <w:t xml:space="preserve"> et </w:t>
      </w:r>
      <w:r w:rsidR="00103210">
        <w:t>« </w:t>
      </w:r>
      <w:proofErr w:type="spellStart"/>
      <w:r w:rsidRPr="007670F8">
        <w:t>security</w:t>
      </w:r>
      <w:proofErr w:type="spellEnd"/>
      <w:r w:rsidR="00103210">
        <w:t> »</w:t>
      </w:r>
      <w:r w:rsidRPr="007670F8">
        <w:t xml:space="preserve"> dans la version française du Règ</w:t>
      </w:r>
      <w:r>
        <w:t>lement type à propos du transport des matières radioactives serait examiné par le Sous-Comité TMD à sa cinquante-sixième session</w:t>
      </w:r>
      <w:r w:rsidRPr="007670F8">
        <w:t xml:space="preserve"> (</w:t>
      </w:r>
      <w:r>
        <w:t xml:space="preserve">voir </w:t>
      </w:r>
      <w:r w:rsidRPr="007670F8">
        <w:t>ST/SG/AC.10/C.3/2019/70). La Réunion commune a décidé de reporter l</w:t>
      </w:r>
      <w:r w:rsidR="00333FCB">
        <w:t>’</w:t>
      </w:r>
      <w:r w:rsidRPr="007670F8">
        <w:t>examen des modifications propos</w:t>
      </w:r>
      <w:r>
        <w:t>é</w:t>
      </w:r>
      <w:r w:rsidRPr="007670F8">
        <w:t>es dans le document</w:t>
      </w:r>
      <w:r w:rsidR="0057350D">
        <w:t xml:space="preserve"> </w:t>
      </w:r>
      <w:r w:rsidRPr="007670F8">
        <w:t xml:space="preserve">INF.31 </w:t>
      </w:r>
      <w:r>
        <w:t>aux paragraphes</w:t>
      </w:r>
      <w:r w:rsidRPr="007670F8">
        <w:t xml:space="preserve"> 4.1.9.2.4 (RID/ADR) </w:t>
      </w:r>
      <w:r>
        <w:t>et</w:t>
      </w:r>
      <w:r w:rsidRPr="007670F8">
        <w:t xml:space="preserve"> 7.1.4.14.7.2 (ADN) </w:t>
      </w:r>
      <w:r>
        <w:t>en attendant les résultats des discussions au s</w:t>
      </w:r>
      <w:r w:rsidRPr="007670F8">
        <w:t>e</w:t>
      </w:r>
      <w:r>
        <w:t>in du Sous-Comité TMD ;</w:t>
      </w:r>
    </w:p>
    <w:p w14:paraId="12248E5A" w14:textId="7A39D5C3" w:rsidR="007B7BE0" w:rsidRPr="007670F8" w:rsidRDefault="007B7BE0" w:rsidP="00103210">
      <w:pPr>
        <w:pStyle w:val="SingleTxtG"/>
        <w:ind w:left="2268" w:hanging="567"/>
      </w:pPr>
      <w:r w:rsidRPr="007670F8">
        <w:t>l)</w:t>
      </w:r>
      <w:r w:rsidRPr="007670F8">
        <w:tab/>
        <w:t>La Réunion commune a estimé que la traduction en français du membr</w:t>
      </w:r>
      <w:r>
        <w:t>e</w:t>
      </w:r>
      <w:r w:rsidRPr="007670F8">
        <w:t xml:space="preserve"> de phrase </w:t>
      </w:r>
      <w:r w:rsidR="00103210">
        <w:t>« </w:t>
      </w:r>
      <w:r w:rsidRPr="007670F8">
        <w:t xml:space="preserve">and </w:t>
      </w:r>
      <w:proofErr w:type="spellStart"/>
      <w:r w:rsidRPr="007670F8">
        <w:t>any</w:t>
      </w:r>
      <w:proofErr w:type="spellEnd"/>
      <w:r w:rsidRPr="007670F8">
        <w:t xml:space="preserve"> </w:t>
      </w:r>
      <w:proofErr w:type="spellStart"/>
      <w:r w:rsidRPr="007670F8">
        <w:t>special</w:t>
      </w:r>
      <w:proofErr w:type="spellEnd"/>
      <w:r w:rsidRPr="007670F8">
        <w:t xml:space="preserve"> </w:t>
      </w:r>
      <w:proofErr w:type="spellStart"/>
      <w:r w:rsidRPr="007670F8">
        <w:t>precautions</w:t>
      </w:r>
      <w:proofErr w:type="spellEnd"/>
      <w:r w:rsidRPr="007670F8">
        <w:t xml:space="preserve"> or </w:t>
      </w:r>
      <w:proofErr w:type="spellStart"/>
      <w:r w:rsidRPr="007670F8">
        <w:t>special</w:t>
      </w:r>
      <w:proofErr w:type="spellEnd"/>
      <w:r w:rsidRPr="007670F8">
        <w:t xml:space="preserve"> administrative or </w:t>
      </w:r>
      <w:proofErr w:type="spellStart"/>
      <w:r w:rsidRPr="007670F8">
        <w:t>operational</w:t>
      </w:r>
      <w:proofErr w:type="spellEnd"/>
      <w:r w:rsidRPr="007670F8">
        <w:t xml:space="preserve"> </w:t>
      </w:r>
      <w:proofErr w:type="spellStart"/>
      <w:r w:rsidRPr="007670F8">
        <w:t>controls</w:t>
      </w:r>
      <w:proofErr w:type="spellEnd"/>
      <w:r w:rsidR="00103210">
        <w:t> »</w:t>
      </w:r>
      <w:r>
        <w:t xml:space="preserve"> au paragraphe </w:t>
      </w:r>
      <w:r w:rsidRPr="007670F8">
        <w:t>4.1.9.2.4</w:t>
      </w:r>
      <w:r w:rsidR="00103210">
        <w:t> </w:t>
      </w:r>
      <w:r w:rsidRPr="007670F8">
        <w:t>e)</w:t>
      </w:r>
      <w:r w:rsidR="00103210">
        <w:t> </w:t>
      </w:r>
      <w:r w:rsidRPr="007670F8">
        <w:t xml:space="preserve">iii) </w:t>
      </w:r>
      <w:r>
        <w:t xml:space="preserve">dans le document </w:t>
      </w:r>
      <w:r w:rsidRPr="007670F8">
        <w:t>ECE/TRANS/</w:t>
      </w:r>
      <w:r w:rsidR="00103210">
        <w:t xml:space="preserve"> </w:t>
      </w:r>
      <w:r w:rsidRPr="007670F8">
        <w:t xml:space="preserve">WP.15/AC.1/2019/22/Add.1 </w:t>
      </w:r>
      <w:r>
        <w:t>prêtait à confusion</w:t>
      </w:r>
      <w:r w:rsidRPr="007670F8">
        <w:t xml:space="preserve">. Étant donné que cette traduction était tirée de la version française du </w:t>
      </w:r>
      <w:r>
        <w:t>Règlement</w:t>
      </w:r>
      <w:r w:rsidRPr="009A7CCC">
        <w:t xml:space="preserve"> </w:t>
      </w:r>
      <w:r>
        <w:t>de transport des matières radioactives de l</w:t>
      </w:r>
      <w:r w:rsidR="00333FCB">
        <w:t>’</w:t>
      </w:r>
      <w:r>
        <w:t>AIEA</w:t>
      </w:r>
      <w:r w:rsidRPr="007670F8">
        <w:t>, la Réunion commune a décidé que cette question devrai</w:t>
      </w:r>
      <w:r>
        <w:t>t être portée à l</w:t>
      </w:r>
      <w:r w:rsidR="00333FCB">
        <w:t>’</w:t>
      </w:r>
      <w:r>
        <w:t xml:space="preserve">attention du Sous-Comité TMD. </w:t>
      </w:r>
      <w:r w:rsidRPr="007670F8">
        <w:t>Il a été not</w:t>
      </w:r>
      <w:r>
        <w:t>é</w:t>
      </w:r>
      <w:r w:rsidRPr="007670F8">
        <w:t xml:space="preserve"> que ce membr</w:t>
      </w:r>
      <w:r>
        <w:t>e</w:t>
      </w:r>
      <w:r w:rsidRPr="007670F8">
        <w:t xml:space="preserve"> de</w:t>
      </w:r>
      <w:r w:rsidR="0057350D">
        <w:t xml:space="preserve"> </w:t>
      </w:r>
      <w:r w:rsidRPr="007670F8">
        <w:t>phrase apparaissait aussi dans la</w:t>
      </w:r>
      <w:r w:rsidR="0057350D">
        <w:t xml:space="preserve"> </w:t>
      </w:r>
      <w:r w:rsidRPr="007670F8">
        <w:t>version anglaise du paragraphe 6.4.23.2</w:t>
      </w:r>
      <w:r w:rsidR="00103210">
        <w:t> </w:t>
      </w:r>
      <w:r w:rsidRPr="007670F8">
        <w:t xml:space="preserve">c) </w:t>
      </w:r>
      <w:r>
        <w:t>et qu</w:t>
      </w:r>
      <w:r w:rsidR="00333FCB">
        <w:t>’</w:t>
      </w:r>
      <w:r>
        <w:t>il avait été traduit en français de manière différente ;</w:t>
      </w:r>
    </w:p>
    <w:p w14:paraId="1F75BF94" w14:textId="5E907DBF" w:rsidR="007B7BE0" w:rsidRPr="00512E0D" w:rsidRDefault="007B7BE0" w:rsidP="00103210">
      <w:pPr>
        <w:pStyle w:val="SingleTxtG"/>
        <w:ind w:left="2268" w:hanging="567"/>
      </w:pPr>
      <w:r w:rsidRPr="007670F8">
        <w:t>m)</w:t>
      </w:r>
      <w:r w:rsidRPr="007670F8">
        <w:tab/>
      </w:r>
      <w:r w:rsidR="00103210">
        <w:t>À</w:t>
      </w:r>
      <w:r w:rsidRPr="007670F8">
        <w:t xml:space="preserve"> propos des notes concernant les paragraphes 6.2.2.7.2</w:t>
      </w:r>
      <w:r w:rsidR="00103210">
        <w:t> </w:t>
      </w:r>
      <w:r w:rsidRPr="007670F8">
        <w:t>c) et 6.2.2.9.2</w:t>
      </w:r>
      <w:r w:rsidR="00103210">
        <w:t> </w:t>
      </w:r>
      <w:r w:rsidRPr="007670F8">
        <w:t>c) du document ECE/TRANS/WP.15/AC.1/2019/22/Add.1, plusieurs délégations ont estimé que le sens d</w:t>
      </w:r>
      <w:r>
        <w:t>es mots</w:t>
      </w:r>
      <w:r w:rsidRPr="007670F8">
        <w:t xml:space="preserve"> </w:t>
      </w:r>
      <w:r w:rsidR="00103210">
        <w:t>« </w:t>
      </w:r>
      <w:r>
        <w:t>pays d</w:t>
      </w:r>
      <w:r w:rsidR="00333FCB">
        <w:t>’</w:t>
      </w:r>
      <w:r>
        <w:t>homologation</w:t>
      </w:r>
      <w:r w:rsidR="00103210">
        <w:t> »</w:t>
      </w:r>
      <w:r w:rsidRPr="007670F8">
        <w:t xml:space="preserve"> </w:t>
      </w:r>
      <w:r>
        <w:t>et</w:t>
      </w:r>
      <w:r w:rsidRPr="007670F8">
        <w:t xml:space="preserve"> </w:t>
      </w:r>
      <w:r w:rsidR="00103210">
        <w:t>« </w:t>
      </w:r>
      <w:r>
        <w:t xml:space="preserve">autorité </w:t>
      </w:r>
      <w:r w:rsidRPr="007670F8">
        <w:t>comp</w:t>
      </w:r>
      <w:r>
        <w:t>é</w:t>
      </w:r>
      <w:r w:rsidRPr="007670F8">
        <w:t>tent</w:t>
      </w:r>
      <w:r>
        <w:t>e</w:t>
      </w:r>
      <w:r w:rsidR="00103210">
        <w:t> »</w:t>
      </w:r>
      <w:r w:rsidRPr="007670F8">
        <w:t xml:space="preserve"> </w:t>
      </w:r>
      <w:r>
        <w:t>devrait être précisé à propos de l</w:t>
      </w:r>
      <w:r w:rsidR="00333FCB">
        <w:t>’</w:t>
      </w:r>
      <w:r w:rsidRPr="007670F8">
        <w:t>applicati</w:t>
      </w:r>
      <w:r>
        <w:t>o</w:t>
      </w:r>
      <w:r w:rsidRPr="007670F8">
        <w:t xml:space="preserve">n </w:t>
      </w:r>
      <w:r>
        <w:t xml:space="preserve">de la </w:t>
      </w:r>
      <w:r w:rsidRPr="007670F8">
        <w:t>Directive 2010/35/</w:t>
      </w:r>
      <w:r>
        <w:t>U</w:t>
      </w:r>
      <w:r w:rsidRPr="007670F8">
        <w:t>E</w:t>
      </w:r>
      <w:r>
        <w:t>, en ce qui concerne les équipements sous pression transportables</w:t>
      </w:r>
      <w:r w:rsidRPr="007670F8">
        <w:t xml:space="preserve">. </w:t>
      </w:r>
      <w:r w:rsidRPr="00512E0D">
        <w:t>Étant donné qu</w:t>
      </w:r>
      <w:r w:rsidR="00333FCB">
        <w:t>’</w:t>
      </w:r>
      <w:r w:rsidRPr="00512E0D">
        <w:t>il s</w:t>
      </w:r>
      <w:r w:rsidR="00333FCB">
        <w:t>’</w:t>
      </w:r>
      <w:r w:rsidRPr="00512E0D">
        <w:t>agissait d</w:t>
      </w:r>
      <w:r w:rsidR="00333FCB">
        <w:t>’</w:t>
      </w:r>
      <w:r w:rsidRPr="00512E0D">
        <w:t>une question d</w:t>
      </w:r>
      <w:r w:rsidR="00333FCB">
        <w:t>’</w:t>
      </w:r>
      <w:r w:rsidRPr="00512E0D">
        <w:t xml:space="preserve">interprétation de la législation de </w:t>
      </w:r>
      <w:r w:rsidR="00A70778">
        <w:t>l</w:t>
      </w:r>
      <w:r w:rsidR="00333FCB">
        <w:t>’</w:t>
      </w:r>
      <w:r w:rsidRPr="00512E0D">
        <w:t>Union</w:t>
      </w:r>
      <w:r>
        <w:t xml:space="preserve"> européenne, elles ont invité le représentant de l</w:t>
      </w:r>
      <w:r w:rsidR="00333FCB">
        <w:t>’</w:t>
      </w:r>
      <w:r>
        <w:t>union européenne à examiner la question et à apporter les précisions nécessaires le cas échéant ;</w:t>
      </w:r>
    </w:p>
    <w:p w14:paraId="0343630A" w14:textId="38AE13EF" w:rsidR="007B7BE0" w:rsidRPr="00512E0D" w:rsidRDefault="007B7BE0" w:rsidP="00103210">
      <w:pPr>
        <w:pStyle w:val="SingleTxtG"/>
        <w:ind w:left="2268" w:hanging="567"/>
      </w:pPr>
      <w:r w:rsidRPr="00512E0D">
        <w:t>n)</w:t>
      </w:r>
      <w:r w:rsidRPr="00512E0D">
        <w:tab/>
      </w:r>
      <w:r w:rsidR="00103210">
        <w:t>À</w:t>
      </w:r>
      <w:r w:rsidRPr="00512E0D">
        <w:t xml:space="preserve"> propos de la proposition d</w:t>
      </w:r>
      <w:r w:rsidR="00333FCB">
        <w:t>’</w:t>
      </w:r>
      <w:r w:rsidRPr="00512E0D">
        <w:t>amendement du chap</w:t>
      </w:r>
      <w:r>
        <w:t>i</w:t>
      </w:r>
      <w:r w:rsidRPr="00512E0D">
        <w:t>tr</w:t>
      </w:r>
      <w:r>
        <w:t>e</w:t>
      </w:r>
      <w:r w:rsidRPr="00512E0D">
        <w:t xml:space="preserve"> 6.2, présentée dans le</w:t>
      </w:r>
      <w:r w:rsidR="0057350D">
        <w:t xml:space="preserve"> </w:t>
      </w:r>
      <w:r w:rsidRPr="00512E0D">
        <w:t xml:space="preserve">document INF.31, visant à utiliser le terme </w:t>
      </w:r>
      <w:r w:rsidR="00103210">
        <w:t>« </w:t>
      </w:r>
      <w:r w:rsidRPr="00512E0D">
        <w:t>doublures</w:t>
      </w:r>
      <w:r w:rsidR="00AA68E5">
        <w:t> »</w:t>
      </w:r>
      <w:r w:rsidRPr="00512E0D">
        <w:t xml:space="preserve"> dans la version </w:t>
      </w:r>
      <w:r w:rsidRPr="00512E0D">
        <w:lastRenderedPageBreak/>
        <w:t xml:space="preserve">française, </w:t>
      </w:r>
      <w:r>
        <w:t xml:space="preserve">la Réunion commune a pris note des </w:t>
      </w:r>
      <w:r w:rsidRPr="00512E0D">
        <w:t xml:space="preserve">définitions </w:t>
      </w:r>
      <w:r>
        <w:t>figurant dans le</w:t>
      </w:r>
      <w:r w:rsidR="0057350D">
        <w:t xml:space="preserve"> </w:t>
      </w:r>
      <w:r w:rsidRPr="00512E0D">
        <w:t xml:space="preserve">document INF.43 </w:t>
      </w:r>
      <w:r>
        <w:t>et a décidé que le terme</w:t>
      </w:r>
      <w:r w:rsidRPr="00512E0D">
        <w:t xml:space="preserve"> </w:t>
      </w:r>
      <w:r w:rsidR="00AA68E5">
        <w:t>« </w:t>
      </w:r>
      <w:r w:rsidRPr="00512E0D">
        <w:t>liner</w:t>
      </w:r>
      <w:r w:rsidR="00AA68E5">
        <w:t> »</w:t>
      </w:r>
      <w:r w:rsidRPr="00512E0D">
        <w:t xml:space="preserve"> </w:t>
      </w:r>
      <w:r>
        <w:t xml:space="preserve">était </w:t>
      </w:r>
      <w:r w:rsidRPr="00512E0D">
        <w:t>international</w:t>
      </w:r>
      <w:r>
        <w:t>ement accepté s</w:t>
      </w:r>
      <w:r w:rsidR="00333FCB">
        <w:t>’</w:t>
      </w:r>
      <w:r>
        <w:t>agissant des bouteilles à gaz composites.</w:t>
      </w:r>
      <w:r w:rsidRPr="00512E0D">
        <w:t xml:space="preserve"> Elle a</w:t>
      </w:r>
      <w:r>
        <w:t xml:space="preserve"> décidé de garder le terme</w:t>
      </w:r>
      <w:r w:rsidR="00AA68E5">
        <w:t xml:space="preserve"> « </w:t>
      </w:r>
      <w:r>
        <w:t>liner » dans la version française ;</w:t>
      </w:r>
    </w:p>
    <w:p w14:paraId="4B3B3B0B" w14:textId="6FE43F74" w:rsidR="007B7BE0" w:rsidRPr="00512E0D" w:rsidRDefault="007B7BE0" w:rsidP="00103210">
      <w:pPr>
        <w:pStyle w:val="SingleTxtG"/>
        <w:ind w:left="2268" w:hanging="567"/>
        <w:rPr>
          <w:lang w:eastAsia="fr-FR"/>
        </w:rPr>
      </w:pPr>
      <w:r w:rsidRPr="00512E0D">
        <w:t>o)</w:t>
      </w:r>
      <w:r w:rsidRPr="00512E0D">
        <w:tab/>
      </w:r>
      <w:r w:rsidR="00AA68E5">
        <w:t>À</w:t>
      </w:r>
      <w:r w:rsidRPr="00512E0D">
        <w:t xml:space="preserve"> la suite d</w:t>
      </w:r>
      <w:r w:rsidR="00333FCB">
        <w:t>’</w:t>
      </w:r>
      <w:r w:rsidRPr="00512E0D">
        <w:t>une pr</w:t>
      </w:r>
      <w:r>
        <w:t>é</w:t>
      </w:r>
      <w:r w:rsidRPr="00512E0D">
        <w:t>cision apportée par le secr</w:t>
      </w:r>
      <w:r>
        <w:t>é</w:t>
      </w:r>
      <w:r w:rsidRPr="00512E0D">
        <w:t>tariat, la Réunion commune a décidé que les propositions d</w:t>
      </w:r>
      <w:r w:rsidR="00333FCB">
        <w:t>’</w:t>
      </w:r>
      <w:r>
        <w:t>amendements aux paragraphes</w:t>
      </w:r>
      <w:r w:rsidRPr="00512E0D">
        <w:t xml:space="preserve"> 5.3.1.1.5.1 </w:t>
      </w:r>
      <w:r>
        <w:t>et</w:t>
      </w:r>
      <w:r w:rsidR="00AA68E5">
        <w:t> </w:t>
      </w:r>
      <w:r w:rsidRPr="00512E0D">
        <w:t xml:space="preserve">7.2.3.1.1 </w:t>
      </w:r>
      <w:r>
        <w:t>du Règlement type ne s</w:t>
      </w:r>
      <w:r w:rsidR="00333FCB">
        <w:t>’</w:t>
      </w:r>
      <w:r>
        <w:t>appliquaient pas au</w:t>
      </w:r>
      <w:r w:rsidRPr="00512E0D">
        <w:t xml:space="preserve"> RID/ADR/ADN. Les amend</w:t>
      </w:r>
      <w:r>
        <w:t>e</w:t>
      </w:r>
      <w:r w:rsidRPr="00512E0D">
        <w:t>ments correspondants propos</w:t>
      </w:r>
      <w:r>
        <w:t>é</w:t>
      </w:r>
      <w:r w:rsidRPr="00512E0D">
        <w:t>s dans le document ECE/TRANS/</w:t>
      </w:r>
      <w:r w:rsidR="00AA68E5">
        <w:t xml:space="preserve"> </w:t>
      </w:r>
      <w:r w:rsidRPr="00512E0D">
        <w:t>WP.15/AC.1/2019/22/Add.1 pour les paragraphe</w:t>
      </w:r>
      <w:r>
        <w:t>s</w:t>
      </w:r>
      <w:r w:rsidRPr="00512E0D">
        <w:t xml:space="preserve"> 5.3.1.5.2 </w:t>
      </w:r>
      <w:r>
        <w:t>et</w:t>
      </w:r>
      <w:r w:rsidRPr="00512E0D">
        <w:t xml:space="preserve"> 5.3.2.1.4 </w:t>
      </w:r>
      <w:r>
        <w:t>ont été supprimés</w:t>
      </w:r>
      <w:r w:rsidRPr="00512E0D">
        <w:t xml:space="preserve"> (</w:t>
      </w:r>
      <w:r>
        <w:t>voir</w:t>
      </w:r>
      <w:r w:rsidRPr="00512E0D">
        <w:t xml:space="preserve"> annex</w:t>
      </w:r>
      <w:r>
        <w:t>e</w:t>
      </w:r>
      <w:r w:rsidRPr="00512E0D">
        <w:t xml:space="preserve"> II)</w:t>
      </w:r>
      <w:r>
        <w:t> ;</w:t>
      </w:r>
    </w:p>
    <w:p w14:paraId="3A54E89E" w14:textId="52C1B13C" w:rsidR="007B7BE0" w:rsidRPr="00512E0D" w:rsidRDefault="007B7BE0" w:rsidP="00103210">
      <w:pPr>
        <w:pStyle w:val="SingleTxtG"/>
        <w:ind w:left="2268" w:hanging="567"/>
      </w:pPr>
      <w:r w:rsidRPr="00512E0D">
        <w:t>p)</w:t>
      </w:r>
      <w:r w:rsidRPr="00512E0D">
        <w:tab/>
      </w:r>
      <w:r w:rsidR="00AA68E5">
        <w:t>À</w:t>
      </w:r>
      <w:r w:rsidRPr="00512E0D">
        <w:t xml:space="preserve"> propos du chapitre 1.6 du document ECE/TRANS/WP.15/AC.1/2019/22/</w:t>
      </w:r>
      <w:r w:rsidR="00AA68E5">
        <w:t xml:space="preserve"> </w:t>
      </w:r>
      <w:r w:rsidRPr="00512E0D">
        <w:t xml:space="preserve">Add.1, </w:t>
      </w:r>
      <w:r>
        <w:t>l</w:t>
      </w:r>
      <w:r w:rsidRPr="00512E0D">
        <w:t>a Réunion commune a adopté la proposition formul</w:t>
      </w:r>
      <w:r>
        <w:t>é</w:t>
      </w:r>
      <w:r w:rsidRPr="00512E0D">
        <w:t xml:space="preserve">e par le secrétariat </w:t>
      </w:r>
      <w:r>
        <w:t>visant à modifier les renvois au Règlement de l</w:t>
      </w:r>
      <w:r w:rsidR="00333FCB">
        <w:t>’</w:t>
      </w:r>
      <w:r>
        <w:t>AIEA dans le document</w:t>
      </w:r>
      <w:r w:rsidRPr="00512E0D">
        <w:t xml:space="preserve"> INF.49 (</w:t>
      </w:r>
      <w:r>
        <w:t>voir</w:t>
      </w:r>
      <w:r w:rsidRPr="00512E0D">
        <w:t xml:space="preserve"> annex</w:t>
      </w:r>
      <w:r>
        <w:t>e</w:t>
      </w:r>
      <w:r w:rsidRPr="00512E0D">
        <w:t xml:space="preserve"> II).</w:t>
      </w:r>
    </w:p>
    <w:bookmarkEnd w:id="1"/>
    <w:p w14:paraId="666CDB26" w14:textId="77777777" w:rsidR="007B7BE0" w:rsidRPr="008A7199" w:rsidRDefault="007B7BE0" w:rsidP="00B70120">
      <w:pPr>
        <w:pStyle w:val="H1G"/>
      </w:pPr>
      <w:r w:rsidRPr="00512E0D">
        <w:tab/>
      </w:r>
      <w:r w:rsidRPr="008A7199">
        <w:t>B.</w:t>
      </w:r>
      <w:r w:rsidRPr="008A7199">
        <w:tab/>
        <w:t xml:space="preserve">Nouvelles dispositions </w:t>
      </w:r>
      <w:r>
        <w:t xml:space="preserve">spéciales </w:t>
      </w:r>
      <w:r w:rsidRPr="008A7199">
        <w:t xml:space="preserve">393 </w:t>
      </w:r>
      <w:r>
        <w:t>et</w:t>
      </w:r>
      <w:r w:rsidRPr="008A7199">
        <w:t xml:space="preserve"> 394</w:t>
      </w:r>
      <w:r>
        <w:t> :</w:t>
      </w:r>
      <w:r w:rsidRPr="008A7199">
        <w:t xml:space="preserve"> stabilité chimique </w:t>
      </w:r>
      <w:r w:rsidR="00AA68E5">
        <w:br/>
      </w:r>
      <w:r>
        <w:t>de la</w:t>
      </w:r>
      <w:r w:rsidRPr="008A7199">
        <w:t xml:space="preserve"> nitrocellulose</w:t>
      </w:r>
    </w:p>
    <w:p w14:paraId="79203444" w14:textId="77777777" w:rsidR="007B7BE0" w:rsidRPr="008A7199" w:rsidRDefault="007B7BE0" w:rsidP="00AA68E5">
      <w:pPr>
        <w:pStyle w:val="SingleTxtG"/>
        <w:ind w:left="3119" w:hanging="1985"/>
        <w:jc w:val="left"/>
      </w:pPr>
      <w:r w:rsidRPr="008A7199">
        <w:rPr>
          <w:i/>
          <w:iCs/>
        </w:rPr>
        <w:t>Document</w:t>
      </w:r>
      <w:r w:rsidR="00AA68E5">
        <w:rPr>
          <w:i/>
          <w:iCs/>
        </w:rPr>
        <w:t> </w:t>
      </w:r>
      <w:r w:rsidRPr="00AA68E5">
        <w:rPr>
          <w:iCs/>
        </w:rPr>
        <w:t>:</w:t>
      </w:r>
      <w:r w:rsidRPr="008A7199">
        <w:rPr>
          <w:i/>
          <w:iCs/>
        </w:rPr>
        <w:tab/>
      </w:r>
      <w:r w:rsidRPr="008A7199">
        <w:t>ECE/TRANS/WP.15/AC.1/2019/28 (Allemagne)</w:t>
      </w:r>
      <w:r w:rsidR="00AA68E5">
        <w:t>.</w:t>
      </w:r>
    </w:p>
    <w:p w14:paraId="63821162" w14:textId="77777777" w:rsidR="007B7BE0" w:rsidRPr="008A7199" w:rsidRDefault="007B7BE0" w:rsidP="00AA68E5">
      <w:pPr>
        <w:pStyle w:val="SingleTxtG"/>
      </w:pPr>
      <w:bookmarkStart w:id="2" w:name="_Hlk19700389"/>
      <w:r w:rsidRPr="008A7199">
        <w:t>19.</w:t>
      </w:r>
      <w:r w:rsidRPr="008A7199">
        <w:tab/>
        <w:t xml:space="preserve">La </w:t>
      </w:r>
      <w:r>
        <w:t>Ré</w:t>
      </w:r>
      <w:r w:rsidRPr="008A7199">
        <w:t xml:space="preserve">union commune a adopté les propositions figurant dans le document ECE/TRANS/WP.15/AC.1/2019/28 et a décidé de supprimer </w:t>
      </w:r>
      <w:r>
        <w:t>les crochets entourant les dispositions</w:t>
      </w:r>
      <w:r w:rsidRPr="008A7199">
        <w:t xml:space="preserve"> sp</w:t>
      </w:r>
      <w:r>
        <w:t>é</w:t>
      </w:r>
      <w:r w:rsidRPr="008A7199">
        <w:t>cial</w:t>
      </w:r>
      <w:r>
        <w:t>es</w:t>
      </w:r>
      <w:r w:rsidRPr="008A7199">
        <w:t xml:space="preserve"> 393 </w:t>
      </w:r>
      <w:r>
        <w:t>et</w:t>
      </w:r>
      <w:r w:rsidRPr="008A7199">
        <w:t xml:space="preserve"> 394 </w:t>
      </w:r>
      <w:r>
        <w:t>dans le</w:t>
      </w:r>
      <w:r w:rsidRPr="008A7199">
        <w:t xml:space="preserve"> document ECE/TRANS/WP.15/AC.1/2019/22/</w:t>
      </w:r>
      <w:r w:rsidR="00AA68E5">
        <w:t xml:space="preserve"> </w:t>
      </w:r>
      <w:r w:rsidRPr="008A7199">
        <w:t>Add.1 (</w:t>
      </w:r>
      <w:r>
        <w:t>voir</w:t>
      </w:r>
      <w:r w:rsidRPr="008A7199">
        <w:t xml:space="preserve"> annex</w:t>
      </w:r>
      <w:r>
        <w:t>e</w:t>
      </w:r>
      <w:r w:rsidRPr="008A7199">
        <w:t xml:space="preserve"> II).</w:t>
      </w:r>
    </w:p>
    <w:p w14:paraId="0FE1C009" w14:textId="3ECDFE92" w:rsidR="007B7BE0" w:rsidRPr="008A7199" w:rsidRDefault="007B7BE0" w:rsidP="00B70120">
      <w:pPr>
        <w:pStyle w:val="SingleTxtG"/>
      </w:pPr>
      <w:r w:rsidRPr="008A7199">
        <w:t>20.</w:t>
      </w:r>
      <w:r w:rsidRPr="008A7199">
        <w:tab/>
        <w:t>Certains représentants ont fait remarquer que les propositions d</w:t>
      </w:r>
      <w:r w:rsidR="00333FCB">
        <w:t>’</w:t>
      </w:r>
      <w:r w:rsidRPr="008A7199">
        <w:t>amendement</w:t>
      </w:r>
      <w:r>
        <w:t>s</w:t>
      </w:r>
      <w:r w:rsidRPr="008A7199">
        <w:t xml:space="preserve"> </w:t>
      </w:r>
      <w:r>
        <w:t>a</w:t>
      </w:r>
      <w:r w:rsidRPr="008A7199">
        <w:t>u</w:t>
      </w:r>
      <w:r w:rsidR="00AA68E5">
        <w:t> </w:t>
      </w:r>
      <w:r w:rsidRPr="008A7199">
        <w:t>2.3.2.1 visent à préciser que la temp</w:t>
      </w:r>
      <w:r>
        <w:t>é</w:t>
      </w:r>
      <w:r w:rsidRPr="008A7199">
        <w:t>rature d</w:t>
      </w:r>
      <w:r w:rsidR="00333FCB">
        <w:t>’</w:t>
      </w:r>
      <w:r w:rsidRPr="008A7199">
        <w:t>allumage doit être d</w:t>
      </w:r>
      <w:r>
        <w:t>é</w:t>
      </w:r>
      <w:r w:rsidRPr="008A7199">
        <w:t>termin</w:t>
      </w:r>
      <w:r>
        <w:t>ée</w:t>
      </w:r>
      <w:r w:rsidRPr="008A7199">
        <w:t xml:space="preserve"> avant de procéder à l</w:t>
      </w:r>
      <w:r w:rsidR="00333FCB">
        <w:t>’</w:t>
      </w:r>
      <w:r>
        <w:t xml:space="preserve">épreuve de </w:t>
      </w:r>
      <w:r w:rsidRPr="008A7199">
        <w:t xml:space="preserve">Bergmann-Junk, </w:t>
      </w:r>
      <w:r>
        <w:t>étant donné qu</w:t>
      </w:r>
      <w:r w:rsidR="00333FCB">
        <w:t>’</w:t>
      </w:r>
      <w:r>
        <w:t>elle doit rester au-dessus d</w:t>
      </w:r>
      <w:r w:rsidR="00333FCB">
        <w:t>’</w:t>
      </w:r>
      <w:r>
        <w:t>une certaine limite pour que l</w:t>
      </w:r>
      <w:r w:rsidR="00333FCB">
        <w:t>’</w:t>
      </w:r>
      <w:r>
        <w:t>épreuve puisse être effectuée</w:t>
      </w:r>
      <w:r w:rsidRPr="008A7199">
        <w:t xml:space="preserve"> </w:t>
      </w:r>
      <w:r>
        <w:t>en toute sécurité</w:t>
      </w:r>
      <w:r w:rsidRPr="008A7199">
        <w:t>. Tout en reconnaissant que cette précision devrait augmenter la sécurité du personnel chargé d</w:t>
      </w:r>
      <w:r w:rsidR="00333FCB">
        <w:t>’</w:t>
      </w:r>
      <w:r w:rsidRPr="008A7199">
        <w:t>effectuer les épreuves, la Réunion a est</w:t>
      </w:r>
      <w:r>
        <w:t>imé que les amendements adoptés devraient être portés à l</w:t>
      </w:r>
      <w:r w:rsidR="00333FCB">
        <w:t>’</w:t>
      </w:r>
      <w:r>
        <w:t>attention du Sous-Comité TMD pour examen.</w:t>
      </w:r>
      <w:r w:rsidRPr="008A7199">
        <w:t xml:space="preserve"> </w:t>
      </w:r>
    </w:p>
    <w:bookmarkEnd w:id="2"/>
    <w:p w14:paraId="6290CE2B" w14:textId="77777777" w:rsidR="007B7BE0" w:rsidRPr="008A7199" w:rsidRDefault="007B7BE0" w:rsidP="00B70120">
      <w:pPr>
        <w:pStyle w:val="H1G"/>
      </w:pPr>
      <w:r w:rsidRPr="008A7199">
        <w:tab/>
        <w:t>C.</w:t>
      </w:r>
      <w:r w:rsidRPr="008A7199">
        <w:tab/>
        <w:t xml:space="preserve">Utilisation du terme </w:t>
      </w:r>
      <w:r w:rsidR="00AA68E5">
        <w:t>« </w:t>
      </w:r>
      <w:r>
        <w:t>moyen de transport</w:t>
      </w:r>
      <w:r w:rsidR="00AA68E5">
        <w:t> »</w:t>
      </w:r>
    </w:p>
    <w:p w14:paraId="68422A99" w14:textId="020427EF" w:rsidR="007B7BE0" w:rsidRPr="008A7199" w:rsidRDefault="007B7BE0" w:rsidP="00AA68E5">
      <w:pPr>
        <w:pStyle w:val="SingleTxtG"/>
        <w:ind w:left="3119" w:hanging="1985"/>
        <w:jc w:val="left"/>
      </w:pPr>
      <w:r w:rsidRPr="008A7199">
        <w:rPr>
          <w:i/>
          <w:iCs/>
        </w:rPr>
        <w:t>Document</w:t>
      </w:r>
      <w:r w:rsidR="00A70778">
        <w:rPr>
          <w:i/>
          <w:iCs/>
        </w:rPr>
        <w:t> </w:t>
      </w:r>
      <w:r w:rsidRPr="008A7199">
        <w:t>:</w:t>
      </w:r>
      <w:r w:rsidRPr="008A7199">
        <w:tab/>
        <w:t>ECE/TRANS/WP.15/AC.1/2019/31 (Secrétariat de l</w:t>
      </w:r>
      <w:r w:rsidR="00333FCB">
        <w:t>’</w:t>
      </w:r>
      <w:r w:rsidRPr="008A7199">
        <w:t>OTIF)</w:t>
      </w:r>
      <w:r w:rsidR="00B70120">
        <w:t>.</w:t>
      </w:r>
    </w:p>
    <w:p w14:paraId="4D692DC3" w14:textId="1D7FDAF2" w:rsidR="007B7BE0" w:rsidRPr="008A7199" w:rsidRDefault="007B7BE0" w:rsidP="00B70120">
      <w:pPr>
        <w:pStyle w:val="SingleTxtG"/>
      </w:pPr>
      <w:r w:rsidRPr="008A7199">
        <w:t>21.</w:t>
      </w:r>
      <w:r w:rsidRPr="008A7199">
        <w:tab/>
        <w:t xml:space="preserve">La </w:t>
      </w:r>
      <w:r>
        <w:t>Ré</w:t>
      </w:r>
      <w:r w:rsidRPr="008A7199">
        <w:t>union commune a adopté la proposition présentée par le secr</w:t>
      </w:r>
      <w:r>
        <w:t>é</w:t>
      </w:r>
      <w:r w:rsidRPr="008A7199">
        <w:t>tariat de l</w:t>
      </w:r>
      <w:r w:rsidR="00333FCB">
        <w:t>’</w:t>
      </w:r>
      <w:r w:rsidRPr="008A7199">
        <w:t xml:space="preserve"> OTIF, visant à annuler la dé</w:t>
      </w:r>
      <w:r>
        <w:t>c</w:t>
      </w:r>
      <w:r w:rsidRPr="008A7199">
        <w:t>ision con</w:t>
      </w:r>
      <w:r>
        <w:t>c</w:t>
      </w:r>
      <w:r w:rsidRPr="008A7199">
        <w:t>ernant l</w:t>
      </w:r>
      <w:r w:rsidR="00333FCB">
        <w:t>’</w:t>
      </w:r>
      <w:r>
        <w:t>utilisation du terme</w:t>
      </w:r>
      <w:r w:rsidR="0057350D">
        <w:t xml:space="preserve"> </w:t>
      </w:r>
      <w:r w:rsidR="00B70120">
        <w:t>« </w:t>
      </w:r>
      <w:r>
        <w:t>moyen de transport</w:t>
      </w:r>
      <w:r w:rsidR="00B70120">
        <w:t> »</w:t>
      </w:r>
      <w:r w:rsidRPr="008A7199">
        <w:t xml:space="preserve"> </w:t>
      </w:r>
      <w:r>
        <w:t>au paragraphe</w:t>
      </w:r>
      <w:r w:rsidRPr="008A7199">
        <w:t xml:space="preserve"> 5.1.5.3.2 </w:t>
      </w:r>
      <w:r>
        <w:t>du</w:t>
      </w:r>
      <w:r w:rsidRPr="008A7199">
        <w:t xml:space="preserve"> RID/ADR (</w:t>
      </w:r>
      <w:r>
        <w:t>voir</w:t>
      </w:r>
      <w:r w:rsidRPr="008A7199">
        <w:t xml:space="preserve"> annex</w:t>
      </w:r>
      <w:r>
        <w:t>e</w:t>
      </w:r>
      <w:r w:rsidRPr="008A7199">
        <w:t xml:space="preserve"> II). Il a été not</w:t>
      </w:r>
      <w:r>
        <w:t>é</w:t>
      </w:r>
      <w:r w:rsidRPr="008A7199">
        <w:t xml:space="preserve"> que, en ce qui concerne l</w:t>
      </w:r>
      <w:r w:rsidR="00333FCB">
        <w:t>’</w:t>
      </w:r>
      <w:r w:rsidRPr="008A7199">
        <w:t>ADN, la question serait r</w:t>
      </w:r>
      <w:r>
        <w:t>é</w:t>
      </w:r>
      <w:r w:rsidRPr="008A7199">
        <w:t>examin</w:t>
      </w:r>
      <w:r>
        <w:t>ée par</w:t>
      </w:r>
      <w:r w:rsidR="0057350D">
        <w:t xml:space="preserve"> </w:t>
      </w:r>
      <w:r>
        <w:t>le</w:t>
      </w:r>
      <w:r w:rsidRPr="008A7199">
        <w:t xml:space="preserve"> Comi</w:t>
      </w:r>
      <w:r>
        <w:t>té</w:t>
      </w:r>
      <w:r w:rsidRPr="008A7199">
        <w:t xml:space="preserve"> </w:t>
      </w:r>
      <w:r>
        <w:t>de sécurité de l</w:t>
      </w:r>
      <w:r w:rsidR="00333FCB">
        <w:t>’</w:t>
      </w:r>
      <w:r>
        <w:t>ADN à sa trente-sixième session, e</w:t>
      </w:r>
      <w:r w:rsidRPr="008A7199">
        <w:t xml:space="preserve">n </w:t>
      </w:r>
      <w:r>
        <w:t>janvier</w:t>
      </w:r>
      <w:r w:rsidRPr="008A7199">
        <w:t xml:space="preserve"> 2020.</w:t>
      </w:r>
    </w:p>
    <w:p w14:paraId="570D672F" w14:textId="3D4A8D8B" w:rsidR="007B7BE0" w:rsidRPr="008A7199" w:rsidRDefault="007B7BE0" w:rsidP="00B70120">
      <w:pPr>
        <w:pStyle w:val="HChG"/>
      </w:pPr>
      <w:r w:rsidRPr="00944671">
        <w:tab/>
      </w:r>
      <w:r w:rsidRPr="008A7199">
        <w:t>VII</w:t>
      </w:r>
      <w:r w:rsidRPr="00944671">
        <w:t>.</w:t>
      </w:r>
      <w:r w:rsidRPr="00944671">
        <w:tab/>
        <w:t>Propos</w:t>
      </w:r>
      <w:r>
        <w:t>ition</w:t>
      </w:r>
      <w:r w:rsidRPr="00944671">
        <w:t>s</w:t>
      </w:r>
      <w:r>
        <w:t xml:space="preserve"> d</w:t>
      </w:r>
      <w:r w:rsidR="00333FCB">
        <w:t>’</w:t>
      </w:r>
      <w:r w:rsidRPr="00944671">
        <w:t>amend</w:t>
      </w:r>
      <w:r>
        <w:t>e</w:t>
      </w:r>
      <w:r w:rsidRPr="00944671">
        <w:t xml:space="preserve">ments </w:t>
      </w:r>
      <w:r>
        <w:t>au</w:t>
      </w:r>
      <w:r w:rsidRPr="00944671">
        <w:t xml:space="preserve"> RID/ADR/ADN</w:t>
      </w:r>
      <w:r w:rsidRPr="008A7199">
        <w:t xml:space="preserve"> </w:t>
      </w:r>
      <w:r w:rsidR="00B70120">
        <w:br/>
      </w:r>
      <w:r w:rsidRPr="008A7199">
        <w:t>(</w:t>
      </w:r>
      <w:r>
        <w:t>point</w:t>
      </w:r>
      <w:r w:rsidRPr="008A7199">
        <w:t xml:space="preserve"> 5</w:t>
      </w:r>
      <w:r>
        <w:t xml:space="preserve"> de l</w:t>
      </w:r>
      <w:r w:rsidR="00333FCB">
        <w:t>’</w:t>
      </w:r>
      <w:r>
        <w:t>ordre du jour</w:t>
      </w:r>
      <w:r w:rsidRPr="008A7199">
        <w:t>)</w:t>
      </w:r>
    </w:p>
    <w:p w14:paraId="383C4BA5" w14:textId="77777777" w:rsidR="007B7BE0" w:rsidRPr="00896045" w:rsidRDefault="007B7BE0" w:rsidP="00B70120">
      <w:pPr>
        <w:pStyle w:val="H1G"/>
        <w:rPr>
          <w:lang w:eastAsia="fr-FR"/>
        </w:rPr>
      </w:pPr>
      <w:r w:rsidRPr="008A7199">
        <w:tab/>
      </w:r>
      <w:r w:rsidRPr="00896045">
        <w:t>A.</w:t>
      </w:r>
      <w:r w:rsidRPr="00896045">
        <w:tab/>
        <w:t>Questions en suspens</w:t>
      </w:r>
    </w:p>
    <w:p w14:paraId="7C2EBD0C" w14:textId="500B5F99" w:rsidR="007B7BE0" w:rsidRPr="00896045" w:rsidRDefault="007B7BE0" w:rsidP="00B70120">
      <w:pPr>
        <w:pStyle w:val="H23G"/>
      </w:pPr>
      <w:r w:rsidRPr="00896045">
        <w:tab/>
        <w:t>1.</w:t>
      </w:r>
      <w:r w:rsidRPr="00896045">
        <w:tab/>
        <w:t>Proposition d</w:t>
      </w:r>
      <w:r w:rsidR="00333FCB">
        <w:t>’</w:t>
      </w:r>
      <w:r w:rsidRPr="00896045">
        <w:t xml:space="preserve">amendement </w:t>
      </w:r>
      <w:r>
        <w:t>a</w:t>
      </w:r>
      <w:r w:rsidRPr="00896045">
        <w:t>u paragraphe 5.4.1.1.1</w:t>
      </w:r>
    </w:p>
    <w:p w14:paraId="281779D6" w14:textId="77777777" w:rsidR="007B7BE0" w:rsidRPr="00B47A00" w:rsidRDefault="007B7BE0" w:rsidP="00AA68E5">
      <w:pPr>
        <w:pStyle w:val="SingleTxtG"/>
        <w:ind w:left="3119" w:hanging="1985"/>
        <w:jc w:val="left"/>
      </w:pPr>
      <w:r w:rsidRPr="00B47A00">
        <w:rPr>
          <w:i/>
        </w:rPr>
        <w:t>Document</w:t>
      </w:r>
      <w:r w:rsidR="00B70120">
        <w:rPr>
          <w:i/>
        </w:rPr>
        <w:t> </w:t>
      </w:r>
      <w:r w:rsidRPr="00B47A00">
        <w:t>:</w:t>
      </w:r>
      <w:r w:rsidRPr="00B47A00">
        <w:tab/>
      </w:r>
      <w:r w:rsidRPr="00B70120">
        <w:t>ECE</w:t>
      </w:r>
      <w:r w:rsidRPr="00B47A00">
        <w:t>/TRANS/WP.15/AC.1/2019/23 (Ukraine)</w:t>
      </w:r>
      <w:r w:rsidR="00B70120">
        <w:t>.</w:t>
      </w:r>
    </w:p>
    <w:p w14:paraId="27A9BF9D" w14:textId="6A65561D" w:rsidR="007B7BE0" w:rsidRPr="006A49D3" w:rsidRDefault="007B7BE0" w:rsidP="00B70120">
      <w:pPr>
        <w:pStyle w:val="SingleTxtG"/>
      </w:pPr>
      <w:r w:rsidRPr="00896045">
        <w:t>22.</w:t>
      </w:r>
      <w:r w:rsidRPr="00896045">
        <w:tab/>
        <w:t>En l</w:t>
      </w:r>
      <w:r w:rsidR="00333FCB">
        <w:t>’</w:t>
      </w:r>
      <w:r w:rsidRPr="00896045">
        <w:t>absence du représentant de l</w:t>
      </w:r>
      <w:r w:rsidR="00333FCB">
        <w:t>’</w:t>
      </w:r>
      <w:r w:rsidRPr="00896045">
        <w:t>Ukraine, la Réunion commune n</w:t>
      </w:r>
      <w:r w:rsidR="00333FCB">
        <w:t>’</w:t>
      </w:r>
      <w:r w:rsidRPr="00896045">
        <w:t>a pas exami</w:t>
      </w:r>
      <w:r>
        <w:t>né le document et le secrétariat a été invité à définir avec l</w:t>
      </w:r>
      <w:r w:rsidR="00333FCB">
        <w:t>’</w:t>
      </w:r>
      <w:r>
        <w:t>Ukraine les modalités de présentation du document.</w:t>
      </w:r>
    </w:p>
    <w:p w14:paraId="3628BEB4" w14:textId="77777777" w:rsidR="007B7BE0" w:rsidRPr="00896045" w:rsidRDefault="007B7BE0" w:rsidP="00B70120">
      <w:pPr>
        <w:pStyle w:val="H23G"/>
      </w:pPr>
      <w:r w:rsidRPr="006A49D3">
        <w:lastRenderedPageBreak/>
        <w:tab/>
      </w:r>
      <w:r w:rsidRPr="00896045">
        <w:t>2.</w:t>
      </w:r>
      <w:r w:rsidRPr="00896045">
        <w:tab/>
        <w:t>Marquage des wagons et conteneurs chargés de marchandises en quantité</w:t>
      </w:r>
      <w:r>
        <w:t xml:space="preserve">s </w:t>
      </w:r>
      <w:r w:rsidRPr="00896045">
        <w:t>limitée</w:t>
      </w:r>
      <w:r>
        <w:t>s</w:t>
      </w:r>
      <w:r w:rsidR="0057350D">
        <w:t xml:space="preserve"> </w:t>
      </w:r>
    </w:p>
    <w:p w14:paraId="5428E2F8" w14:textId="77777777" w:rsidR="007B7BE0" w:rsidRPr="00896045" w:rsidRDefault="007B7BE0" w:rsidP="00AA68E5">
      <w:pPr>
        <w:pStyle w:val="SingleTxtG"/>
        <w:ind w:left="3119" w:hanging="1985"/>
        <w:jc w:val="left"/>
      </w:pPr>
      <w:r w:rsidRPr="00A70778">
        <w:rPr>
          <w:i/>
        </w:rPr>
        <w:t>Document</w:t>
      </w:r>
      <w:r w:rsidR="00B70120">
        <w:rPr>
          <w:i/>
        </w:rPr>
        <w:t> </w:t>
      </w:r>
      <w:r w:rsidRPr="00896045">
        <w:t>:</w:t>
      </w:r>
      <w:r w:rsidRPr="00896045">
        <w:tab/>
        <w:t>ECE/</w:t>
      </w:r>
      <w:r w:rsidRPr="00B70120">
        <w:t>TRANS</w:t>
      </w:r>
      <w:r w:rsidRPr="00896045">
        <w:t>/WP.15/AC.1/2019/38 (Suède et S</w:t>
      </w:r>
      <w:r>
        <w:t>uisse</w:t>
      </w:r>
      <w:r w:rsidRPr="00896045">
        <w:t>)</w:t>
      </w:r>
      <w:r w:rsidR="00B70120">
        <w:t>.</w:t>
      </w:r>
    </w:p>
    <w:p w14:paraId="3F982D4B" w14:textId="37BC5473" w:rsidR="007B7BE0" w:rsidRPr="00896045" w:rsidRDefault="007B7BE0" w:rsidP="00B70120">
      <w:pPr>
        <w:pStyle w:val="SingleTxtG"/>
      </w:pPr>
      <w:r w:rsidRPr="00896045">
        <w:t>23.</w:t>
      </w:r>
      <w:r w:rsidRPr="00896045">
        <w:tab/>
        <w:t>Plusieurs délégations se sont demandé si la proposition d</w:t>
      </w:r>
      <w:r w:rsidR="00333FCB">
        <w:t>’</w:t>
      </w:r>
      <w:r w:rsidRPr="00896045">
        <w:t>amendement visant à apposer</w:t>
      </w:r>
      <w:r>
        <w:t xml:space="preserve"> la</w:t>
      </w:r>
      <w:r w:rsidRPr="00896045">
        <w:t xml:space="preserve"> marque </w:t>
      </w:r>
      <w:r w:rsidR="00A70778">
        <w:t>« </w:t>
      </w:r>
      <w:r w:rsidRPr="00896045">
        <w:t>LQ</w:t>
      </w:r>
      <w:r w:rsidR="00A70778">
        <w:t> »</w:t>
      </w:r>
      <w:r w:rsidRPr="00896045">
        <w:t xml:space="preserve"> sur les wagons ou les conteneurs contenant plus de </w:t>
      </w:r>
      <w:r w:rsidR="00A70778">
        <w:t>8 </w:t>
      </w:r>
      <w:r w:rsidRPr="00896045">
        <w:t xml:space="preserve">tonnes de marchandises dangereuses </w:t>
      </w:r>
      <w:r>
        <w:t>en quantités limitées ainsi que d</w:t>
      </w:r>
      <w:r w:rsidR="00333FCB">
        <w:t>’</w:t>
      </w:r>
      <w:r>
        <w:t xml:space="preserve">autres marchandises dangereuses réglementées ne risquait pas de mettre en contradiction les dispositions du </w:t>
      </w:r>
      <w:r w:rsidRPr="00896045">
        <w:t xml:space="preserve">RID/ADR/ADN </w:t>
      </w:r>
      <w:r>
        <w:t>et celles du Code</w:t>
      </w:r>
      <w:r w:rsidRPr="00896045">
        <w:t xml:space="preserve"> IMDG</w:t>
      </w:r>
      <w:r>
        <w:t>,</w:t>
      </w:r>
      <w:r w:rsidR="0057350D">
        <w:t xml:space="preserve"> </w:t>
      </w:r>
      <w:r>
        <w:t>étant donné que ce dernier n</w:t>
      </w:r>
      <w:r w:rsidR="00333FCB">
        <w:t>’</w:t>
      </w:r>
      <w:r>
        <w:t>autorise pas cette marque dans ce cas.</w:t>
      </w:r>
      <w:r w:rsidR="0057350D">
        <w:t xml:space="preserve"> </w:t>
      </w:r>
      <w:r w:rsidRPr="00896045">
        <w:t>La majorité des délégations se sont donc oppos</w:t>
      </w:r>
      <w:r>
        <w:t>é</w:t>
      </w:r>
      <w:r w:rsidRPr="00896045">
        <w:t>es à cette proposition.</w:t>
      </w:r>
      <w:r>
        <w:t xml:space="preserve"> </w:t>
      </w:r>
      <w:r w:rsidRPr="00896045">
        <w:t>Le représentant de la Suisse a invit</w:t>
      </w:r>
      <w:r>
        <w:t>é</w:t>
      </w:r>
      <w:r w:rsidRPr="00896045">
        <w:t xml:space="preserve"> les délégations à examiner la </w:t>
      </w:r>
      <w:r>
        <w:t xml:space="preserve">nouvelle </w:t>
      </w:r>
      <w:r w:rsidRPr="00896045">
        <w:t>proposition qui sera présentée à la prochaine session du WP.</w:t>
      </w:r>
      <w:r>
        <w:t>15 à propos des restrictions dans les tunnels.</w:t>
      </w:r>
      <w:r w:rsidRPr="00896045">
        <w:t xml:space="preserve"> </w:t>
      </w:r>
    </w:p>
    <w:p w14:paraId="4C0E70FC" w14:textId="77777777" w:rsidR="007B7BE0" w:rsidRPr="00896045" w:rsidRDefault="007B7BE0" w:rsidP="007B7BE0">
      <w:pPr>
        <w:pStyle w:val="H23G"/>
        <w:rPr>
          <w:lang w:eastAsia="fr-FR"/>
        </w:rPr>
      </w:pPr>
      <w:r w:rsidRPr="00896045">
        <w:tab/>
        <w:t>3.</w:t>
      </w:r>
      <w:r w:rsidRPr="00896045">
        <w:tab/>
      </w:r>
      <w:r>
        <w:t>C</w:t>
      </w:r>
      <w:r w:rsidRPr="00896045">
        <w:t>ours</w:t>
      </w:r>
      <w:r>
        <w:t xml:space="preserve"> de recyclage e</w:t>
      </w:r>
      <w:r w:rsidRPr="00896045">
        <w:t xml:space="preserve">n ligne pour les conducteurs de véhicules transportant </w:t>
      </w:r>
      <w:r w:rsidR="00A70778">
        <w:br/>
      </w:r>
      <w:r w:rsidRPr="00896045">
        <w:t>des marchandises dangereuses</w:t>
      </w:r>
    </w:p>
    <w:p w14:paraId="61114C1C" w14:textId="77777777" w:rsidR="007B7BE0" w:rsidRPr="006A49D3" w:rsidRDefault="007B7BE0" w:rsidP="00B70120">
      <w:pPr>
        <w:pStyle w:val="SingleTxtG"/>
        <w:ind w:left="3119" w:hanging="1985"/>
        <w:jc w:val="left"/>
      </w:pPr>
      <w:r w:rsidRPr="006A49D3">
        <w:rPr>
          <w:i/>
        </w:rPr>
        <w:t>Document</w:t>
      </w:r>
      <w:r w:rsidR="00B70120">
        <w:rPr>
          <w:i/>
        </w:rPr>
        <w:t> </w:t>
      </w:r>
      <w:r w:rsidRPr="006A49D3">
        <w:t>:</w:t>
      </w:r>
      <w:r w:rsidRPr="006A49D3">
        <w:tab/>
        <w:t>INF.36 (IRU)</w:t>
      </w:r>
      <w:r w:rsidR="00B70120">
        <w:t>.</w:t>
      </w:r>
    </w:p>
    <w:p w14:paraId="6FA1C2D5" w14:textId="07FED4A9" w:rsidR="007B7BE0" w:rsidRPr="00896045" w:rsidRDefault="007B7BE0" w:rsidP="00B70120">
      <w:pPr>
        <w:pStyle w:val="SingleTxtG"/>
      </w:pPr>
      <w:r w:rsidRPr="00896045">
        <w:t>24.</w:t>
      </w:r>
      <w:r w:rsidRPr="00896045">
        <w:tab/>
        <w:t>Un certain nombre de délégations ont formulé des observations à propos des directives relatives à des cours</w:t>
      </w:r>
      <w:r>
        <w:t xml:space="preserve"> de recyclage </w:t>
      </w:r>
      <w:r w:rsidRPr="00896045">
        <w:t xml:space="preserve">en ligne </w:t>
      </w:r>
      <w:r>
        <w:t>pour les conducteurs de véhicules transportant des marchandises dangereuses.</w:t>
      </w:r>
      <w:r w:rsidR="0057350D">
        <w:t xml:space="preserve"> </w:t>
      </w:r>
      <w:r w:rsidR="00B70120">
        <w:t>À</w:t>
      </w:r>
      <w:r w:rsidRPr="00896045">
        <w:t xml:space="preserve"> l</w:t>
      </w:r>
      <w:r w:rsidR="00333FCB">
        <w:t>’</w:t>
      </w:r>
      <w:r w:rsidRPr="00896045">
        <w:t>issue du débat, le représentant de l</w:t>
      </w:r>
      <w:r w:rsidR="00333FCB">
        <w:t>’</w:t>
      </w:r>
      <w:r w:rsidRPr="00896045">
        <w:t>IRU s</w:t>
      </w:r>
      <w:r w:rsidR="00333FCB">
        <w:t>’</w:t>
      </w:r>
      <w:r w:rsidRPr="00896045">
        <w:t>est propos</w:t>
      </w:r>
      <w:r>
        <w:t>é</w:t>
      </w:r>
      <w:r w:rsidRPr="00896045">
        <w:t xml:space="preserve"> pour établir une version révisée de ce document pour la session de printemps 2020, </w:t>
      </w:r>
      <w:r>
        <w:t>à la lumière des observations formulées.</w:t>
      </w:r>
    </w:p>
    <w:p w14:paraId="2BBC5E77" w14:textId="77777777" w:rsidR="007B7BE0" w:rsidRPr="00896045" w:rsidRDefault="007B7BE0" w:rsidP="007B7BE0">
      <w:pPr>
        <w:pStyle w:val="H1G"/>
      </w:pPr>
      <w:r w:rsidRPr="00896045">
        <w:tab/>
        <w:t>B.</w:t>
      </w:r>
      <w:r w:rsidRPr="00896045">
        <w:tab/>
        <w:t>Nouvelles propositions</w:t>
      </w:r>
    </w:p>
    <w:p w14:paraId="7480C315" w14:textId="33A5D13C" w:rsidR="007B7BE0" w:rsidRPr="00896045" w:rsidRDefault="007B7BE0" w:rsidP="007B7BE0">
      <w:pPr>
        <w:pStyle w:val="H23G"/>
      </w:pPr>
      <w:r w:rsidRPr="00896045">
        <w:tab/>
        <w:t>1.</w:t>
      </w:r>
      <w:r w:rsidRPr="00896045">
        <w:tab/>
        <w:t>No </w:t>
      </w:r>
      <w:r>
        <w:t xml:space="preserve">ONU </w:t>
      </w:r>
      <w:r w:rsidRPr="00896045">
        <w:t>3082</w:t>
      </w:r>
      <w:r>
        <w:t>, matières dangereuses du point de l</w:t>
      </w:r>
      <w:r w:rsidR="00333FCB">
        <w:t>’</w:t>
      </w:r>
      <w:r>
        <w:t>environnement</w:t>
      </w:r>
      <w:r w:rsidRPr="00896045">
        <w:t>, liquid</w:t>
      </w:r>
      <w:r>
        <w:t>es</w:t>
      </w:r>
      <w:r w:rsidRPr="00896045">
        <w:t xml:space="preserve">, </w:t>
      </w:r>
      <w:proofErr w:type="spellStart"/>
      <w:r w:rsidRPr="00896045">
        <w:t>n.s.</w:t>
      </w:r>
      <w:r>
        <w:t>a</w:t>
      </w:r>
      <w:proofErr w:type="spellEnd"/>
      <w:r w:rsidR="00A70778">
        <w:t>.</w:t>
      </w:r>
    </w:p>
    <w:p w14:paraId="0AC90441" w14:textId="77777777" w:rsidR="007B7BE0" w:rsidRPr="00B47A00" w:rsidRDefault="007B7BE0" w:rsidP="00B70120">
      <w:pPr>
        <w:pStyle w:val="SingleTxtG"/>
        <w:ind w:left="3119" w:hanging="1985"/>
        <w:jc w:val="left"/>
      </w:pPr>
      <w:r w:rsidRPr="00B47A00">
        <w:rPr>
          <w:i/>
        </w:rPr>
        <w:t>Document</w:t>
      </w:r>
      <w:r w:rsidR="00B70120">
        <w:rPr>
          <w:i/>
        </w:rPr>
        <w:t> </w:t>
      </w:r>
      <w:r w:rsidRPr="00B47A00">
        <w:t>:</w:t>
      </w:r>
      <w:r w:rsidRPr="00B47A00">
        <w:tab/>
        <w:t>ECE/TRANS/WP.15/AC.1/2019/42 (Ital</w:t>
      </w:r>
      <w:r>
        <w:t>ie</w:t>
      </w:r>
      <w:r w:rsidRPr="00B47A00">
        <w:t>)</w:t>
      </w:r>
      <w:r w:rsidR="00B70120">
        <w:t>.</w:t>
      </w:r>
    </w:p>
    <w:p w14:paraId="5CB4DC65" w14:textId="2AC30B94" w:rsidR="007B7BE0" w:rsidRPr="00E41AC1" w:rsidRDefault="007B7BE0" w:rsidP="007B7BE0">
      <w:pPr>
        <w:pStyle w:val="SingleTxtG"/>
      </w:pPr>
      <w:r w:rsidRPr="00FF1823">
        <w:t>25.</w:t>
      </w:r>
      <w:r w:rsidRPr="00FF1823">
        <w:tab/>
        <w:t xml:space="preserve">La Réunion commune a </w:t>
      </w:r>
      <w:r>
        <w:t>souscrit à</w:t>
      </w:r>
      <w:r w:rsidRPr="00FF1823">
        <w:t xml:space="preserve"> l</w:t>
      </w:r>
      <w:r w:rsidR="00333FCB">
        <w:t>’</w:t>
      </w:r>
      <w:r w:rsidRPr="00FF1823">
        <w:t>interprétation du Sous-Comité TMD selon laquelle les</w:t>
      </w:r>
      <w:r w:rsidR="0057350D">
        <w:t xml:space="preserve"> </w:t>
      </w:r>
      <w:r w:rsidRPr="00FF1823">
        <w:t xml:space="preserve">exemptions prévues dans la disposition spéciale 375 étaient facultatives, autrement dit que les </w:t>
      </w:r>
      <w:r>
        <w:t>expéditeur</w:t>
      </w:r>
      <w:r w:rsidRPr="00FF1823">
        <w:t>s pouvaient choisir d</w:t>
      </w:r>
      <w:r w:rsidR="00333FCB">
        <w:t>’</w:t>
      </w:r>
      <w:r w:rsidRPr="00FF1823">
        <w:t>applique</w:t>
      </w:r>
      <w:r>
        <w:t>r toutes les dispositions lorsque la disposition spéciale d</w:t>
      </w:r>
      <w:r w:rsidR="00333FCB">
        <w:t>’</w:t>
      </w:r>
      <w:r>
        <w:t>emballage</w:t>
      </w:r>
      <w:r w:rsidR="0057350D">
        <w:t xml:space="preserve"> </w:t>
      </w:r>
      <w:r w:rsidRPr="00FF1823">
        <w:t xml:space="preserve">PP1 </w:t>
      </w:r>
      <w:r>
        <w:t>de l</w:t>
      </w:r>
      <w:r w:rsidR="00333FCB">
        <w:t>’</w:t>
      </w:r>
      <w:r w:rsidRPr="00FF1823">
        <w:t>instruction</w:t>
      </w:r>
      <w:r>
        <w:t xml:space="preserve"> d</w:t>
      </w:r>
      <w:r w:rsidR="00333FCB">
        <w:t>’</w:t>
      </w:r>
      <w:r>
        <w:t>emballage</w:t>
      </w:r>
      <w:r w:rsidRPr="00FF1823">
        <w:t xml:space="preserve"> P001 stipula</w:t>
      </w:r>
      <w:r>
        <w:t>it que, pour les colis de moins de</w:t>
      </w:r>
      <w:r w:rsidR="0057350D">
        <w:t xml:space="preserve"> </w:t>
      </w:r>
      <w:r w:rsidRPr="00FF1823">
        <w:t xml:space="preserve">5 </w:t>
      </w:r>
      <w:r w:rsidRPr="00FF1823">
        <w:rPr>
          <w:iCs/>
        </w:rPr>
        <w:t xml:space="preserve">l, on pouvait utiliser des emballages </w:t>
      </w:r>
      <w:r>
        <w:rPr>
          <w:iCs/>
        </w:rPr>
        <w:t>non</w:t>
      </w:r>
      <w:r w:rsidRPr="00FF1823">
        <w:rPr>
          <w:iCs/>
        </w:rPr>
        <w:t xml:space="preserve"> soumis aux </w:t>
      </w:r>
      <w:r>
        <w:rPr>
          <w:iCs/>
        </w:rPr>
        <w:t>épreuve</w:t>
      </w:r>
      <w:r w:rsidRPr="00FF1823">
        <w:rPr>
          <w:iCs/>
        </w:rPr>
        <w:t>s du chapitre 6.1</w:t>
      </w:r>
      <w:r w:rsidRPr="00FF1823">
        <w:t xml:space="preserve"> (</w:t>
      </w:r>
      <w:r>
        <w:t>voir</w:t>
      </w:r>
      <w:r w:rsidRPr="00FF1823">
        <w:t xml:space="preserve"> ST/SG/AC.10/C.3/102, par</w:t>
      </w:r>
      <w:r w:rsidR="00B70120">
        <w:t>. </w:t>
      </w:r>
      <w:r w:rsidRPr="00FF1823">
        <w:t xml:space="preserve">36). </w:t>
      </w:r>
      <w:r w:rsidRPr="002C3B96">
        <w:t xml:space="preserve">La </w:t>
      </w:r>
      <w:r>
        <w:t>Ré</w:t>
      </w:r>
      <w:r w:rsidRPr="002C3B96">
        <w:t xml:space="preserve">union commune a donc estimé que le libellé de la disposition spéciale était clair et ne nécessitait pas de modification. </w:t>
      </w:r>
    </w:p>
    <w:p w14:paraId="21780408" w14:textId="77777777" w:rsidR="007B7BE0" w:rsidRPr="002C3B96" w:rsidRDefault="007B7BE0" w:rsidP="007B7BE0">
      <w:pPr>
        <w:pStyle w:val="H23G"/>
      </w:pPr>
      <w:r w:rsidRPr="00E41AC1">
        <w:tab/>
      </w:r>
      <w:r w:rsidRPr="002C3B96">
        <w:t>2.</w:t>
      </w:r>
      <w:r w:rsidRPr="002C3B96">
        <w:tab/>
        <w:t>Transports d</w:t>
      </w:r>
      <w:r>
        <w:t>a</w:t>
      </w:r>
      <w:r w:rsidRPr="002C3B96">
        <w:t>ns une chaîne de transport comportant un parcours maritime</w:t>
      </w:r>
    </w:p>
    <w:p w14:paraId="143F6B9E" w14:textId="77777777" w:rsidR="007B7BE0" w:rsidRPr="00B47A00" w:rsidRDefault="007B7BE0" w:rsidP="00B70120">
      <w:pPr>
        <w:pStyle w:val="SingleTxtG"/>
        <w:ind w:left="3119" w:hanging="1985"/>
        <w:jc w:val="left"/>
      </w:pPr>
      <w:r w:rsidRPr="00B47A00">
        <w:rPr>
          <w:i/>
        </w:rPr>
        <w:t>Document</w:t>
      </w:r>
      <w:r w:rsidR="00B70120">
        <w:rPr>
          <w:i/>
        </w:rPr>
        <w:t> </w:t>
      </w:r>
      <w:r w:rsidRPr="00B47A00">
        <w:t>:</w:t>
      </w:r>
      <w:r w:rsidRPr="00B47A00">
        <w:tab/>
        <w:t>ECE/TRANS/WP.15/AC.1/2019/43 (Ital</w:t>
      </w:r>
      <w:r>
        <w:t>ie</w:t>
      </w:r>
      <w:r w:rsidRPr="00B47A00">
        <w:t>)</w:t>
      </w:r>
      <w:r w:rsidR="00B70120">
        <w:t>.</w:t>
      </w:r>
    </w:p>
    <w:p w14:paraId="60105587" w14:textId="6F97CC15" w:rsidR="007B7BE0" w:rsidRPr="002C3B96" w:rsidRDefault="007B7BE0" w:rsidP="00B70120">
      <w:pPr>
        <w:pStyle w:val="SingleTxtG"/>
      </w:pPr>
      <w:r w:rsidRPr="002C3B96">
        <w:t>26.</w:t>
      </w:r>
      <w:r w:rsidRPr="002C3B96">
        <w:tab/>
        <w:t>Le représentant de l</w:t>
      </w:r>
      <w:r w:rsidR="00333FCB">
        <w:t>’</w:t>
      </w:r>
      <w:r w:rsidRPr="002C3B96">
        <w:t>Italie a retir</w:t>
      </w:r>
      <w:r>
        <w:t>é</w:t>
      </w:r>
      <w:r w:rsidRPr="002C3B96">
        <w:t xml:space="preserve"> sa proposition.</w:t>
      </w:r>
    </w:p>
    <w:p w14:paraId="6DAE00AB" w14:textId="397B9851" w:rsidR="007B7BE0" w:rsidRPr="002C3B96" w:rsidRDefault="007B7BE0" w:rsidP="007B7BE0">
      <w:pPr>
        <w:pStyle w:val="H23G"/>
      </w:pPr>
      <w:r w:rsidRPr="002C3B96">
        <w:tab/>
        <w:t>3.</w:t>
      </w:r>
      <w:r w:rsidRPr="002C3B96">
        <w:tab/>
        <w:t>Classification de</w:t>
      </w:r>
      <w:r>
        <w:t>s</w:t>
      </w:r>
      <w:r w:rsidRPr="002C3B96">
        <w:t xml:space="preserve"> matières de la classe 9 </w:t>
      </w:r>
      <w:r>
        <w:t xml:space="preserve">autres que les matières dangereuses </w:t>
      </w:r>
      <w:r w:rsidR="00B70120">
        <w:br/>
      </w:r>
      <w:r>
        <w:t>pour l</w:t>
      </w:r>
      <w:r w:rsidR="00333FCB">
        <w:t>’</w:t>
      </w:r>
      <w:r>
        <w:t>environnement</w:t>
      </w:r>
    </w:p>
    <w:p w14:paraId="475C9E26" w14:textId="77777777" w:rsidR="007B7BE0" w:rsidRPr="00B47A00" w:rsidRDefault="007B7BE0" w:rsidP="00B70120">
      <w:pPr>
        <w:pStyle w:val="SingleTxtG"/>
        <w:ind w:left="3119" w:hanging="1985"/>
        <w:jc w:val="left"/>
      </w:pPr>
      <w:r w:rsidRPr="00B47A00">
        <w:rPr>
          <w:i/>
        </w:rPr>
        <w:t>Document</w:t>
      </w:r>
      <w:r w:rsidR="00B70120">
        <w:rPr>
          <w:i/>
        </w:rPr>
        <w:t> </w:t>
      </w:r>
      <w:r w:rsidRPr="00B47A00">
        <w:t>:</w:t>
      </w:r>
      <w:r w:rsidRPr="00B47A00">
        <w:tab/>
        <w:t>ECE/TRANS/WP.15/AC.1/2019/47 (S</w:t>
      </w:r>
      <w:r>
        <w:t>uisse</w:t>
      </w:r>
      <w:r w:rsidRPr="00B47A00">
        <w:t>)</w:t>
      </w:r>
      <w:r w:rsidR="00FA7173">
        <w:t>.</w:t>
      </w:r>
    </w:p>
    <w:p w14:paraId="472C05B9" w14:textId="77777777" w:rsidR="007B7BE0" w:rsidRPr="002C3B96" w:rsidRDefault="007B7BE0" w:rsidP="00FA7173">
      <w:pPr>
        <w:pStyle w:val="SingleTxtG"/>
      </w:pPr>
      <w:r w:rsidRPr="002C3B96">
        <w:t>27.</w:t>
      </w:r>
      <w:r w:rsidRPr="002C3B96">
        <w:tab/>
      </w:r>
      <w:r>
        <w:t>L</w:t>
      </w:r>
      <w:r w:rsidRPr="002C3B96">
        <w:t>a proposition a été adoptée (voir annexe II).</w:t>
      </w:r>
    </w:p>
    <w:p w14:paraId="7EE475F3" w14:textId="700FB97D" w:rsidR="007B7BE0" w:rsidRPr="002C3B96" w:rsidRDefault="007B7BE0" w:rsidP="00B70120">
      <w:pPr>
        <w:pStyle w:val="H23G"/>
      </w:pPr>
      <w:r w:rsidRPr="002C3B96">
        <w:tab/>
        <w:t>4.</w:t>
      </w:r>
      <w:r w:rsidRPr="002C3B96">
        <w:tab/>
        <w:t>Proposition d</w:t>
      </w:r>
      <w:r w:rsidR="00333FCB">
        <w:t>’</w:t>
      </w:r>
      <w:r w:rsidRPr="002C3B96">
        <w:t xml:space="preserve">amendement </w:t>
      </w:r>
      <w:r>
        <w:t>a</w:t>
      </w:r>
      <w:r w:rsidRPr="002C3B96">
        <w:t>u chap</w:t>
      </w:r>
      <w:r>
        <w:t>i</w:t>
      </w:r>
      <w:r w:rsidRPr="002C3B96">
        <w:t>t</w:t>
      </w:r>
      <w:r>
        <w:t>re</w:t>
      </w:r>
      <w:r w:rsidRPr="002C3B96">
        <w:t xml:space="preserve"> 1.2 du RID/ADR</w:t>
      </w:r>
    </w:p>
    <w:p w14:paraId="1D8DF320" w14:textId="77777777" w:rsidR="007B7BE0" w:rsidRPr="00B47A00" w:rsidRDefault="007B7BE0" w:rsidP="00B70120">
      <w:pPr>
        <w:pStyle w:val="SingleTxtG"/>
        <w:ind w:left="3119" w:hanging="1985"/>
        <w:jc w:val="left"/>
      </w:pPr>
      <w:r w:rsidRPr="00B47A00">
        <w:rPr>
          <w:i/>
        </w:rPr>
        <w:t>Document</w:t>
      </w:r>
      <w:r w:rsidR="00B70120">
        <w:rPr>
          <w:i/>
        </w:rPr>
        <w:t> </w:t>
      </w:r>
      <w:r w:rsidRPr="00B47A00">
        <w:t>:</w:t>
      </w:r>
      <w:r w:rsidRPr="00B47A00">
        <w:tab/>
        <w:t>ECE/TRANS/WP.15/AC.1/2019/27 (Portugal)</w:t>
      </w:r>
      <w:r w:rsidR="00B70120">
        <w:t>.</w:t>
      </w:r>
    </w:p>
    <w:p w14:paraId="69B4D23D" w14:textId="4A591069" w:rsidR="007B7BE0" w:rsidRPr="002C3B96" w:rsidRDefault="007B7BE0" w:rsidP="00FA7173">
      <w:pPr>
        <w:pStyle w:val="SingleTxtG"/>
      </w:pPr>
      <w:r w:rsidRPr="002C3B96">
        <w:t>28.</w:t>
      </w:r>
      <w:r w:rsidRPr="002C3B96">
        <w:tab/>
        <w:t>L</w:t>
      </w:r>
      <w:r>
        <w:t>a Réunion commune a accueilli favorablement le document</w:t>
      </w:r>
      <w:r w:rsidR="0057350D">
        <w:t xml:space="preserve"> </w:t>
      </w:r>
      <w:r w:rsidRPr="002C3B96">
        <w:t>et a pris note d</w:t>
      </w:r>
      <w:r w:rsidR="00333FCB">
        <w:t>’</w:t>
      </w:r>
      <w:r w:rsidRPr="002C3B96">
        <w:t>un certain nombre d</w:t>
      </w:r>
      <w:r w:rsidR="00333FCB">
        <w:t>’</w:t>
      </w:r>
      <w:r w:rsidRPr="002C3B96">
        <w:t>observations. Le représentant de l</w:t>
      </w:r>
      <w:r w:rsidR="00333FCB">
        <w:t>’</w:t>
      </w:r>
      <w:r w:rsidRPr="002C3B96">
        <w:t>OTIF</w:t>
      </w:r>
      <w:r>
        <w:t xml:space="preserve"> a</w:t>
      </w:r>
      <w:r w:rsidRPr="002C3B96">
        <w:t xml:space="preserve"> propos</w:t>
      </w:r>
      <w:r>
        <w:t>é</w:t>
      </w:r>
      <w:r w:rsidRPr="002C3B96">
        <w:t xml:space="preserve"> que l</w:t>
      </w:r>
      <w:r w:rsidR="00333FCB">
        <w:t>’</w:t>
      </w:r>
      <w:r w:rsidRPr="002C3B96">
        <w:t>on y ajoute quelques nouveaux sigles comme G</w:t>
      </w:r>
      <w:r>
        <w:t xml:space="preserve">NC </w:t>
      </w:r>
      <w:r w:rsidRPr="002C3B96">
        <w:t>(</w:t>
      </w:r>
      <w:r>
        <w:t>Gaz naturel comprimé</w:t>
      </w:r>
      <w:r w:rsidRPr="002C3B96">
        <w:t>), G</w:t>
      </w:r>
      <w:r>
        <w:t>NL</w:t>
      </w:r>
      <w:r w:rsidRPr="002C3B96">
        <w:t xml:space="preserve"> (</w:t>
      </w:r>
      <w:r>
        <w:t>Gaz naturel liquéfié</w:t>
      </w:r>
      <w:r w:rsidRPr="002C3B96">
        <w:t>)</w:t>
      </w:r>
      <w:r>
        <w:t xml:space="preserve"> ou CTU</w:t>
      </w:r>
      <w:r w:rsidRPr="002C3B96">
        <w:t xml:space="preserve"> (</w:t>
      </w:r>
      <w:r>
        <w:t>Engin de</w:t>
      </w:r>
      <w:r w:rsidRPr="002C3B96">
        <w:t xml:space="preserve"> </w:t>
      </w:r>
      <w:r>
        <w:t>t</w:t>
      </w:r>
      <w:r w:rsidRPr="002C3B96">
        <w:t>ransport). Le représentant du Portugal s</w:t>
      </w:r>
      <w:r w:rsidR="00333FCB">
        <w:t>’</w:t>
      </w:r>
      <w:r w:rsidRPr="002C3B96">
        <w:t>est propos</w:t>
      </w:r>
      <w:r>
        <w:t>é</w:t>
      </w:r>
      <w:r w:rsidRPr="002C3B96">
        <w:t xml:space="preserve"> pour établir une </w:t>
      </w:r>
      <w:r>
        <w:t>proposition qui serait soumise à l</w:t>
      </w:r>
      <w:r w:rsidR="00333FCB">
        <w:t>’</w:t>
      </w:r>
      <w:r>
        <w:t>examen de la prochaine session, compte tenu des observations formulées.</w:t>
      </w:r>
      <w:r w:rsidR="0057350D">
        <w:t xml:space="preserve"> </w:t>
      </w:r>
    </w:p>
    <w:p w14:paraId="58F2502A" w14:textId="77777777" w:rsidR="007B7BE0" w:rsidRPr="002C3B96" w:rsidRDefault="007B7BE0" w:rsidP="00B70120">
      <w:pPr>
        <w:pStyle w:val="H23G"/>
      </w:pPr>
      <w:r w:rsidRPr="002C3B96">
        <w:lastRenderedPageBreak/>
        <w:tab/>
        <w:t>5.</w:t>
      </w:r>
      <w:r w:rsidRPr="002C3B96">
        <w:tab/>
        <w:t>Modification de la section 1.2.1 (Définitions)</w:t>
      </w:r>
    </w:p>
    <w:p w14:paraId="62FA4B93" w14:textId="77777777" w:rsidR="007B7BE0" w:rsidRPr="006A49D3" w:rsidRDefault="007B7BE0" w:rsidP="00B70120">
      <w:pPr>
        <w:pStyle w:val="SingleTxtG"/>
        <w:ind w:left="3119" w:hanging="1985"/>
        <w:jc w:val="left"/>
      </w:pPr>
      <w:r w:rsidRPr="006A49D3">
        <w:rPr>
          <w:i/>
        </w:rPr>
        <w:t>Document</w:t>
      </w:r>
      <w:r w:rsidR="00FA7173">
        <w:rPr>
          <w:i/>
        </w:rPr>
        <w:t> </w:t>
      </w:r>
      <w:r w:rsidRPr="006A49D3">
        <w:t>:</w:t>
      </w:r>
      <w:r w:rsidRPr="006A49D3">
        <w:tab/>
        <w:t>ECE/TRANS/WP.15/AC.1/2019/30 (ITCO)</w:t>
      </w:r>
      <w:r w:rsidR="00FA7173">
        <w:t>.</w:t>
      </w:r>
    </w:p>
    <w:p w14:paraId="37322AF5" w14:textId="44C656D4" w:rsidR="007B7BE0" w:rsidRPr="002C3B96" w:rsidRDefault="007B7BE0" w:rsidP="007B7BE0">
      <w:pPr>
        <w:spacing w:after="120"/>
        <w:ind w:left="1134" w:right="1134"/>
        <w:jc w:val="both"/>
      </w:pPr>
      <w:bookmarkStart w:id="3" w:name="_Hlk19811304"/>
      <w:r w:rsidRPr="002C3B96">
        <w:t>29.</w:t>
      </w:r>
      <w:r w:rsidRPr="002C3B96">
        <w:tab/>
        <w:t>La Réunion commune a adopté la proposition telle qu</w:t>
      </w:r>
      <w:r w:rsidR="00333FCB">
        <w:t>’</w:t>
      </w:r>
      <w:r w:rsidRPr="002C3B96">
        <w:t xml:space="preserve">amendée </w:t>
      </w:r>
      <w:bookmarkEnd w:id="3"/>
      <w:r w:rsidRPr="002C3B96">
        <w:t>(voir annexe II).</w:t>
      </w:r>
    </w:p>
    <w:p w14:paraId="1AA6C9B4" w14:textId="323C61A7" w:rsidR="007B7BE0" w:rsidRPr="002C3B96" w:rsidRDefault="007B7BE0" w:rsidP="007B7BE0">
      <w:pPr>
        <w:pStyle w:val="H23G"/>
      </w:pPr>
      <w:r w:rsidRPr="002C3B96">
        <w:tab/>
        <w:t>6.</w:t>
      </w:r>
      <w:r w:rsidRPr="002C3B96">
        <w:tab/>
        <w:t>M</w:t>
      </w:r>
      <w:r>
        <w:t>i</w:t>
      </w:r>
      <w:r w:rsidRPr="002C3B96">
        <w:t>se à jour des renvois à la documentation technique de l</w:t>
      </w:r>
      <w:r w:rsidR="00333FCB">
        <w:t>’</w:t>
      </w:r>
      <w:r w:rsidRPr="002C3B96">
        <w:t xml:space="preserve">UIC en ce qui concerne </w:t>
      </w:r>
      <w:r w:rsidR="00FA7173">
        <w:br/>
      </w:r>
      <w:r w:rsidRPr="002C3B96">
        <w:t>le transport combiné</w:t>
      </w:r>
    </w:p>
    <w:p w14:paraId="0B94C9EC" w14:textId="77777777" w:rsidR="007B7BE0" w:rsidRPr="00535410" w:rsidRDefault="007B7BE0" w:rsidP="00B70120">
      <w:pPr>
        <w:pStyle w:val="SingleTxtG"/>
        <w:ind w:left="3119" w:hanging="1985"/>
        <w:jc w:val="left"/>
      </w:pPr>
      <w:r w:rsidRPr="00535410">
        <w:rPr>
          <w:i/>
          <w:iCs/>
        </w:rPr>
        <w:t>Document</w:t>
      </w:r>
      <w:r>
        <w:rPr>
          <w:i/>
          <w:iCs/>
        </w:rPr>
        <w:t xml:space="preserve"> officiel</w:t>
      </w:r>
      <w:r w:rsidR="00FA7173">
        <w:rPr>
          <w:i/>
          <w:iCs/>
        </w:rPr>
        <w:t> </w:t>
      </w:r>
      <w:r w:rsidRPr="00FA7173">
        <w:rPr>
          <w:iCs/>
        </w:rPr>
        <w:t>:</w:t>
      </w:r>
      <w:r w:rsidRPr="00535410">
        <w:tab/>
        <w:t>ECE/TRANS/WP.15/AC.1/2019/48 (UIC)</w:t>
      </w:r>
    </w:p>
    <w:p w14:paraId="661319CE" w14:textId="77777777" w:rsidR="007B7BE0" w:rsidRPr="002C3B96" w:rsidRDefault="007B7BE0" w:rsidP="00B70120">
      <w:pPr>
        <w:pStyle w:val="SingleTxtG"/>
        <w:ind w:left="3119" w:hanging="1985"/>
        <w:jc w:val="left"/>
      </w:pPr>
      <w:r w:rsidRPr="002C3B96">
        <w:rPr>
          <w:i/>
          <w:iCs/>
        </w:rPr>
        <w:t>Document informel</w:t>
      </w:r>
      <w:r w:rsidR="00FA7173">
        <w:rPr>
          <w:i/>
          <w:iCs/>
        </w:rPr>
        <w:t> </w:t>
      </w:r>
      <w:r w:rsidRPr="00FA7173">
        <w:rPr>
          <w:iCs/>
        </w:rPr>
        <w:t>:</w:t>
      </w:r>
      <w:r w:rsidRPr="002C3B96">
        <w:tab/>
        <w:t>INF.3 (UIC)</w:t>
      </w:r>
      <w:r w:rsidR="00FA7173">
        <w:t>.</w:t>
      </w:r>
    </w:p>
    <w:p w14:paraId="05D1E116" w14:textId="797B892A" w:rsidR="007B7BE0" w:rsidRPr="002C3B96" w:rsidRDefault="007B7BE0" w:rsidP="007B7BE0">
      <w:pPr>
        <w:spacing w:after="120"/>
        <w:ind w:left="1134" w:right="1134"/>
        <w:jc w:val="both"/>
      </w:pPr>
      <w:r w:rsidRPr="002C3B96">
        <w:t>30.</w:t>
      </w:r>
      <w:r w:rsidRPr="002C3B96">
        <w:tab/>
        <w:t>La Réunion commune a adopté la proposition visant à me</w:t>
      </w:r>
      <w:r>
        <w:t>t</w:t>
      </w:r>
      <w:r w:rsidRPr="002C3B96">
        <w:t>tre à jour les renvois à des documents d</w:t>
      </w:r>
      <w:r>
        <w:t>e l</w:t>
      </w:r>
      <w:r w:rsidR="00333FCB">
        <w:t>’</w:t>
      </w:r>
      <w:r>
        <w:t>UIC aux paragraphes</w:t>
      </w:r>
      <w:r w:rsidRPr="002C3B96">
        <w:t xml:space="preserve"> 6.11.4.1 </w:t>
      </w:r>
      <w:r>
        <w:t xml:space="preserve">et </w:t>
      </w:r>
      <w:r w:rsidRPr="002C3B96">
        <w:t xml:space="preserve">7.1.3 </w:t>
      </w:r>
      <w:r>
        <w:t>du</w:t>
      </w:r>
      <w:r w:rsidRPr="002C3B96">
        <w:t xml:space="preserve"> RID/ADR (</w:t>
      </w:r>
      <w:r>
        <w:t xml:space="preserve">voir </w:t>
      </w:r>
      <w:r w:rsidRPr="002C3B96">
        <w:t>annex</w:t>
      </w:r>
      <w:r>
        <w:t>e</w:t>
      </w:r>
      <w:r w:rsidRPr="002C3B96">
        <w:t xml:space="preserve"> II).</w:t>
      </w:r>
    </w:p>
    <w:p w14:paraId="5FB4B606" w14:textId="77777777" w:rsidR="007B7BE0" w:rsidRPr="002C3B96" w:rsidRDefault="007B7BE0" w:rsidP="007B7BE0">
      <w:pPr>
        <w:pStyle w:val="H23G"/>
      </w:pPr>
      <w:r w:rsidRPr="002C3B96">
        <w:tab/>
      </w:r>
      <w:r w:rsidRPr="006A49D3">
        <w:t>7.</w:t>
      </w:r>
      <w:r w:rsidRPr="006A49D3">
        <w:tab/>
        <w:t>Inclusion du No</w:t>
      </w:r>
      <w:r w:rsidR="00FA7173">
        <w:t> </w:t>
      </w:r>
      <w:r w:rsidRPr="002C3B96">
        <w:t>ONU</w:t>
      </w:r>
      <w:r w:rsidR="00FA7173">
        <w:t> </w:t>
      </w:r>
      <w:r w:rsidRPr="002C3B96">
        <w:t xml:space="preserve">3358 dans la liste des </w:t>
      </w:r>
      <w:r>
        <w:t>rubriqu</w:t>
      </w:r>
      <w:r w:rsidRPr="002C3B96">
        <w:t>es collectives</w:t>
      </w:r>
    </w:p>
    <w:p w14:paraId="32B7E464" w14:textId="77777777" w:rsidR="007B7BE0" w:rsidRPr="002C3B96" w:rsidRDefault="007B7BE0" w:rsidP="00B70120">
      <w:pPr>
        <w:pStyle w:val="SingleTxtG"/>
        <w:ind w:left="3119" w:hanging="1985"/>
        <w:jc w:val="left"/>
      </w:pPr>
      <w:r w:rsidRPr="002C3B96">
        <w:rPr>
          <w:i/>
        </w:rPr>
        <w:t>Document</w:t>
      </w:r>
      <w:r w:rsidR="00FA7173">
        <w:rPr>
          <w:i/>
        </w:rPr>
        <w:t> </w:t>
      </w:r>
      <w:r w:rsidRPr="002C3B96">
        <w:t>:</w:t>
      </w:r>
      <w:r w:rsidRPr="002C3B96">
        <w:tab/>
        <w:t>INF.12 (OTIF)</w:t>
      </w:r>
      <w:r w:rsidR="00FA7173">
        <w:t>.</w:t>
      </w:r>
    </w:p>
    <w:p w14:paraId="53C18C7F" w14:textId="1B5DB0EE" w:rsidR="007B7BE0" w:rsidRPr="002C3B96" w:rsidRDefault="007B7BE0" w:rsidP="00FA7173">
      <w:pPr>
        <w:pStyle w:val="SingleTxtG"/>
      </w:pPr>
      <w:r w:rsidRPr="002C3B96">
        <w:t>31.</w:t>
      </w:r>
      <w:r w:rsidRPr="002C3B96">
        <w:tab/>
        <w:t xml:space="preserve">La </w:t>
      </w:r>
      <w:r>
        <w:t>Ré</w:t>
      </w:r>
      <w:r w:rsidRPr="002C3B96">
        <w:t>union commune a adopté l</w:t>
      </w:r>
      <w:r w:rsidR="00333FCB">
        <w:t>’</w:t>
      </w:r>
      <w:r w:rsidRPr="002C3B96">
        <w:t>amendement</w:t>
      </w:r>
      <w:r>
        <w:t xml:space="preserve"> proposé</w:t>
      </w:r>
      <w:r w:rsidRPr="002C3B96">
        <w:t xml:space="preserve"> (</w:t>
      </w:r>
      <w:r>
        <w:t>voir</w:t>
      </w:r>
      <w:r w:rsidRPr="002C3B96">
        <w:t xml:space="preserve"> annex</w:t>
      </w:r>
      <w:r>
        <w:t>e</w:t>
      </w:r>
      <w:r w:rsidRPr="002C3B96">
        <w:t xml:space="preserve"> II).</w:t>
      </w:r>
    </w:p>
    <w:p w14:paraId="4337B882" w14:textId="77777777" w:rsidR="007B7BE0" w:rsidRPr="002C3B96" w:rsidRDefault="007B7BE0" w:rsidP="00FA7173">
      <w:pPr>
        <w:pStyle w:val="H23G"/>
      </w:pPr>
      <w:r w:rsidRPr="002C3B96">
        <w:tab/>
        <w:t>8.</w:t>
      </w:r>
      <w:r w:rsidRPr="002C3B96">
        <w:tab/>
        <w:t xml:space="preserve">Modification de la disposition spéciale 591 </w:t>
      </w:r>
      <w:r>
        <w:t>au</w:t>
      </w:r>
      <w:r w:rsidRPr="002C3B96">
        <w:t xml:space="preserve"> </w:t>
      </w:r>
      <w:r>
        <w:t>c</w:t>
      </w:r>
      <w:r w:rsidRPr="002C3B96">
        <w:t>hap</w:t>
      </w:r>
      <w:r>
        <w:t>i</w:t>
      </w:r>
      <w:r w:rsidRPr="002C3B96">
        <w:t>tr</w:t>
      </w:r>
      <w:r>
        <w:t>e</w:t>
      </w:r>
      <w:r w:rsidRPr="002C3B96">
        <w:t xml:space="preserve"> 3.3 </w:t>
      </w:r>
      <w:r>
        <w:t>du</w:t>
      </w:r>
      <w:r w:rsidRPr="002C3B96">
        <w:t xml:space="preserve"> RID/ADR/ADN</w:t>
      </w:r>
    </w:p>
    <w:p w14:paraId="4BAE1AEF" w14:textId="77777777" w:rsidR="007B7BE0" w:rsidRPr="006A49D3" w:rsidRDefault="007B7BE0" w:rsidP="00B70120">
      <w:pPr>
        <w:pStyle w:val="SingleTxtG"/>
        <w:ind w:left="3119" w:hanging="1985"/>
        <w:jc w:val="left"/>
      </w:pPr>
      <w:r w:rsidRPr="006A49D3">
        <w:rPr>
          <w:i/>
        </w:rPr>
        <w:t>Document</w:t>
      </w:r>
      <w:r w:rsidR="00FA7173">
        <w:rPr>
          <w:i/>
        </w:rPr>
        <w:t> </w:t>
      </w:r>
      <w:r w:rsidRPr="00FA7173">
        <w:t>:</w:t>
      </w:r>
      <w:r w:rsidRPr="006A49D3">
        <w:tab/>
        <w:t>INF.13 (Allemagne)</w:t>
      </w:r>
      <w:r w:rsidR="00FA7173">
        <w:t>.</w:t>
      </w:r>
    </w:p>
    <w:p w14:paraId="714C1624" w14:textId="0D353A86" w:rsidR="007B7BE0" w:rsidRPr="00E41AC1" w:rsidRDefault="007B7BE0" w:rsidP="007B7BE0">
      <w:pPr>
        <w:spacing w:after="120"/>
        <w:ind w:left="1134" w:right="1134"/>
        <w:jc w:val="both"/>
      </w:pPr>
      <w:r w:rsidRPr="00E41AC1">
        <w:t>32.</w:t>
      </w:r>
      <w:r w:rsidRPr="00E41AC1">
        <w:tab/>
        <w:t>La Réunion commune a noté les observations concernant la proposition visant à préciser le classement du sul</w:t>
      </w:r>
      <w:r>
        <w:t>f</w:t>
      </w:r>
      <w:r w:rsidRPr="00E41AC1">
        <w:t>ate de cuivre contenant au maximum 3</w:t>
      </w:r>
      <w:r w:rsidR="00A70778">
        <w:t> </w:t>
      </w:r>
      <w:r w:rsidRPr="00E41AC1">
        <w:t>% d</w:t>
      </w:r>
      <w:r w:rsidR="00333FCB">
        <w:t>’</w:t>
      </w:r>
      <w:r w:rsidRPr="00E41AC1">
        <w:t>acide libre. Le représentant de l</w:t>
      </w:r>
      <w:r w:rsidR="00333FCB">
        <w:t>’</w:t>
      </w:r>
      <w:r w:rsidRPr="00E41AC1">
        <w:t>Allemagne s</w:t>
      </w:r>
      <w:r w:rsidR="00333FCB">
        <w:t>’</w:t>
      </w:r>
      <w:r w:rsidRPr="00E41AC1">
        <w:t>est propos</w:t>
      </w:r>
      <w:r>
        <w:t>é</w:t>
      </w:r>
      <w:r w:rsidRPr="00E41AC1">
        <w:t xml:space="preserve"> pour établir un document offici</w:t>
      </w:r>
      <w:r>
        <w:t>e</w:t>
      </w:r>
      <w:r w:rsidRPr="00E41AC1">
        <w:t xml:space="preserve">l </w:t>
      </w:r>
      <w:r>
        <w:t>qui serait soumis à la prochaine session, compte tenu des observations formulées.</w:t>
      </w:r>
    </w:p>
    <w:p w14:paraId="0EFA62AF" w14:textId="77777777" w:rsidR="007B7BE0" w:rsidRPr="00E41AC1" w:rsidRDefault="007B7BE0" w:rsidP="007B7BE0">
      <w:pPr>
        <w:pStyle w:val="H23G"/>
      </w:pPr>
      <w:r w:rsidRPr="00E41AC1">
        <w:tab/>
        <w:t>9.</w:t>
      </w:r>
      <w:r w:rsidRPr="00E41AC1">
        <w:tab/>
        <w:t>Suppression de la disposition provisoire 1.6.1.22 du RID/ADR/ADN</w:t>
      </w:r>
    </w:p>
    <w:p w14:paraId="36A893F0" w14:textId="77777777" w:rsidR="007B7BE0" w:rsidRPr="00E41AC1" w:rsidRDefault="007B7BE0" w:rsidP="00B70120">
      <w:pPr>
        <w:pStyle w:val="SingleTxtG"/>
        <w:ind w:left="3119" w:hanging="1985"/>
        <w:jc w:val="left"/>
      </w:pPr>
      <w:r w:rsidRPr="00E41AC1">
        <w:rPr>
          <w:i/>
        </w:rPr>
        <w:t>Document</w:t>
      </w:r>
      <w:r w:rsidR="00FA7173">
        <w:rPr>
          <w:i/>
        </w:rPr>
        <w:t> </w:t>
      </w:r>
      <w:r w:rsidRPr="00FA7173">
        <w:t>:</w:t>
      </w:r>
      <w:r w:rsidRPr="00E41AC1">
        <w:tab/>
        <w:t>INF.14 (Allemagne)</w:t>
      </w:r>
      <w:r w:rsidR="00FA7173">
        <w:t>.</w:t>
      </w:r>
    </w:p>
    <w:p w14:paraId="7C403926" w14:textId="43734BC6" w:rsidR="007B7BE0" w:rsidRPr="00E41AC1" w:rsidRDefault="007B7BE0" w:rsidP="00FA7173">
      <w:pPr>
        <w:pStyle w:val="SingleTxtG"/>
      </w:pPr>
      <w:r w:rsidRPr="00E41AC1">
        <w:t>33.</w:t>
      </w:r>
      <w:r w:rsidRPr="00E41AC1">
        <w:tab/>
        <w:t>La Réunion commune a adopté l</w:t>
      </w:r>
      <w:r w:rsidR="00333FCB">
        <w:t>’</w:t>
      </w:r>
      <w:r w:rsidRPr="00E41AC1">
        <w:t>amendement proposé (voir annexe II).</w:t>
      </w:r>
    </w:p>
    <w:p w14:paraId="46DD5446" w14:textId="77777777" w:rsidR="007B7BE0" w:rsidRPr="00E41AC1" w:rsidRDefault="007B7BE0" w:rsidP="00FA7173">
      <w:pPr>
        <w:pStyle w:val="H23G"/>
        <w:rPr>
          <w:lang w:eastAsia="fr-FR"/>
        </w:rPr>
      </w:pPr>
      <w:r w:rsidRPr="00E41AC1">
        <w:tab/>
        <w:t>10.</w:t>
      </w:r>
      <w:r w:rsidRPr="00E41AC1">
        <w:tab/>
        <w:t xml:space="preserve">Évaluation </w:t>
      </w:r>
      <w:r>
        <w:t>séparé</w:t>
      </w:r>
      <w:r w:rsidRPr="00E41AC1">
        <w:t xml:space="preserve">e des </w:t>
      </w:r>
      <w:r>
        <w:t>robinet</w:t>
      </w:r>
      <w:r w:rsidRPr="00E41AC1">
        <w:t xml:space="preserve">s et autres accessoires démontables ayant une </w:t>
      </w:r>
      <w:r>
        <w:t>fonction</w:t>
      </w:r>
      <w:r w:rsidR="0057350D">
        <w:t xml:space="preserve"> </w:t>
      </w:r>
      <w:r w:rsidRPr="00E41AC1">
        <w:t xml:space="preserve">directe </w:t>
      </w:r>
      <w:r>
        <w:t>de</w:t>
      </w:r>
      <w:r w:rsidRPr="00E41AC1">
        <w:t xml:space="preserve"> sécurité </w:t>
      </w:r>
      <w:r>
        <w:t xml:space="preserve">sur </w:t>
      </w:r>
      <w:r w:rsidRPr="00E41AC1">
        <w:t>de</w:t>
      </w:r>
      <w:r>
        <w:t>s récipients à pression « UN »</w:t>
      </w:r>
    </w:p>
    <w:p w14:paraId="33F6E9CE" w14:textId="77777777" w:rsidR="007B7BE0" w:rsidRPr="00535410" w:rsidRDefault="007B7BE0" w:rsidP="00B70120">
      <w:pPr>
        <w:pStyle w:val="SingleTxtG"/>
        <w:ind w:left="3119" w:hanging="1985"/>
        <w:jc w:val="left"/>
      </w:pPr>
      <w:r w:rsidRPr="00535410">
        <w:rPr>
          <w:i/>
        </w:rPr>
        <w:t>Document</w:t>
      </w:r>
      <w:r w:rsidR="00FA7173">
        <w:rPr>
          <w:i/>
        </w:rPr>
        <w:t> </w:t>
      </w:r>
      <w:r w:rsidRPr="00535410">
        <w:t>:</w:t>
      </w:r>
      <w:r w:rsidRPr="00535410">
        <w:tab/>
        <w:t>ECE/TRANS/WP.15/AC.1/2019/29 (France)</w:t>
      </w:r>
      <w:r w:rsidR="00FA7173">
        <w:t>.</w:t>
      </w:r>
    </w:p>
    <w:p w14:paraId="22745EA7" w14:textId="51E38F60" w:rsidR="007B7BE0" w:rsidRPr="00E41AC1" w:rsidRDefault="007B7BE0" w:rsidP="007B7BE0">
      <w:pPr>
        <w:spacing w:after="120"/>
        <w:ind w:left="1134" w:right="1134"/>
        <w:jc w:val="both"/>
      </w:pPr>
      <w:r w:rsidRPr="00E41AC1">
        <w:t>34.</w:t>
      </w:r>
      <w:r w:rsidRPr="00E41AC1">
        <w:tab/>
        <w:t>La Réunion commune a adopté les propositions d</w:t>
      </w:r>
      <w:r w:rsidR="00333FCB">
        <w:t>’</w:t>
      </w:r>
      <w:r w:rsidRPr="00E41AC1">
        <w:t>amendement au</w:t>
      </w:r>
      <w:r w:rsidR="0057350D">
        <w:t xml:space="preserve"> </w:t>
      </w:r>
      <w:r w:rsidRPr="00E41AC1">
        <w:t>6.2.2.11 (</w:t>
      </w:r>
      <w:r>
        <w:t>voir</w:t>
      </w:r>
      <w:r w:rsidRPr="00E41AC1">
        <w:t xml:space="preserve"> annex</w:t>
      </w:r>
      <w:r>
        <w:t>e</w:t>
      </w:r>
      <w:r w:rsidRPr="00E41AC1">
        <w:t xml:space="preserve"> II).</w:t>
      </w:r>
    </w:p>
    <w:p w14:paraId="655FE5D6" w14:textId="77777777" w:rsidR="007B7BE0" w:rsidRPr="006A49D3" w:rsidRDefault="007B7BE0" w:rsidP="007B7BE0">
      <w:pPr>
        <w:pStyle w:val="H23G"/>
        <w:rPr>
          <w:lang w:eastAsia="fr-FR"/>
        </w:rPr>
      </w:pPr>
      <w:r w:rsidRPr="00E41AC1">
        <w:tab/>
      </w:r>
      <w:r w:rsidRPr="006A49D3">
        <w:t>11.</w:t>
      </w:r>
      <w:r w:rsidRPr="006A49D3">
        <w:tab/>
        <w:t xml:space="preserve">Numéros ONU </w:t>
      </w:r>
      <w:r w:rsidR="00A70778">
        <w:t>d</w:t>
      </w:r>
      <w:r>
        <w:t>ont le n</w:t>
      </w:r>
      <w:r w:rsidRPr="006A49D3">
        <w:t xml:space="preserve">om et </w:t>
      </w:r>
      <w:r>
        <w:t xml:space="preserve">la </w:t>
      </w:r>
      <w:r w:rsidRPr="006A49D3">
        <w:t>description diff</w:t>
      </w:r>
      <w:r>
        <w:t>è</w:t>
      </w:r>
      <w:r w:rsidRPr="006A49D3">
        <w:t>rent</w:t>
      </w:r>
      <w:r>
        <w:t xml:space="preserve"> </w:t>
      </w:r>
      <w:r w:rsidRPr="006A49D3">
        <w:t>d</w:t>
      </w:r>
      <w:r>
        <w:t xml:space="preserve">ans le Règlement type et dans le </w:t>
      </w:r>
      <w:r w:rsidRPr="006A49D3">
        <w:t>RID/ADR</w:t>
      </w:r>
    </w:p>
    <w:p w14:paraId="2B013349" w14:textId="77777777" w:rsidR="007B7BE0" w:rsidRPr="006A49D3" w:rsidRDefault="007B7BE0" w:rsidP="00B70120">
      <w:pPr>
        <w:pStyle w:val="SingleTxtG"/>
        <w:ind w:left="3119" w:hanging="1985"/>
        <w:jc w:val="left"/>
      </w:pPr>
      <w:r w:rsidRPr="006A49D3">
        <w:rPr>
          <w:i/>
        </w:rPr>
        <w:t>Document</w:t>
      </w:r>
      <w:r w:rsidR="00FA7173">
        <w:rPr>
          <w:i/>
        </w:rPr>
        <w:t> </w:t>
      </w:r>
      <w:r w:rsidRPr="006A49D3">
        <w:t>:</w:t>
      </w:r>
      <w:r w:rsidRPr="006A49D3">
        <w:tab/>
        <w:t>ECE/TRANS/WP.15/AC.1/2019/32 (Espagne)</w:t>
      </w:r>
      <w:r w:rsidR="00FA7173">
        <w:t>.</w:t>
      </w:r>
    </w:p>
    <w:p w14:paraId="68194A9D" w14:textId="4F27A906" w:rsidR="007B7BE0" w:rsidRPr="006A49D3" w:rsidRDefault="007B7BE0" w:rsidP="007B7BE0">
      <w:pPr>
        <w:spacing w:after="120"/>
        <w:ind w:left="1134" w:right="1134"/>
        <w:jc w:val="both"/>
      </w:pPr>
      <w:r w:rsidRPr="006A49D3">
        <w:t>35.</w:t>
      </w:r>
      <w:r w:rsidRPr="006A49D3">
        <w:tab/>
        <w:t>La Réunion commune a pris note de plusieurs commentaire</w:t>
      </w:r>
      <w:r>
        <w:t>s relatifs aux points examinés. Elle a invité le représentant de l</w:t>
      </w:r>
      <w:r w:rsidR="00333FCB">
        <w:t>’</w:t>
      </w:r>
      <w:r>
        <w:t>Espagne à préparer une version révisée de sa proposition concernant le butylène, qui serait soumise à l</w:t>
      </w:r>
      <w:r w:rsidR="00333FCB">
        <w:t>’</w:t>
      </w:r>
      <w:r>
        <w:t>examen de la prochaine session du Sous-Comité TMD. En ce qui concerne les autres points, le représentant de l</w:t>
      </w:r>
      <w:r w:rsidR="00333FCB">
        <w:t>’</w:t>
      </w:r>
      <w:r>
        <w:t>Espagne s</w:t>
      </w:r>
      <w:r w:rsidR="00333FCB">
        <w:t>’</w:t>
      </w:r>
      <w:r>
        <w:t>est proposé pour</w:t>
      </w:r>
      <w:r w:rsidR="0057350D">
        <w:t xml:space="preserve"> </w:t>
      </w:r>
      <w:r>
        <w:t>présenter de nouvelles propositions à la prochaine session de la Réunion commune</w:t>
      </w:r>
      <w:r w:rsidRPr="006A49D3">
        <w:t>.</w:t>
      </w:r>
    </w:p>
    <w:p w14:paraId="2D5053BC" w14:textId="77777777" w:rsidR="007B7BE0" w:rsidRPr="006A49D3" w:rsidRDefault="007B7BE0" w:rsidP="00FA7173">
      <w:pPr>
        <w:pStyle w:val="H23G"/>
      </w:pPr>
      <w:r w:rsidRPr="006A49D3">
        <w:tab/>
        <w:t>12.</w:t>
      </w:r>
      <w:r w:rsidRPr="006A49D3">
        <w:tab/>
      </w:r>
      <w:r>
        <w:t>Harmonisation</w:t>
      </w:r>
      <w:r w:rsidRPr="006A49D3">
        <w:t xml:space="preserve"> de la disposition spéciale 593 </w:t>
      </w:r>
      <w:r>
        <w:t>avec le paragraphe</w:t>
      </w:r>
      <w:r w:rsidRPr="006A49D3">
        <w:t xml:space="preserve"> 5.5.3</w:t>
      </w:r>
    </w:p>
    <w:p w14:paraId="7DA91FF2" w14:textId="77777777" w:rsidR="007B7BE0" w:rsidRPr="006A49D3" w:rsidRDefault="007B7BE0" w:rsidP="00B70120">
      <w:pPr>
        <w:pStyle w:val="SingleTxtG"/>
        <w:ind w:left="3119" w:hanging="1985"/>
        <w:jc w:val="left"/>
      </w:pPr>
      <w:r w:rsidRPr="006A49D3">
        <w:rPr>
          <w:i/>
        </w:rPr>
        <w:t>Document</w:t>
      </w:r>
      <w:r w:rsidR="00FA7173">
        <w:rPr>
          <w:i/>
        </w:rPr>
        <w:t> </w:t>
      </w:r>
      <w:r w:rsidRPr="006A49D3">
        <w:t>:</w:t>
      </w:r>
      <w:r w:rsidRPr="006A49D3">
        <w:tab/>
        <w:t>ECE/TRANS/WP.15/AC.1/2019/33 (Espagne)</w:t>
      </w:r>
      <w:r w:rsidR="00FA7173">
        <w:t>.</w:t>
      </w:r>
    </w:p>
    <w:p w14:paraId="5C3B8026" w14:textId="415BA896" w:rsidR="007B7BE0" w:rsidRPr="006A49D3" w:rsidRDefault="007B7BE0" w:rsidP="00FA7173">
      <w:pPr>
        <w:pStyle w:val="SingleTxtG"/>
      </w:pPr>
      <w:r w:rsidRPr="006A49D3">
        <w:t>36.</w:t>
      </w:r>
      <w:r w:rsidRPr="006A49D3">
        <w:tab/>
        <w:t xml:space="preserve">La Réunion commune </w:t>
      </w:r>
      <w:r>
        <w:t>s</w:t>
      </w:r>
      <w:r w:rsidR="00333FCB">
        <w:t>’</w:t>
      </w:r>
      <w:r>
        <w:t>est félicitée de</w:t>
      </w:r>
      <w:r w:rsidRPr="006A49D3">
        <w:t xml:space="preserve"> la proposition et </w:t>
      </w:r>
      <w:r>
        <w:t xml:space="preserve">elle est convenue de </w:t>
      </w:r>
      <w:r w:rsidRPr="006A49D3">
        <w:t xml:space="preserve">la nécessité de </w:t>
      </w:r>
      <w:r>
        <w:t>préciser s</w:t>
      </w:r>
      <w:r w:rsidR="00333FCB">
        <w:t>’</w:t>
      </w:r>
      <w:r>
        <w:t>il fallait appliquer le paragraphe</w:t>
      </w:r>
      <w:r w:rsidRPr="006A49D3">
        <w:t xml:space="preserve"> 5.5.3 </w:t>
      </w:r>
      <w:r>
        <w:t>ou la disposition</w:t>
      </w:r>
      <w:r w:rsidRPr="006A49D3">
        <w:t xml:space="preserve"> sp</w:t>
      </w:r>
      <w:r>
        <w:t>é</w:t>
      </w:r>
      <w:r w:rsidRPr="006A49D3">
        <w:t>cial</w:t>
      </w:r>
      <w:r>
        <w:t>e</w:t>
      </w:r>
      <w:r w:rsidRPr="006A49D3">
        <w:t xml:space="preserve"> 593. Le représentant de l</w:t>
      </w:r>
      <w:r w:rsidR="00333FCB">
        <w:t>’</w:t>
      </w:r>
      <w:r w:rsidRPr="006A49D3">
        <w:t>Espagne s</w:t>
      </w:r>
      <w:r w:rsidR="00333FCB">
        <w:t>’</w:t>
      </w:r>
      <w:r w:rsidRPr="006A49D3">
        <w:t>est propos</w:t>
      </w:r>
      <w:r>
        <w:t>é</w:t>
      </w:r>
      <w:r w:rsidRPr="006A49D3">
        <w:t xml:space="preserve"> pour établir</w:t>
      </w:r>
      <w:r>
        <w:t xml:space="preserve"> une version révisée de la proposition pour examen à la </w:t>
      </w:r>
      <w:r w:rsidRPr="006A49D3">
        <w:t>session.</w:t>
      </w:r>
    </w:p>
    <w:p w14:paraId="71B007BF" w14:textId="483F4B66" w:rsidR="007B7BE0" w:rsidRPr="006A49D3" w:rsidRDefault="007B7BE0" w:rsidP="00FA7173">
      <w:pPr>
        <w:pStyle w:val="H23G"/>
      </w:pPr>
      <w:r w:rsidRPr="006A49D3">
        <w:lastRenderedPageBreak/>
        <w:tab/>
        <w:t>13.</w:t>
      </w:r>
      <w:r w:rsidRPr="006A49D3">
        <w:tab/>
        <w:t>Amendements corol</w:t>
      </w:r>
      <w:r>
        <w:t>l</w:t>
      </w:r>
      <w:r w:rsidRPr="006A49D3">
        <w:t>aires entraînés par l</w:t>
      </w:r>
      <w:r w:rsidR="00333FCB">
        <w:t>’</w:t>
      </w:r>
      <w:r w:rsidRPr="006A49D3">
        <w:t>introduction de l</w:t>
      </w:r>
      <w:r w:rsidR="00333FCB">
        <w:t>’</w:t>
      </w:r>
      <w:r w:rsidRPr="006A49D3">
        <w:t xml:space="preserve">expression </w:t>
      </w:r>
      <w:r w:rsidR="00FA7173">
        <w:t>« </w:t>
      </w:r>
      <w:r>
        <w:t xml:space="preserve">AVEC RÉGULATION DE </w:t>
      </w:r>
      <w:r w:rsidRPr="006A49D3">
        <w:t>TEMP</w:t>
      </w:r>
      <w:r>
        <w:t>É</w:t>
      </w:r>
      <w:r w:rsidRPr="006A49D3">
        <w:t>RATURE</w:t>
      </w:r>
      <w:r w:rsidR="00FA7173">
        <w:t> »</w:t>
      </w:r>
      <w:r w:rsidRPr="006A49D3">
        <w:t xml:space="preserve"> </w:t>
      </w:r>
      <w:r>
        <w:t>au paragraphe</w:t>
      </w:r>
      <w:r w:rsidRPr="006A49D3">
        <w:t xml:space="preserve"> 3.1.2.6</w:t>
      </w:r>
    </w:p>
    <w:p w14:paraId="09261158" w14:textId="77777777" w:rsidR="007B7BE0" w:rsidRPr="000258C6" w:rsidRDefault="007B7BE0" w:rsidP="00B70120">
      <w:pPr>
        <w:pStyle w:val="SingleTxtG"/>
        <w:ind w:left="3119" w:hanging="1985"/>
        <w:jc w:val="left"/>
      </w:pPr>
      <w:r w:rsidRPr="000258C6">
        <w:rPr>
          <w:i/>
        </w:rPr>
        <w:t>Document</w:t>
      </w:r>
      <w:r w:rsidR="00FA7173">
        <w:rPr>
          <w:i/>
        </w:rPr>
        <w:t> </w:t>
      </w:r>
      <w:r w:rsidRPr="000258C6">
        <w:t>:</w:t>
      </w:r>
      <w:r w:rsidRPr="000258C6">
        <w:tab/>
        <w:t>INF.8 (Espagne)</w:t>
      </w:r>
      <w:r w:rsidR="00FA7173">
        <w:t>.</w:t>
      </w:r>
    </w:p>
    <w:p w14:paraId="14740043" w14:textId="66919C93" w:rsidR="007B7BE0" w:rsidRPr="006A49D3" w:rsidRDefault="007B7BE0" w:rsidP="00FA7173">
      <w:pPr>
        <w:pStyle w:val="SingleTxtG"/>
      </w:pPr>
      <w:r w:rsidRPr="006A49D3">
        <w:t>37.</w:t>
      </w:r>
      <w:r w:rsidRPr="006A49D3">
        <w:tab/>
        <w:t>Un certain nombre de délégations ont apporté leur soutien de principe aux amend</w:t>
      </w:r>
      <w:r>
        <w:t>e</w:t>
      </w:r>
      <w:r w:rsidRPr="006A49D3">
        <w:t>ments</w:t>
      </w:r>
      <w:r>
        <w:t xml:space="preserve"> proposés mais préféreraient que l</w:t>
      </w:r>
      <w:r w:rsidR="00333FCB">
        <w:t>’</w:t>
      </w:r>
      <w:r>
        <w:t>on commence par modifier le Règlement</w:t>
      </w:r>
      <w:r w:rsidR="0057350D">
        <w:t xml:space="preserve"> </w:t>
      </w:r>
      <w:r>
        <w:t>type. Le représentant de l</w:t>
      </w:r>
      <w:r w:rsidR="00333FCB">
        <w:t>’</w:t>
      </w:r>
      <w:r>
        <w:t>Espagne a été prié d</w:t>
      </w:r>
      <w:r w:rsidR="00333FCB">
        <w:t>’</w:t>
      </w:r>
      <w:r>
        <w:t xml:space="preserve">élaborer une proposition qui serait soumise à la prochaine </w:t>
      </w:r>
      <w:r w:rsidRPr="006A49D3">
        <w:t xml:space="preserve">session </w:t>
      </w:r>
      <w:r>
        <w:t>du Sous-Comité TMD</w:t>
      </w:r>
      <w:r w:rsidRPr="006A49D3">
        <w:t>.</w:t>
      </w:r>
    </w:p>
    <w:p w14:paraId="413AD305" w14:textId="77777777" w:rsidR="007B7BE0" w:rsidRPr="006A49D3" w:rsidRDefault="007B7BE0" w:rsidP="007B7BE0">
      <w:pPr>
        <w:pStyle w:val="H23G"/>
      </w:pPr>
      <w:r w:rsidRPr="006A49D3">
        <w:tab/>
        <w:t>14.</w:t>
      </w:r>
      <w:r w:rsidRPr="006A49D3">
        <w:tab/>
        <w:t>Inclusion du ter</w:t>
      </w:r>
      <w:r>
        <w:t>me</w:t>
      </w:r>
      <w:r w:rsidRPr="006A49D3">
        <w:t xml:space="preserve"> </w:t>
      </w:r>
      <w:r w:rsidR="00FA7173">
        <w:t>« </w:t>
      </w:r>
      <w:r w:rsidRPr="006A49D3">
        <w:t>FONDU</w:t>
      </w:r>
      <w:r w:rsidR="00FA7173">
        <w:t> »</w:t>
      </w:r>
      <w:r w:rsidRPr="006A49D3">
        <w:t xml:space="preserve"> dans la d</w:t>
      </w:r>
      <w:r>
        <w:t>é</w:t>
      </w:r>
      <w:r w:rsidRPr="006A49D3">
        <w:t xml:space="preserve">signation officielle de transport </w:t>
      </w:r>
      <w:r w:rsidR="00FA7173">
        <w:br/>
      </w:r>
      <w:r w:rsidRPr="006A49D3">
        <w:t xml:space="preserve">dans le document de transport </w:t>
      </w:r>
    </w:p>
    <w:p w14:paraId="08BE4801" w14:textId="77777777" w:rsidR="007B7BE0" w:rsidRPr="000258C6" w:rsidRDefault="007B7BE0" w:rsidP="00B70120">
      <w:pPr>
        <w:pStyle w:val="SingleTxtG"/>
        <w:ind w:left="3119" w:hanging="1985"/>
        <w:jc w:val="left"/>
      </w:pPr>
      <w:r w:rsidRPr="000258C6">
        <w:rPr>
          <w:i/>
        </w:rPr>
        <w:t>Document</w:t>
      </w:r>
      <w:r w:rsidR="00FA7173">
        <w:rPr>
          <w:i/>
        </w:rPr>
        <w:t> </w:t>
      </w:r>
      <w:r w:rsidRPr="000258C6">
        <w:t>:</w:t>
      </w:r>
      <w:r w:rsidRPr="000258C6">
        <w:tab/>
        <w:t>INF.9 (Espagne)</w:t>
      </w:r>
      <w:r w:rsidR="00FA7173">
        <w:t>.</w:t>
      </w:r>
    </w:p>
    <w:p w14:paraId="06DCF208" w14:textId="125961AC" w:rsidR="007B7BE0" w:rsidRPr="00E3186C" w:rsidRDefault="007B7BE0" w:rsidP="00FA7173">
      <w:pPr>
        <w:pStyle w:val="SingleTxtG"/>
      </w:pPr>
      <w:r w:rsidRPr="00E3186C">
        <w:t>38.</w:t>
      </w:r>
      <w:r w:rsidRPr="00E3186C">
        <w:tab/>
        <w:t>Le représentant de l</w:t>
      </w:r>
      <w:r w:rsidR="00333FCB">
        <w:t>’</w:t>
      </w:r>
      <w:r w:rsidRPr="00E3186C">
        <w:t xml:space="preserve">Espagne a expliqué que cette proposition était étroitement liée à celle contenue dans le document INF.8 </w:t>
      </w:r>
      <w:r>
        <w:t>et il a proposé de soumettre une version révisée de ce document à une session ultérieure.</w:t>
      </w:r>
    </w:p>
    <w:p w14:paraId="653DE210" w14:textId="70989C4C" w:rsidR="007B7BE0" w:rsidRPr="00E3186C" w:rsidRDefault="007B7BE0" w:rsidP="00FA7173">
      <w:pPr>
        <w:pStyle w:val="H23G"/>
      </w:pPr>
      <w:r w:rsidRPr="00E3186C">
        <w:tab/>
        <w:t>15.</w:t>
      </w:r>
      <w:r w:rsidRPr="00E3186C">
        <w:tab/>
        <w:t>Transport d</w:t>
      </w:r>
      <w:r w:rsidR="00333FCB">
        <w:t>’</w:t>
      </w:r>
      <w:r w:rsidR="00FA7173">
        <w:t>« </w:t>
      </w:r>
      <w:r w:rsidRPr="00E3186C">
        <w:t xml:space="preserve">ENGRAIS </w:t>
      </w:r>
      <w:r>
        <w:t xml:space="preserve">EN </w:t>
      </w:r>
      <w:r w:rsidRPr="00E3186C">
        <w:t>SOLUTION</w:t>
      </w:r>
      <w:r w:rsidR="00FA7173">
        <w:t> »</w:t>
      </w:r>
      <w:r w:rsidRPr="00E3186C">
        <w:t xml:space="preserve"> (No</w:t>
      </w:r>
      <w:r w:rsidR="00FA7173">
        <w:t> </w:t>
      </w:r>
      <w:r w:rsidRPr="00E3186C">
        <w:t>ON</w:t>
      </w:r>
      <w:r w:rsidR="00FA7173">
        <w:t>U </w:t>
      </w:r>
      <w:r w:rsidRPr="00E3186C">
        <w:t>1043)</w:t>
      </w:r>
    </w:p>
    <w:p w14:paraId="121672C1" w14:textId="77777777" w:rsidR="007B7BE0" w:rsidRPr="00E3186C" w:rsidRDefault="007B7BE0" w:rsidP="00B70120">
      <w:pPr>
        <w:pStyle w:val="SingleTxtG"/>
        <w:ind w:left="3119" w:hanging="1985"/>
        <w:jc w:val="left"/>
      </w:pPr>
      <w:r w:rsidRPr="00E3186C">
        <w:rPr>
          <w:i/>
        </w:rPr>
        <w:t>Document</w:t>
      </w:r>
      <w:r w:rsidR="00FA7173">
        <w:rPr>
          <w:i/>
        </w:rPr>
        <w:t> </w:t>
      </w:r>
      <w:r w:rsidRPr="00E3186C">
        <w:t>:</w:t>
      </w:r>
      <w:r w:rsidRPr="00E3186C">
        <w:tab/>
        <w:t>INF.10 (</w:t>
      </w:r>
      <w:r>
        <w:t>Espagne</w:t>
      </w:r>
      <w:r w:rsidRPr="00E3186C">
        <w:t>)</w:t>
      </w:r>
      <w:r w:rsidR="00FA7173">
        <w:t>.</w:t>
      </w:r>
    </w:p>
    <w:p w14:paraId="023D2205" w14:textId="7A6D91AD" w:rsidR="007B7BE0" w:rsidRPr="00E3186C" w:rsidRDefault="007B7BE0" w:rsidP="00FA7173">
      <w:pPr>
        <w:pStyle w:val="SingleTxtG"/>
      </w:pPr>
      <w:r w:rsidRPr="00E3186C">
        <w:t>39.</w:t>
      </w:r>
      <w:r w:rsidRPr="00E3186C">
        <w:tab/>
        <w:t>Les amendements propos</w:t>
      </w:r>
      <w:r>
        <w:t>é</w:t>
      </w:r>
      <w:r w:rsidRPr="00E3186C">
        <w:t xml:space="preserve">s dans le document INF.10 </w:t>
      </w:r>
      <w:r>
        <w:t>ont suscité plusieurs commentaires</w:t>
      </w:r>
      <w:r w:rsidRPr="00E3186C">
        <w:t xml:space="preserve">. La Réunion commune est convenue de la nécessité de préciser les </w:t>
      </w:r>
      <w:r>
        <w:t xml:space="preserve">dispositions du paragraphe </w:t>
      </w:r>
      <w:r w:rsidRPr="00E3186C">
        <w:t>2.2.2.2.2. Le représentant de l</w:t>
      </w:r>
      <w:r w:rsidR="00333FCB">
        <w:t>’</w:t>
      </w:r>
      <w:r w:rsidRPr="00E3186C">
        <w:t>Espagne s</w:t>
      </w:r>
      <w:r w:rsidR="00333FCB">
        <w:t>’</w:t>
      </w:r>
      <w:r w:rsidRPr="00E3186C">
        <w:t xml:space="preserve">est proposé pour élaborer un nouveau document </w:t>
      </w:r>
      <w:r>
        <w:t>qui serait soumis à la prochaine</w:t>
      </w:r>
      <w:r w:rsidRPr="00E3186C">
        <w:t xml:space="preserve"> session </w:t>
      </w:r>
      <w:r>
        <w:t>et qui tiendrait compte des observations formulées</w:t>
      </w:r>
      <w:r w:rsidRPr="00E3186C">
        <w:t>.</w:t>
      </w:r>
    </w:p>
    <w:p w14:paraId="7E4ECD5D" w14:textId="2DE43B00" w:rsidR="007B7BE0" w:rsidRPr="00862FE1" w:rsidRDefault="007B7BE0" w:rsidP="00FA7173">
      <w:pPr>
        <w:pStyle w:val="H23G"/>
        <w:rPr>
          <w:lang w:eastAsia="fr-FR"/>
        </w:rPr>
      </w:pPr>
      <w:r w:rsidRPr="00E3186C">
        <w:tab/>
      </w:r>
      <w:r w:rsidRPr="00862FE1">
        <w:t>16.</w:t>
      </w:r>
      <w:r w:rsidRPr="00862FE1">
        <w:tab/>
        <w:t>Proposition concernant un nouveau modèle de GRV souple pour le transport de</w:t>
      </w:r>
      <w:r w:rsidR="0057350D">
        <w:t xml:space="preserve"> </w:t>
      </w:r>
      <w:r w:rsidRPr="00862FE1">
        <w:t>dihydrox</w:t>
      </w:r>
      <w:r>
        <w:t>y</w:t>
      </w:r>
      <w:r w:rsidRPr="00862FE1">
        <w:t>de de</w:t>
      </w:r>
      <w:r>
        <w:t xml:space="preserve"> cobalt raffiné satisfaisant aux critères du groupe d</w:t>
      </w:r>
      <w:r w:rsidR="00333FCB">
        <w:t>’</w:t>
      </w:r>
      <w:r>
        <w:t xml:space="preserve">emballage </w:t>
      </w:r>
      <w:r w:rsidRPr="00862FE1">
        <w:t xml:space="preserve">I </w:t>
      </w:r>
      <w:r w:rsidR="00FA7173">
        <w:br/>
      </w:r>
      <w:r>
        <w:t>en ce qui concerne la toxicité à l</w:t>
      </w:r>
      <w:r w:rsidR="00333FCB">
        <w:t>’</w:t>
      </w:r>
      <w:r>
        <w:t>inhalation</w:t>
      </w:r>
    </w:p>
    <w:p w14:paraId="302967CB" w14:textId="77777777" w:rsidR="007B7BE0" w:rsidRPr="000258C6" w:rsidRDefault="007B7BE0" w:rsidP="00B70120">
      <w:pPr>
        <w:pStyle w:val="SingleTxtG"/>
        <w:ind w:left="3119" w:hanging="1985"/>
        <w:jc w:val="left"/>
      </w:pPr>
      <w:r w:rsidRPr="000258C6">
        <w:rPr>
          <w:i/>
        </w:rPr>
        <w:t>Document</w:t>
      </w:r>
      <w:r w:rsidR="00FA7173">
        <w:rPr>
          <w:i/>
        </w:rPr>
        <w:t> </w:t>
      </w:r>
      <w:r w:rsidRPr="000258C6">
        <w:t>:</w:t>
      </w:r>
      <w:r w:rsidRPr="000258C6">
        <w:tab/>
        <w:t>INF.23 (Belgique)</w:t>
      </w:r>
      <w:r w:rsidR="00FA7173">
        <w:t>.</w:t>
      </w:r>
    </w:p>
    <w:p w14:paraId="3F7F9CA8" w14:textId="28352AC8" w:rsidR="007B7BE0" w:rsidRPr="000258C6" w:rsidRDefault="007B7BE0" w:rsidP="007B7BE0">
      <w:pPr>
        <w:pStyle w:val="SingleTxtG"/>
      </w:pPr>
      <w:r w:rsidRPr="00862FE1">
        <w:t>40.</w:t>
      </w:r>
      <w:r w:rsidRPr="00862FE1">
        <w:tab/>
        <w:t>Le représentant de la Belgique a informé la Réunion commune de l</w:t>
      </w:r>
      <w:r w:rsidR="00333FCB">
        <w:t>’</w:t>
      </w:r>
      <w:r w:rsidRPr="00862FE1">
        <w:t>utilisation éventuelle d</w:t>
      </w:r>
      <w:r w:rsidR="00333FCB">
        <w:t>’</w:t>
      </w:r>
      <w:r w:rsidRPr="00862FE1">
        <w:t xml:space="preserve">un modèle amélioré de </w:t>
      </w:r>
      <w:r>
        <w:t>GRV souple satisfaisant aux prescriptions énoncées dans le</w:t>
      </w:r>
      <w:r w:rsidRPr="00862FE1">
        <w:t xml:space="preserve"> document INF.23. Il a ajouté que des prescriptions spécifiques pour le chargement</w:t>
      </w:r>
      <w:r>
        <w:t>,</w:t>
      </w:r>
      <w:r w:rsidRPr="00862FE1">
        <w:t xml:space="preserve"> le déchargement et le transport étai</w:t>
      </w:r>
      <w:r>
        <w:t xml:space="preserve">ent nécessaires. </w:t>
      </w:r>
      <w:r w:rsidRPr="00862FE1">
        <w:t>Il a annoncé qu</w:t>
      </w:r>
      <w:r w:rsidR="00333FCB">
        <w:t>’</w:t>
      </w:r>
      <w:r w:rsidRPr="00862FE1">
        <w:t>une discussion plus détaillée sur les amendements éventuels se tiendra</w:t>
      </w:r>
      <w:r>
        <w:t xml:space="preserve">it lors de la prochaine session du Sous-Comité TMD. </w:t>
      </w:r>
      <w:r w:rsidRPr="00862FE1">
        <w:t>Il a en</w:t>
      </w:r>
      <w:r>
        <w:t xml:space="preserve"> </w:t>
      </w:r>
      <w:r w:rsidRPr="00862FE1">
        <w:t>outre annoncé son intention de distribuer un accord multilat</w:t>
      </w:r>
      <w:r>
        <w:t>é</w:t>
      </w:r>
      <w:r w:rsidRPr="00862FE1">
        <w:t>ral représentant une solution intermédiaire. La Réunion commune a accepté cette façon de procéder et a décidé de repr</w:t>
      </w:r>
      <w:r>
        <w:t>endre l</w:t>
      </w:r>
      <w:r w:rsidR="00333FCB">
        <w:t>’</w:t>
      </w:r>
      <w:r>
        <w:t>examen de cette question à sa prochaine session.</w:t>
      </w:r>
    </w:p>
    <w:p w14:paraId="1DA99E91" w14:textId="77777777" w:rsidR="007B7BE0" w:rsidRPr="000258C6" w:rsidRDefault="007B7BE0" w:rsidP="007B7BE0">
      <w:pPr>
        <w:pStyle w:val="H23G"/>
      </w:pPr>
      <w:r w:rsidRPr="000258C6">
        <w:tab/>
      </w:r>
      <w:r w:rsidRPr="00862FE1">
        <w:t>17.</w:t>
      </w:r>
      <w:r w:rsidRPr="00862FE1">
        <w:tab/>
        <w:t>Classification du diox</w:t>
      </w:r>
      <w:r>
        <w:t>y</w:t>
      </w:r>
      <w:r w:rsidRPr="00862FE1">
        <w:t>de de plomb (No</w:t>
      </w:r>
      <w:r w:rsidR="00FA7173">
        <w:t> </w:t>
      </w:r>
      <w:r w:rsidRPr="000258C6">
        <w:t>ONU</w:t>
      </w:r>
      <w:r w:rsidR="00FA7173">
        <w:t> </w:t>
      </w:r>
      <w:r w:rsidRPr="000258C6">
        <w:t>1872)</w:t>
      </w:r>
    </w:p>
    <w:p w14:paraId="0F34E9BC" w14:textId="77777777" w:rsidR="007B7BE0" w:rsidRPr="000258C6" w:rsidRDefault="007B7BE0" w:rsidP="00B70120">
      <w:pPr>
        <w:pStyle w:val="SingleTxtG"/>
        <w:ind w:left="3119" w:hanging="1985"/>
        <w:jc w:val="left"/>
      </w:pPr>
      <w:r w:rsidRPr="000258C6">
        <w:rPr>
          <w:i/>
        </w:rPr>
        <w:t>Document</w:t>
      </w:r>
      <w:r w:rsidR="00FA7173">
        <w:rPr>
          <w:i/>
        </w:rPr>
        <w:t> </w:t>
      </w:r>
      <w:r w:rsidRPr="000258C6">
        <w:t>:</w:t>
      </w:r>
      <w:r w:rsidRPr="000258C6">
        <w:tab/>
        <w:t>INF.25 (</w:t>
      </w:r>
      <w:r w:rsidR="00FA7173">
        <w:t>Allemagne</w:t>
      </w:r>
      <w:r w:rsidRPr="000258C6">
        <w:t>)</w:t>
      </w:r>
      <w:r w:rsidR="00FA7173">
        <w:t>.</w:t>
      </w:r>
    </w:p>
    <w:p w14:paraId="7BF78897" w14:textId="7A30CF97" w:rsidR="007B7BE0" w:rsidRPr="00862FE1" w:rsidRDefault="007B7BE0" w:rsidP="007B7BE0">
      <w:pPr>
        <w:pStyle w:val="SingleTxtG"/>
      </w:pPr>
      <w:r w:rsidRPr="00862FE1">
        <w:t>41.</w:t>
      </w:r>
      <w:r w:rsidRPr="00862FE1">
        <w:tab/>
        <w:t>La Réunion commune s</w:t>
      </w:r>
      <w:r w:rsidR="00333FCB">
        <w:t>’</w:t>
      </w:r>
      <w:r w:rsidRPr="00862FE1">
        <w:t>est félicitée des amend</w:t>
      </w:r>
      <w:r>
        <w:t>e</w:t>
      </w:r>
      <w:r w:rsidRPr="00862FE1">
        <w:t>ments propos</w:t>
      </w:r>
      <w:r>
        <w:t>é</w:t>
      </w:r>
      <w:r w:rsidRPr="00862FE1">
        <w:t>s dans le document INF.25 et a invit</w:t>
      </w:r>
      <w:r>
        <w:t>é</w:t>
      </w:r>
      <w:r w:rsidRPr="00862FE1">
        <w:t xml:space="preserve"> le représentant de l</w:t>
      </w:r>
      <w:r w:rsidR="00333FCB">
        <w:t>’</w:t>
      </w:r>
      <w:r>
        <w:t>Allemagne à soumettre un document officiel à la prochaine</w:t>
      </w:r>
      <w:r w:rsidRPr="00862FE1">
        <w:t xml:space="preserve"> session, </w:t>
      </w:r>
      <w:r>
        <w:t>comprenant éventuellement des amendements corollaires concernant le transport en vrac.</w:t>
      </w:r>
    </w:p>
    <w:p w14:paraId="62400B01" w14:textId="7A379EB6" w:rsidR="007B7BE0" w:rsidRPr="00862FE1" w:rsidRDefault="007B7BE0" w:rsidP="00FA7173">
      <w:pPr>
        <w:pStyle w:val="H23G"/>
      </w:pPr>
      <w:r w:rsidRPr="00862FE1">
        <w:tab/>
        <w:t>18.</w:t>
      </w:r>
      <w:r w:rsidRPr="00862FE1">
        <w:tab/>
        <w:t>Proposition d</w:t>
      </w:r>
      <w:r w:rsidR="00333FCB">
        <w:t>’</w:t>
      </w:r>
      <w:r w:rsidRPr="00862FE1">
        <w:t>amendement des exemptions relatives à la nature de l</w:t>
      </w:r>
      <w:r w:rsidR="00333FCB">
        <w:t>’</w:t>
      </w:r>
      <w:r w:rsidRPr="00862FE1">
        <w:t xml:space="preserve">opération </w:t>
      </w:r>
      <w:r w:rsidR="00FA7173">
        <w:br/>
      </w:r>
      <w:r w:rsidRPr="00862FE1">
        <w:t>de transport au paragraphe 1.1.3.1</w:t>
      </w:r>
    </w:p>
    <w:p w14:paraId="4DF312D5" w14:textId="77777777" w:rsidR="007B7BE0" w:rsidRPr="000258C6" w:rsidRDefault="007B7BE0" w:rsidP="00B70120">
      <w:pPr>
        <w:pStyle w:val="SingleTxtG"/>
        <w:ind w:left="3119" w:hanging="1985"/>
        <w:jc w:val="left"/>
      </w:pPr>
      <w:r w:rsidRPr="000258C6">
        <w:rPr>
          <w:i/>
        </w:rPr>
        <w:t>Document</w:t>
      </w:r>
      <w:r w:rsidR="00FA7173">
        <w:rPr>
          <w:i/>
        </w:rPr>
        <w:t> </w:t>
      </w:r>
      <w:r w:rsidRPr="000258C6">
        <w:t>:</w:t>
      </w:r>
      <w:r w:rsidRPr="000258C6">
        <w:tab/>
        <w:t>INF.28 (Luxembourg)</w:t>
      </w:r>
      <w:r w:rsidR="00FA7173">
        <w:t>.</w:t>
      </w:r>
    </w:p>
    <w:p w14:paraId="01265DAF" w14:textId="4D118FE2" w:rsidR="007B7BE0" w:rsidRPr="00862FE1" w:rsidRDefault="007B7BE0" w:rsidP="007B7BE0">
      <w:pPr>
        <w:pStyle w:val="SingleTxtG"/>
      </w:pPr>
      <w:r w:rsidRPr="00862FE1">
        <w:t>42.</w:t>
      </w:r>
      <w:r w:rsidRPr="00862FE1">
        <w:tab/>
        <w:t>Les amendements proposés</w:t>
      </w:r>
      <w:r w:rsidR="0057350D">
        <w:t xml:space="preserve"> </w:t>
      </w:r>
      <w:r w:rsidRPr="00862FE1">
        <w:t>dans le document INF.28 ont suscité plusieurs observations et une r</w:t>
      </w:r>
      <w:r>
        <w:t>é</w:t>
      </w:r>
      <w:r w:rsidRPr="00862FE1">
        <w:t xml:space="preserve">serve pour étude </w:t>
      </w:r>
      <w:r>
        <w:t>de la part des Pays-Bas. Le représentant du Luxembourg s</w:t>
      </w:r>
      <w:r w:rsidR="00333FCB">
        <w:t>’</w:t>
      </w:r>
      <w:r>
        <w:t>est proposé pour élaborer une version révisée du document qui serait soumise à l</w:t>
      </w:r>
      <w:r w:rsidR="00333FCB">
        <w:t>’</w:t>
      </w:r>
      <w:r>
        <w:t>examen</w:t>
      </w:r>
      <w:r w:rsidRPr="00862FE1">
        <w:t xml:space="preserve"> </w:t>
      </w:r>
      <w:r>
        <w:t xml:space="preserve">de la prochaine session et qui tiendrait compte des observations formulées. Il a invité les représentants à lui transmettre leurs observations avant le </w:t>
      </w:r>
      <w:r w:rsidRPr="00862FE1">
        <w:t>20</w:t>
      </w:r>
      <w:r w:rsidR="00A70778">
        <w:t> </w:t>
      </w:r>
      <w:r>
        <w:t>n</w:t>
      </w:r>
      <w:r w:rsidRPr="00862FE1">
        <w:t>ovembr</w:t>
      </w:r>
      <w:r>
        <w:t>e</w:t>
      </w:r>
      <w:r w:rsidRPr="00862FE1">
        <w:t xml:space="preserve"> 2019.</w:t>
      </w:r>
    </w:p>
    <w:p w14:paraId="37E4B00E" w14:textId="2302495F" w:rsidR="007B7BE0" w:rsidRPr="00862FE1" w:rsidRDefault="007B7BE0" w:rsidP="007B7BE0">
      <w:pPr>
        <w:pStyle w:val="H23G"/>
      </w:pPr>
      <w:r w:rsidRPr="00862FE1">
        <w:lastRenderedPageBreak/>
        <w:tab/>
        <w:t>19.</w:t>
      </w:r>
      <w:r w:rsidRPr="00862FE1">
        <w:tab/>
        <w:t>Problème d</w:t>
      </w:r>
      <w:r w:rsidR="00333FCB">
        <w:t>’</w:t>
      </w:r>
      <w:r w:rsidRPr="00862FE1">
        <w:t>interprétation du paragraphe 7.5.2.3</w:t>
      </w:r>
      <w:r>
        <w:t xml:space="preserve"> de l</w:t>
      </w:r>
      <w:r w:rsidR="00333FCB">
        <w:t>’</w:t>
      </w:r>
      <w:r w:rsidRPr="00862FE1">
        <w:t>ADR</w:t>
      </w:r>
    </w:p>
    <w:p w14:paraId="5B42ECBE" w14:textId="77777777" w:rsidR="007B7BE0" w:rsidRPr="000258C6" w:rsidRDefault="007B7BE0" w:rsidP="00B70120">
      <w:pPr>
        <w:pStyle w:val="SingleTxtG"/>
        <w:ind w:left="3119" w:hanging="1985"/>
        <w:jc w:val="left"/>
      </w:pPr>
      <w:r w:rsidRPr="000258C6">
        <w:rPr>
          <w:i/>
        </w:rPr>
        <w:t>Document</w:t>
      </w:r>
      <w:r w:rsidR="00FA7173">
        <w:rPr>
          <w:i/>
        </w:rPr>
        <w:t> </w:t>
      </w:r>
      <w:r w:rsidRPr="000258C6">
        <w:t>:</w:t>
      </w:r>
      <w:r w:rsidRPr="000258C6">
        <w:tab/>
        <w:t>INF.40 (COSTHA)</w:t>
      </w:r>
      <w:r w:rsidR="00FA7173">
        <w:t>.</w:t>
      </w:r>
    </w:p>
    <w:p w14:paraId="31810A4B" w14:textId="75364C34" w:rsidR="007B7BE0" w:rsidRPr="00862FE1" w:rsidRDefault="007B7BE0" w:rsidP="007B7BE0">
      <w:pPr>
        <w:pStyle w:val="SingleTxtG"/>
      </w:pPr>
      <w:r w:rsidRPr="00862FE1">
        <w:t>43.</w:t>
      </w:r>
      <w:r w:rsidRPr="00862FE1">
        <w:tab/>
        <w:t>La Réunion commune a pris note de quelques observations concernant l</w:t>
      </w:r>
      <w:r w:rsidR="00333FCB">
        <w:t>’</w:t>
      </w:r>
      <w:r w:rsidRPr="00862FE1">
        <w:t>interprétation du paragraphe 7.5.2.3 de l</w:t>
      </w:r>
      <w:r w:rsidR="00333FCB">
        <w:t>’</w:t>
      </w:r>
      <w:r w:rsidRPr="00862FE1">
        <w:t>ADR cont</w:t>
      </w:r>
      <w:r>
        <w:t>e</w:t>
      </w:r>
      <w:r w:rsidRPr="00862FE1">
        <w:t>nues dans le document INF.40 et elle a invit</w:t>
      </w:r>
      <w:r>
        <w:t>é</w:t>
      </w:r>
      <w:r w:rsidRPr="00862FE1">
        <w:t xml:space="preserve"> le repr</w:t>
      </w:r>
      <w:r>
        <w:t>é</w:t>
      </w:r>
      <w:r w:rsidRPr="00862FE1">
        <w:t>senta</w:t>
      </w:r>
      <w:r>
        <w:t>nt</w:t>
      </w:r>
      <w:r w:rsidRPr="00862FE1">
        <w:t xml:space="preserve"> </w:t>
      </w:r>
      <w:r>
        <w:t>de</w:t>
      </w:r>
      <w:r w:rsidRPr="00862FE1">
        <w:t xml:space="preserve"> COSTHA </w:t>
      </w:r>
      <w:r>
        <w:t>à soumettre sa proposition pour examen lors d</w:t>
      </w:r>
      <w:r w:rsidR="00333FCB">
        <w:t>’</w:t>
      </w:r>
      <w:r>
        <w:t>une prochaine session du</w:t>
      </w:r>
      <w:r w:rsidRPr="00862FE1">
        <w:t xml:space="preserve"> WP.15.</w:t>
      </w:r>
    </w:p>
    <w:p w14:paraId="3E74ADD9" w14:textId="555EE4DA" w:rsidR="007B7BE0" w:rsidRPr="00847DD1" w:rsidRDefault="007B7BE0" w:rsidP="00FA7173">
      <w:pPr>
        <w:pStyle w:val="H23G"/>
      </w:pPr>
      <w:r w:rsidRPr="00862FE1">
        <w:tab/>
      </w:r>
      <w:r w:rsidRPr="00847DD1">
        <w:t>20.</w:t>
      </w:r>
      <w:r w:rsidRPr="00847DD1">
        <w:tab/>
        <w:t>Dispositions du 5.5.3 applicables au transport de neige carbonique (No</w:t>
      </w:r>
      <w:r w:rsidR="00FA7173">
        <w:t> </w:t>
      </w:r>
      <w:r w:rsidRPr="00847DD1">
        <w:t>ONU</w:t>
      </w:r>
      <w:r w:rsidR="00FA7173">
        <w:t> </w:t>
      </w:r>
      <w:r w:rsidRPr="00847DD1">
        <w:t xml:space="preserve">1845) </w:t>
      </w:r>
      <w:r w:rsidR="00FA7173">
        <w:br/>
      </w:r>
      <w:r w:rsidRPr="00847DD1">
        <w:t>en tant qu</w:t>
      </w:r>
      <w:r w:rsidR="00333FCB">
        <w:t>’</w:t>
      </w:r>
      <w:r w:rsidRPr="00847DD1">
        <w:t>envoi</w:t>
      </w:r>
    </w:p>
    <w:p w14:paraId="1D3E2611" w14:textId="77777777" w:rsidR="007B7BE0" w:rsidRPr="00535410" w:rsidRDefault="007B7BE0" w:rsidP="00B70120">
      <w:pPr>
        <w:pStyle w:val="SingleTxtG"/>
        <w:ind w:left="3119" w:hanging="1985"/>
        <w:jc w:val="left"/>
      </w:pPr>
      <w:r w:rsidRPr="00535410">
        <w:rPr>
          <w:i/>
        </w:rPr>
        <w:t>Document</w:t>
      </w:r>
      <w:r>
        <w:rPr>
          <w:i/>
        </w:rPr>
        <w:t xml:space="preserve"> officiel</w:t>
      </w:r>
      <w:r w:rsidR="00FA7173">
        <w:rPr>
          <w:i/>
        </w:rPr>
        <w:t> </w:t>
      </w:r>
      <w:r w:rsidRPr="00535410">
        <w:t>:</w:t>
      </w:r>
      <w:r w:rsidRPr="00535410">
        <w:tab/>
        <w:t>ECE/TRANS/WP.15/AC.1/2019/45 (S</w:t>
      </w:r>
      <w:r>
        <w:t>uisse</w:t>
      </w:r>
      <w:r w:rsidRPr="00535410">
        <w:t>)</w:t>
      </w:r>
    </w:p>
    <w:p w14:paraId="7447118C" w14:textId="77777777" w:rsidR="007B7BE0" w:rsidRPr="00847DD1" w:rsidRDefault="007B7BE0" w:rsidP="00B70120">
      <w:pPr>
        <w:pStyle w:val="SingleTxtG"/>
        <w:ind w:left="3119" w:hanging="1985"/>
        <w:jc w:val="left"/>
      </w:pPr>
      <w:r w:rsidRPr="00847DD1">
        <w:rPr>
          <w:i/>
        </w:rPr>
        <w:t>Document informel</w:t>
      </w:r>
      <w:r w:rsidR="00FA7173">
        <w:rPr>
          <w:i/>
        </w:rPr>
        <w:t> </w:t>
      </w:r>
      <w:r w:rsidRPr="00847DD1">
        <w:t>:</w:t>
      </w:r>
      <w:r w:rsidRPr="00847DD1">
        <w:tab/>
        <w:t>INF.48 (Suisse)</w:t>
      </w:r>
      <w:r w:rsidR="00FA7173">
        <w:t>.</w:t>
      </w:r>
    </w:p>
    <w:p w14:paraId="65790A9D" w14:textId="391E2399" w:rsidR="007B7BE0" w:rsidRPr="00847DD1" w:rsidRDefault="007B7BE0" w:rsidP="00FA7173">
      <w:pPr>
        <w:pStyle w:val="SingleTxtG"/>
      </w:pPr>
      <w:r w:rsidRPr="00847DD1">
        <w:t>44.</w:t>
      </w:r>
      <w:r w:rsidRPr="00847DD1">
        <w:tab/>
        <w:t xml:space="preserve">La proposition </w:t>
      </w:r>
      <w:r w:rsidR="00A70778" w:rsidRPr="002D76F4">
        <w:rPr>
          <w:rFonts w:eastAsia="MS Mincho"/>
          <w:szCs w:val="22"/>
        </w:rPr>
        <w:t>n</w:t>
      </w:r>
      <w:r w:rsidR="00A70778" w:rsidRPr="002D76F4">
        <w:rPr>
          <w:rFonts w:eastAsia="MS Mincho"/>
          <w:szCs w:val="22"/>
          <w:vertAlign w:val="superscript"/>
        </w:rPr>
        <w:t>o</w:t>
      </w:r>
      <w:r w:rsidR="00A70778">
        <w:t> </w:t>
      </w:r>
      <w:r w:rsidRPr="00847DD1">
        <w:t xml:space="preserve">2 du document ECE/TRANS/WP.15/AC.1/2019/45 </w:t>
      </w:r>
      <w:r>
        <w:t>a été adoptée telle qu</w:t>
      </w:r>
      <w:r w:rsidR="00333FCB">
        <w:t>’</w:t>
      </w:r>
      <w:r w:rsidRPr="00847DD1">
        <w:t>amend</w:t>
      </w:r>
      <w:r>
        <w:t>ée</w:t>
      </w:r>
      <w:r w:rsidRPr="00847DD1">
        <w:t xml:space="preserve"> (</w:t>
      </w:r>
      <w:r>
        <w:t>voir</w:t>
      </w:r>
      <w:r w:rsidRPr="00847DD1">
        <w:t xml:space="preserve"> annex</w:t>
      </w:r>
      <w:r>
        <w:t>e</w:t>
      </w:r>
      <w:r w:rsidRPr="00847DD1">
        <w:t xml:space="preserve"> II). </w:t>
      </w:r>
      <w:r w:rsidR="00FA7173">
        <w:t>À</w:t>
      </w:r>
      <w:r w:rsidRPr="00847DD1">
        <w:t xml:space="preserve"> l</w:t>
      </w:r>
      <w:r w:rsidR="00333FCB">
        <w:t>’</w:t>
      </w:r>
      <w:r w:rsidRPr="00847DD1">
        <w:t>issue de l</w:t>
      </w:r>
      <w:r w:rsidR="00333FCB">
        <w:t>’</w:t>
      </w:r>
      <w:r w:rsidRPr="00847DD1">
        <w:t xml:space="preserve">examen de la proposition </w:t>
      </w:r>
      <w:r w:rsidR="00FA7173" w:rsidRPr="002D76F4">
        <w:rPr>
          <w:rFonts w:eastAsia="MS Mincho"/>
          <w:szCs w:val="22"/>
        </w:rPr>
        <w:t>n</w:t>
      </w:r>
      <w:r w:rsidR="00FA7173" w:rsidRPr="002D76F4">
        <w:rPr>
          <w:rFonts w:eastAsia="MS Mincho"/>
          <w:szCs w:val="22"/>
          <w:vertAlign w:val="superscript"/>
        </w:rPr>
        <w:t>o</w:t>
      </w:r>
      <w:r w:rsidR="00FA7173">
        <w:t> </w:t>
      </w:r>
      <w:r w:rsidRPr="00847DD1">
        <w:t>1, la Réunion commune a adopté la proposition ré</w:t>
      </w:r>
      <w:r>
        <w:t>v</w:t>
      </w:r>
      <w:r w:rsidRPr="00847DD1">
        <w:t>isée</w:t>
      </w:r>
      <w:r>
        <w:t xml:space="preserve"> des amendem</w:t>
      </w:r>
      <w:r w:rsidRPr="00847DD1">
        <w:t xml:space="preserve">ents </w:t>
      </w:r>
      <w:r>
        <w:t>au</w:t>
      </w:r>
      <w:r w:rsidRPr="00847DD1">
        <w:t xml:space="preserve"> 5.5.3 </w:t>
      </w:r>
      <w:r>
        <w:t>présentée dans le</w:t>
      </w:r>
      <w:r w:rsidRPr="00847DD1">
        <w:t xml:space="preserve"> document INF.48</w:t>
      </w:r>
      <w:r>
        <w:t>,</w:t>
      </w:r>
      <w:r w:rsidRPr="00847DD1">
        <w:t xml:space="preserve"> </w:t>
      </w:r>
      <w:r>
        <w:t>telle que modifiée (voir</w:t>
      </w:r>
      <w:r w:rsidRPr="00847DD1">
        <w:t xml:space="preserve"> annex</w:t>
      </w:r>
      <w:r>
        <w:t>e</w:t>
      </w:r>
      <w:r w:rsidRPr="00847DD1">
        <w:t xml:space="preserve"> II).</w:t>
      </w:r>
    </w:p>
    <w:p w14:paraId="6F991275" w14:textId="7932C8EA" w:rsidR="007B7BE0" w:rsidRPr="00944671" w:rsidRDefault="00FA7173" w:rsidP="00FA7173">
      <w:pPr>
        <w:pStyle w:val="HChG"/>
      </w:pPr>
      <w:r>
        <w:tab/>
      </w:r>
      <w:r w:rsidR="007B7BE0" w:rsidRPr="000258C6">
        <w:t>VIII</w:t>
      </w:r>
      <w:r w:rsidR="007B7BE0" w:rsidRPr="00944671">
        <w:t>.</w:t>
      </w:r>
      <w:r w:rsidR="007B7BE0" w:rsidRPr="00944671">
        <w:tab/>
        <w:t>Interpr</w:t>
      </w:r>
      <w:r w:rsidR="007B7BE0">
        <w:t>é</w:t>
      </w:r>
      <w:r w:rsidR="007B7BE0" w:rsidRPr="00944671">
        <w:t xml:space="preserve">tation </w:t>
      </w:r>
      <w:r w:rsidR="007B7BE0">
        <w:t>du</w:t>
      </w:r>
      <w:r w:rsidR="007B7BE0" w:rsidRPr="00944671">
        <w:t xml:space="preserve"> RID/ADR/ADN (</w:t>
      </w:r>
      <w:r w:rsidR="007B7BE0">
        <w:t>point</w:t>
      </w:r>
      <w:r w:rsidR="007B7BE0" w:rsidRPr="00944671">
        <w:t xml:space="preserve"> 6</w:t>
      </w:r>
      <w:r w:rsidR="007B7BE0">
        <w:t xml:space="preserve"> de l</w:t>
      </w:r>
      <w:r w:rsidR="00333FCB">
        <w:t>’</w:t>
      </w:r>
      <w:r w:rsidR="007B7BE0">
        <w:t>ordre du jour</w:t>
      </w:r>
      <w:r w:rsidR="007B7BE0" w:rsidRPr="00944671">
        <w:t>)</w:t>
      </w:r>
    </w:p>
    <w:p w14:paraId="5E660225" w14:textId="77777777" w:rsidR="007B7BE0" w:rsidRPr="00535410" w:rsidRDefault="007B7BE0" w:rsidP="00736D25">
      <w:pPr>
        <w:pStyle w:val="H23G"/>
      </w:pPr>
      <w:r w:rsidRPr="00847DD1">
        <w:tab/>
      </w:r>
      <w:r w:rsidRPr="00847DD1">
        <w:tab/>
      </w:r>
      <w:r>
        <w:t>Liquides de référence</w:t>
      </w:r>
    </w:p>
    <w:p w14:paraId="0A6D3829" w14:textId="77777777" w:rsidR="007B7BE0" w:rsidRPr="00535410" w:rsidRDefault="007B7BE0" w:rsidP="00B70120">
      <w:pPr>
        <w:pStyle w:val="SingleTxtG"/>
        <w:ind w:left="3119" w:hanging="1985"/>
        <w:jc w:val="left"/>
      </w:pPr>
      <w:r w:rsidRPr="00535410">
        <w:rPr>
          <w:i/>
        </w:rPr>
        <w:t>Document</w:t>
      </w:r>
      <w:r w:rsidR="00FA7173">
        <w:rPr>
          <w:i/>
        </w:rPr>
        <w:t> </w:t>
      </w:r>
      <w:r w:rsidRPr="00535410">
        <w:t xml:space="preserve">: </w:t>
      </w:r>
      <w:r w:rsidRPr="00535410">
        <w:tab/>
        <w:t>ECE/TRANS/WP.15/AC.1/2019/41 (Ital</w:t>
      </w:r>
      <w:r>
        <w:t>ie</w:t>
      </w:r>
      <w:r w:rsidRPr="00535410">
        <w:t>)</w:t>
      </w:r>
      <w:r w:rsidR="00FA7173">
        <w:t>.</w:t>
      </w:r>
    </w:p>
    <w:p w14:paraId="1B1033E5" w14:textId="5D5C731B" w:rsidR="007B7BE0" w:rsidRPr="00847DD1" w:rsidRDefault="007B7BE0" w:rsidP="007B7BE0">
      <w:pPr>
        <w:pStyle w:val="SingleTxtG"/>
      </w:pPr>
      <w:r w:rsidRPr="00847DD1">
        <w:t>45.</w:t>
      </w:r>
      <w:r w:rsidRPr="00847DD1">
        <w:tab/>
        <w:t>Plusieurs délégations se sont déclarées préoccupées par l</w:t>
      </w:r>
      <w:r w:rsidR="00333FCB">
        <w:t>’</w:t>
      </w:r>
      <w:r w:rsidRPr="00847DD1">
        <w:t>interprétation que donne l</w:t>
      </w:r>
      <w:r w:rsidR="00333FCB">
        <w:t>’</w:t>
      </w:r>
      <w:r w:rsidRPr="00847DD1">
        <w:t>Italie de l</w:t>
      </w:r>
      <w:r w:rsidR="00333FCB">
        <w:t>’</w:t>
      </w:r>
      <w:r w:rsidRPr="00847DD1">
        <w:t xml:space="preserve">utilisation des </w:t>
      </w:r>
      <w:r>
        <w:t>liquides de référence pour l</w:t>
      </w:r>
      <w:r w:rsidR="00333FCB">
        <w:t>’</w:t>
      </w:r>
      <w:r>
        <w:t xml:space="preserve">épreuve de gerbage. </w:t>
      </w:r>
      <w:r w:rsidRPr="00847DD1">
        <w:t>Le représentant de l</w:t>
      </w:r>
      <w:r w:rsidR="00333FCB">
        <w:t>’</w:t>
      </w:r>
      <w:r w:rsidRPr="00847DD1">
        <w:t>Ital</w:t>
      </w:r>
      <w:r>
        <w:t>ie</w:t>
      </w:r>
      <w:r w:rsidRPr="00847DD1">
        <w:t xml:space="preserve"> s</w:t>
      </w:r>
      <w:r w:rsidR="00333FCB">
        <w:t>’</w:t>
      </w:r>
      <w:r w:rsidRPr="00847DD1">
        <w:t>est propos</w:t>
      </w:r>
      <w:r>
        <w:t>é</w:t>
      </w:r>
      <w:r w:rsidRPr="00847DD1">
        <w:t xml:space="preserve"> pour examiner la question en tenant compte des observations reçues et </w:t>
      </w:r>
      <w:r>
        <w:t>pour</w:t>
      </w:r>
      <w:r w:rsidRPr="00847DD1">
        <w:t xml:space="preserve"> soumettre</w:t>
      </w:r>
      <w:r>
        <w:t>, le cas échéant, une proposition d</w:t>
      </w:r>
      <w:r w:rsidR="00333FCB">
        <w:t>’</w:t>
      </w:r>
      <w:r>
        <w:t>amendement à l</w:t>
      </w:r>
      <w:r w:rsidR="00333FCB">
        <w:t>’</w:t>
      </w:r>
      <w:r>
        <w:t>avenir.</w:t>
      </w:r>
    </w:p>
    <w:p w14:paraId="57A3981B" w14:textId="4DAD2F03" w:rsidR="007B7BE0" w:rsidRPr="00944671" w:rsidRDefault="007B7BE0" w:rsidP="00736D25">
      <w:pPr>
        <w:pStyle w:val="HChG"/>
      </w:pPr>
      <w:r w:rsidRPr="00944671">
        <w:tab/>
      </w:r>
      <w:r w:rsidRPr="000258C6">
        <w:t>IX</w:t>
      </w:r>
      <w:r w:rsidRPr="00944671">
        <w:t>.</w:t>
      </w:r>
      <w:r w:rsidRPr="00944671">
        <w:tab/>
        <w:t>R</w:t>
      </w:r>
      <w:r>
        <w:t>ap</w:t>
      </w:r>
      <w:r w:rsidRPr="00944671">
        <w:t xml:space="preserve">ports </w:t>
      </w:r>
      <w:r>
        <w:t>des</w:t>
      </w:r>
      <w:r w:rsidRPr="00944671">
        <w:t xml:space="preserve"> group</w:t>
      </w:r>
      <w:r>
        <w:t>e</w:t>
      </w:r>
      <w:r w:rsidRPr="00944671">
        <w:t>s</w:t>
      </w:r>
      <w:r>
        <w:t xml:space="preserve"> de travail informels</w:t>
      </w:r>
      <w:r w:rsidRPr="00944671">
        <w:t xml:space="preserve"> (</w:t>
      </w:r>
      <w:r>
        <w:t>point</w:t>
      </w:r>
      <w:r w:rsidRPr="00944671">
        <w:t xml:space="preserve"> 7</w:t>
      </w:r>
      <w:r>
        <w:t xml:space="preserve"> de l</w:t>
      </w:r>
      <w:r w:rsidR="00333FCB">
        <w:t>’</w:t>
      </w:r>
      <w:r>
        <w:t>ordre du jour</w:t>
      </w:r>
      <w:r w:rsidRPr="00944671">
        <w:t>)</w:t>
      </w:r>
    </w:p>
    <w:p w14:paraId="3A0F1B53" w14:textId="5119C938" w:rsidR="007B7BE0" w:rsidRPr="00847DD1" w:rsidRDefault="007B7BE0" w:rsidP="00736D25">
      <w:pPr>
        <w:pStyle w:val="H1G"/>
      </w:pPr>
      <w:r w:rsidRPr="00847DD1">
        <w:tab/>
        <w:t>A.</w:t>
      </w:r>
      <w:r w:rsidRPr="00847DD1">
        <w:tab/>
        <w:t>Transport de r</w:t>
      </w:r>
      <w:r>
        <w:t>é</w:t>
      </w:r>
      <w:r w:rsidRPr="00847DD1">
        <w:t>cipients à pression agr</w:t>
      </w:r>
      <w:r>
        <w:t>éé</w:t>
      </w:r>
      <w:r w:rsidRPr="00847DD1">
        <w:t xml:space="preserve">s par le </w:t>
      </w:r>
      <w:r>
        <w:t>D</w:t>
      </w:r>
      <w:r w:rsidRPr="00847DD1">
        <w:t xml:space="preserve">épartement </w:t>
      </w:r>
      <w:r w:rsidR="00FA7173">
        <w:br/>
      </w:r>
      <w:r w:rsidRPr="00847DD1">
        <w:t>des transports des États-</w:t>
      </w:r>
      <w:r>
        <w:t>Unis d</w:t>
      </w:r>
      <w:r w:rsidR="00333FCB">
        <w:t>’</w:t>
      </w:r>
      <w:r>
        <w:t>Amérique</w:t>
      </w:r>
      <w:r w:rsidR="0057350D">
        <w:t xml:space="preserve"> </w:t>
      </w:r>
    </w:p>
    <w:p w14:paraId="70981EFC" w14:textId="77777777" w:rsidR="007B7BE0" w:rsidRPr="00847DD1" w:rsidRDefault="007B7BE0" w:rsidP="00B70120">
      <w:pPr>
        <w:pStyle w:val="SingleTxtG"/>
        <w:ind w:left="3119" w:hanging="1985"/>
        <w:jc w:val="left"/>
      </w:pPr>
      <w:r w:rsidRPr="00847DD1">
        <w:rPr>
          <w:i/>
          <w:iCs/>
        </w:rPr>
        <w:t>Document</w:t>
      </w:r>
      <w:r>
        <w:rPr>
          <w:i/>
          <w:iCs/>
        </w:rPr>
        <w:t xml:space="preserve"> officiel</w:t>
      </w:r>
      <w:r w:rsidR="00FA7173">
        <w:rPr>
          <w:i/>
          <w:iCs/>
        </w:rPr>
        <w:t> </w:t>
      </w:r>
      <w:r w:rsidRPr="00FA7173">
        <w:rPr>
          <w:iCs/>
        </w:rPr>
        <w:t>:</w:t>
      </w:r>
      <w:r w:rsidRPr="00847DD1">
        <w:tab/>
        <w:t>ECE/TRANS/WP.15/AC.1/2019/37 (EIGA)</w:t>
      </w:r>
    </w:p>
    <w:p w14:paraId="16E98F9A" w14:textId="77777777" w:rsidR="007B7BE0" w:rsidRPr="00847DD1" w:rsidRDefault="007B7BE0" w:rsidP="00B70120">
      <w:pPr>
        <w:pStyle w:val="SingleTxtG"/>
        <w:ind w:left="3119" w:hanging="1985"/>
        <w:jc w:val="left"/>
      </w:pPr>
      <w:r w:rsidRPr="00847DD1">
        <w:rPr>
          <w:i/>
          <w:iCs/>
        </w:rPr>
        <w:t>Documents informels</w:t>
      </w:r>
      <w:r w:rsidR="00FA7173">
        <w:rPr>
          <w:i/>
          <w:iCs/>
        </w:rPr>
        <w:t> </w:t>
      </w:r>
      <w:r w:rsidRPr="00FA7173">
        <w:rPr>
          <w:iCs/>
        </w:rPr>
        <w:t>:</w:t>
      </w:r>
      <w:r w:rsidRPr="00847DD1">
        <w:t xml:space="preserve"> </w:t>
      </w:r>
      <w:r w:rsidRPr="00847DD1">
        <w:tab/>
        <w:t>INF.35, 42 et 44 (EIGA)</w:t>
      </w:r>
      <w:r w:rsidR="00FA7173">
        <w:t>.</w:t>
      </w:r>
    </w:p>
    <w:p w14:paraId="1936C9B6" w14:textId="23A2CEB3" w:rsidR="007B7BE0" w:rsidRPr="000258C6" w:rsidRDefault="007B7BE0" w:rsidP="007B7BE0">
      <w:pPr>
        <w:pStyle w:val="SingleTxtG"/>
      </w:pPr>
      <w:r w:rsidRPr="000258C6">
        <w:t>46.</w:t>
      </w:r>
      <w:r w:rsidRPr="000258C6">
        <w:tab/>
        <w:t>La Réunion commune s</w:t>
      </w:r>
      <w:r w:rsidR="00333FCB">
        <w:t>’</w:t>
      </w:r>
      <w:r w:rsidRPr="000258C6">
        <w:t>est félicitée des renseignements communiqués par l</w:t>
      </w:r>
      <w:r w:rsidR="00333FCB">
        <w:t>’</w:t>
      </w:r>
      <w:r w:rsidRPr="000258C6">
        <w:t>EIGA sur la</w:t>
      </w:r>
      <w:r>
        <w:t xml:space="preserve"> réglementation que les États-Unis d</w:t>
      </w:r>
      <w:r w:rsidR="00333FCB">
        <w:t>’</w:t>
      </w:r>
      <w:r>
        <w:t>Amérique envisagent d</w:t>
      </w:r>
      <w:r w:rsidR="00333FCB">
        <w:t>’</w:t>
      </w:r>
      <w:r>
        <w:t xml:space="preserve">instituer pour le transport international de récipients à pression. </w:t>
      </w:r>
      <w:r w:rsidRPr="000258C6">
        <w:t>Le représentant de ce pays a précisé que la proc</w:t>
      </w:r>
      <w:r>
        <w:t>é</w:t>
      </w:r>
      <w:r w:rsidRPr="000258C6">
        <w:t>dure d</w:t>
      </w:r>
      <w:r w:rsidR="00333FCB">
        <w:t>’</w:t>
      </w:r>
      <w:r w:rsidRPr="000258C6">
        <w:t>a</w:t>
      </w:r>
      <w:r>
        <w:t>grément</w:t>
      </w:r>
      <w:r w:rsidRPr="000258C6">
        <w:t xml:space="preserve"> officielle devrait être achevée d</w:t>
      </w:r>
      <w:r w:rsidR="00333FCB">
        <w:t>’</w:t>
      </w:r>
      <w:r w:rsidRPr="000258C6">
        <w:t>ici la mi</w:t>
      </w:r>
      <w:r>
        <w:t>-</w:t>
      </w:r>
      <w:r w:rsidRPr="000258C6">
        <w:t>2020. La Réunion commune a apporté son</w:t>
      </w:r>
      <w:r>
        <w:t xml:space="preserve"> </w:t>
      </w:r>
      <w:r w:rsidRPr="000258C6">
        <w:t>soutien de principe à la proposition contenue dans le document</w:t>
      </w:r>
      <w:r w:rsidR="0057350D">
        <w:t xml:space="preserve"> </w:t>
      </w:r>
      <w:r w:rsidRPr="000258C6">
        <w:t>ECE/TRANS/WP.15/</w:t>
      </w:r>
      <w:r w:rsidR="00736D25">
        <w:t xml:space="preserve"> </w:t>
      </w:r>
      <w:r w:rsidR="00A70778" w:rsidRPr="000258C6">
        <w:t xml:space="preserve">AC.1/2019/37 </w:t>
      </w:r>
      <w:r w:rsidR="00736D25" w:rsidRPr="000258C6">
        <w:t>telle qu</w:t>
      </w:r>
      <w:r w:rsidR="00333FCB">
        <w:t>’</w:t>
      </w:r>
      <w:r w:rsidR="00736D25" w:rsidRPr="000258C6">
        <w:t>amendée dans le document INF.44 et a décidé d</w:t>
      </w:r>
      <w:r w:rsidR="00333FCB">
        <w:t>’</w:t>
      </w:r>
      <w:r w:rsidR="00736D25" w:rsidRPr="000258C6">
        <w:t xml:space="preserve">examiner </w:t>
      </w:r>
      <w:r w:rsidR="00736D25">
        <w:t>l</w:t>
      </w:r>
      <w:r w:rsidR="00333FCB">
        <w:t>’</w:t>
      </w:r>
      <w:r w:rsidR="00736D25">
        <w:t>adoption de cette proposition lors d</w:t>
      </w:r>
      <w:r w:rsidR="00333FCB">
        <w:t>’</w:t>
      </w:r>
      <w:r w:rsidR="00736D25">
        <w:t>une session ultérieure, en fonction de l</w:t>
      </w:r>
      <w:r w:rsidR="00333FCB">
        <w:t>’</w:t>
      </w:r>
      <w:r w:rsidR="00736D25">
        <w:t>évolution de la</w:t>
      </w:r>
      <w:r w:rsidR="00736D25" w:rsidRPr="00736D25">
        <w:t xml:space="preserve"> </w:t>
      </w:r>
      <w:r w:rsidR="00736D25">
        <w:t>réglementation aux États-Unis d</w:t>
      </w:r>
      <w:r w:rsidR="00333FCB">
        <w:t>’</w:t>
      </w:r>
      <w:r w:rsidR="00736D25">
        <w:t>Amérique</w:t>
      </w:r>
      <w:r w:rsidR="00736D25" w:rsidRPr="000258C6">
        <w:t>.</w:t>
      </w:r>
    </w:p>
    <w:p w14:paraId="65E4F886" w14:textId="77777777" w:rsidR="007B7BE0" w:rsidRPr="000258C6" w:rsidRDefault="007B7BE0" w:rsidP="007B7BE0">
      <w:pPr>
        <w:pStyle w:val="H1G"/>
        <w:rPr>
          <w:lang w:eastAsia="fr-FR"/>
        </w:rPr>
      </w:pPr>
      <w:r w:rsidRPr="000258C6">
        <w:tab/>
        <w:t>B.</w:t>
      </w:r>
      <w:r w:rsidRPr="000258C6">
        <w:tab/>
      </w:r>
      <w:r>
        <w:t>G</w:t>
      </w:r>
      <w:r w:rsidRPr="000258C6">
        <w:t>roup</w:t>
      </w:r>
      <w:r>
        <w:t>e</w:t>
      </w:r>
      <w:r w:rsidRPr="000258C6">
        <w:t xml:space="preserve"> de travai</w:t>
      </w:r>
      <w:r>
        <w:t>l</w:t>
      </w:r>
      <w:r w:rsidRPr="000258C6">
        <w:t xml:space="preserve"> informel d</w:t>
      </w:r>
      <w:r>
        <w:t>es</w:t>
      </w:r>
      <w:r w:rsidRPr="000258C6">
        <w:t xml:space="preserve"> transport</w:t>
      </w:r>
      <w:r>
        <w:t>s</w:t>
      </w:r>
      <w:r w:rsidRPr="000258C6">
        <w:t xml:space="preserve"> de déchets dangereux</w:t>
      </w:r>
      <w:r>
        <w:t> : réunion de Bruxelles</w:t>
      </w:r>
      <w:r w:rsidRPr="000258C6">
        <w:t xml:space="preserve"> (2 </w:t>
      </w:r>
      <w:r>
        <w:t xml:space="preserve">et </w:t>
      </w:r>
      <w:r w:rsidRPr="000258C6">
        <w:t>3</w:t>
      </w:r>
      <w:r w:rsidR="0071306E">
        <w:t xml:space="preserve"> </w:t>
      </w:r>
      <w:r>
        <w:t>av</w:t>
      </w:r>
      <w:r w:rsidRPr="000258C6">
        <w:t>ril 2019)</w:t>
      </w:r>
    </w:p>
    <w:p w14:paraId="1C1F095E" w14:textId="77777777" w:rsidR="007B7BE0" w:rsidRPr="0046267B" w:rsidRDefault="007B7BE0" w:rsidP="00B70120">
      <w:pPr>
        <w:pStyle w:val="SingleTxtG"/>
        <w:ind w:left="3119" w:hanging="1985"/>
        <w:jc w:val="left"/>
      </w:pPr>
      <w:r w:rsidRPr="0046267B">
        <w:rPr>
          <w:i/>
          <w:iCs/>
        </w:rPr>
        <w:t>Document</w:t>
      </w:r>
      <w:r w:rsidR="00A70778">
        <w:rPr>
          <w:i/>
          <w:iCs/>
        </w:rPr>
        <w:t> </w:t>
      </w:r>
      <w:r w:rsidRPr="00A70778">
        <w:rPr>
          <w:iCs/>
        </w:rPr>
        <w:t>:</w:t>
      </w:r>
      <w:r w:rsidRPr="0046267B">
        <w:tab/>
        <w:t>ECE/TRANS/WP.15/AC.1/2019/34 (FEAD)</w:t>
      </w:r>
      <w:r w:rsidR="0071306E">
        <w:t>.</w:t>
      </w:r>
    </w:p>
    <w:p w14:paraId="6DB72912" w14:textId="56549833" w:rsidR="007B7BE0" w:rsidRPr="0046267B" w:rsidRDefault="007B7BE0" w:rsidP="007B7BE0">
      <w:pPr>
        <w:pStyle w:val="SingleTxtG"/>
      </w:pPr>
      <w:bookmarkStart w:id="4" w:name="_Hlk21112712"/>
      <w:r w:rsidRPr="000258C6">
        <w:t>47.</w:t>
      </w:r>
      <w:r w:rsidRPr="000258C6">
        <w:tab/>
        <w:t>La Réunion commune a pris note des informations et adopté la liste des questions que le groupe examinera à l</w:t>
      </w:r>
      <w:r w:rsidR="00333FCB">
        <w:t>’</w:t>
      </w:r>
      <w:r w:rsidRPr="000258C6">
        <w:t>avenir,</w:t>
      </w:r>
      <w:r w:rsidR="0057350D">
        <w:t xml:space="preserve"> </w:t>
      </w:r>
      <w:r>
        <w:t>telles qu</w:t>
      </w:r>
      <w:r w:rsidR="00333FCB">
        <w:t>’</w:t>
      </w:r>
      <w:r>
        <w:t>elle est reproduite</w:t>
      </w:r>
      <w:r w:rsidRPr="000258C6">
        <w:t xml:space="preserve"> dans l</w:t>
      </w:r>
      <w:r w:rsidR="00333FCB">
        <w:t>’</w:t>
      </w:r>
      <w:r>
        <w:t>a</w:t>
      </w:r>
      <w:r w:rsidRPr="000258C6">
        <w:t>nnex</w:t>
      </w:r>
      <w:r>
        <w:t>e du document</w:t>
      </w:r>
      <w:r w:rsidRPr="000258C6">
        <w:t xml:space="preserve"> ECE/TRANS/WP.15/AC.1/2019/34. Le représentant de la FEAD a précisé que des </w:t>
      </w:r>
      <w:r w:rsidRPr="000258C6">
        <w:lastRenderedPageBreak/>
        <w:t>renseignements</w:t>
      </w:r>
      <w:r>
        <w:t xml:space="preserve"> détaillés sur les débats qui se sont déroulés dans le groupe pouvaient être consultés sur le site </w:t>
      </w:r>
      <w:r w:rsidR="00A70778">
        <w:t xml:space="preserve">Web </w:t>
      </w:r>
      <w:r>
        <w:t>de la Fédératio</w:t>
      </w:r>
      <w:r w:rsidR="0071306E">
        <w:t>n</w:t>
      </w:r>
      <w:r w:rsidRPr="00944671">
        <w:rPr>
          <w:rStyle w:val="FootnoteReference"/>
        </w:rPr>
        <w:footnoteReference w:id="5"/>
      </w:r>
      <w:r w:rsidRPr="000258C6">
        <w:t xml:space="preserve">. La </w:t>
      </w:r>
      <w:r>
        <w:t>Ré</w:t>
      </w:r>
      <w:r w:rsidRPr="000258C6">
        <w:t>union commune a recommandé que le</w:t>
      </w:r>
      <w:r>
        <w:t xml:space="preserve">s </w:t>
      </w:r>
      <w:r w:rsidRPr="000258C6">
        <w:t>r</w:t>
      </w:r>
      <w:r>
        <w:t>é</w:t>
      </w:r>
      <w:r w:rsidRPr="000258C6">
        <w:t>cipients à pression usag</w:t>
      </w:r>
      <w:r>
        <w:t>é</w:t>
      </w:r>
      <w:r w:rsidRPr="000258C6">
        <w:t>s, tels que les a</w:t>
      </w:r>
      <w:r>
        <w:t>é</w:t>
      </w:r>
      <w:r w:rsidRPr="000258C6">
        <w:t>rosols et les cartouches de gaz</w:t>
      </w:r>
      <w:r>
        <w:t xml:space="preserve"> en vrac soient ajoutés à la liste.</w:t>
      </w:r>
      <w:r w:rsidRPr="000258C6">
        <w:t xml:space="preserve"> Il a été décidé que le groupe de travail informel devrait suivre une approche</w:t>
      </w:r>
      <w:r w:rsidR="0057350D">
        <w:t xml:space="preserve"> </w:t>
      </w:r>
      <w:r w:rsidRPr="000258C6">
        <w:t>pragmatique et examiner en premier lieu les questions les plus importantes, suscept</w:t>
      </w:r>
      <w:r>
        <w:t>ibles de déboucher sur des amendements aux éditions 2023 du</w:t>
      </w:r>
      <w:r w:rsidRPr="000258C6">
        <w:t xml:space="preserve"> RID/ADR/ADN, </w:t>
      </w:r>
      <w:r>
        <w:t>mais aussi à des questions faciles à résoudre</w:t>
      </w:r>
      <w:r w:rsidRPr="000258C6">
        <w:t>. Le représentant de la FEAD a annoncé l</w:t>
      </w:r>
      <w:r w:rsidR="00333FCB">
        <w:t>’</w:t>
      </w:r>
      <w:r w:rsidRPr="000258C6">
        <w:t>intention de son organisation d</w:t>
      </w:r>
      <w:r w:rsidR="00333FCB">
        <w:t>’</w:t>
      </w:r>
      <w:r w:rsidRPr="000258C6">
        <w:t>organiser une r</w:t>
      </w:r>
      <w:r>
        <w:t>é</w:t>
      </w:r>
      <w:r w:rsidRPr="000258C6">
        <w:t>union du groupe de travail infor</w:t>
      </w:r>
      <w:r>
        <w:t>mel. Il a invité toutes les délégations à fournir des services de secrétariat ou à accueillir cette réunion sur une base volontaire.</w:t>
      </w:r>
    </w:p>
    <w:bookmarkEnd w:id="4"/>
    <w:p w14:paraId="26AF9426" w14:textId="249E5AE3" w:rsidR="007B7BE0" w:rsidRPr="000258C6" w:rsidRDefault="007B7BE0" w:rsidP="0071306E">
      <w:pPr>
        <w:pStyle w:val="H1G"/>
      </w:pPr>
      <w:r w:rsidRPr="0046267B">
        <w:tab/>
      </w:r>
      <w:r w:rsidRPr="000258C6">
        <w:t>C.</w:t>
      </w:r>
      <w:r w:rsidRPr="000258C6">
        <w:tab/>
      </w:r>
      <w:r>
        <w:t>G</w:t>
      </w:r>
      <w:r w:rsidRPr="000258C6">
        <w:t>roup</w:t>
      </w:r>
      <w:r>
        <w:t>e</w:t>
      </w:r>
      <w:r w:rsidRPr="000258C6">
        <w:t xml:space="preserve"> de travail informel de la t</w:t>
      </w:r>
      <w:r>
        <w:t>é</w:t>
      </w:r>
      <w:r w:rsidRPr="000258C6">
        <w:t>l</w:t>
      </w:r>
      <w:r>
        <w:t>é</w:t>
      </w:r>
      <w:r w:rsidRPr="000258C6">
        <w:t>matique</w:t>
      </w:r>
      <w:r>
        <w:t> : lignes directrices pour l</w:t>
      </w:r>
      <w:r w:rsidR="00333FCB">
        <w:t>’</w:t>
      </w:r>
      <w:r>
        <w:t>application</w:t>
      </w:r>
      <w:r w:rsidRPr="000258C6">
        <w:t xml:space="preserve"> du paragraphe</w:t>
      </w:r>
      <w:r>
        <w:t xml:space="preserve"> </w:t>
      </w:r>
      <w:r w:rsidRPr="000258C6">
        <w:t xml:space="preserve">5.4.0.2 </w:t>
      </w:r>
      <w:r>
        <w:t>du</w:t>
      </w:r>
      <w:r w:rsidRPr="000258C6">
        <w:t xml:space="preserve"> RID/ADR/ADN</w:t>
      </w:r>
    </w:p>
    <w:p w14:paraId="38D32BFB" w14:textId="77777777" w:rsidR="007B7BE0" w:rsidRPr="000258C6" w:rsidRDefault="007B7BE0" w:rsidP="00B70120">
      <w:pPr>
        <w:pStyle w:val="SingleTxtG"/>
        <w:ind w:left="3119" w:hanging="1985"/>
        <w:jc w:val="left"/>
      </w:pPr>
      <w:r w:rsidRPr="000258C6">
        <w:rPr>
          <w:i/>
          <w:iCs/>
        </w:rPr>
        <w:t>Document</w:t>
      </w:r>
      <w:r>
        <w:rPr>
          <w:i/>
          <w:iCs/>
        </w:rPr>
        <w:t xml:space="preserve"> officiel</w:t>
      </w:r>
      <w:r w:rsidR="003259EF">
        <w:rPr>
          <w:i/>
          <w:iCs/>
        </w:rPr>
        <w:t> </w:t>
      </w:r>
      <w:r w:rsidRPr="003259EF">
        <w:rPr>
          <w:iCs/>
        </w:rPr>
        <w:t>:</w:t>
      </w:r>
      <w:r w:rsidRPr="000258C6">
        <w:tab/>
        <w:t>ECE/TRANS/WP.15/AC.1/2019/44 (Groupe de travail inform</w:t>
      </w:r>
      <w:r>
        <w:t>el de la</w:t>
      </w:r>
      <w:r w:rsidRPr="000258C6">
        <w:t xml:space="preserve"> t</w:t>
      </w:r>
      <w:r>
        <w:t>é</w:t>
      </w:r>
      <w:r w:rsidRPr="000258C6">
        <w:t>l</w:t>
      </w:r>
      <w:r>
        <w:t>é</w:t>
      </w:r>
      <w:r w:rsidRPr="000258C6">
        <w:t>mati</w:t>
      </w:r>
      <w:r>
        <w:t>que</w:t>
      </w:r>
      <w:r w:rsidRPr="000258C6">
        <w:t>)</w:t>
      </w:r>
    </w:p>
    <w:p w14:paraId="184AFC2D" w14:textId="77777777" w:rsidR="007B7BE0" w:rsidRPr="0019099B" w:rsidRDefault="007B7BE0" w:rsidP="00B70120">
      <w:pPr>
        <w:pStyle w:val="SingleTxtG"/>
        <w:ind w:left="3119" w:hanging="1985"/>
        <w:jc w:val="left"/>
      </w:pPr>
      <w:r w:rsidRPr="0019099B">
        <w:rPr>
          <w:i/>
          <w:iCs/>
        </w:rPr>
        <w:t>Documents informels</w:t>
      </w:r>
      <w:r w:rsidR="003259EF">
        <w:rPr>
          <w:i/>
          <w:iCs/>
        </w:rPr>
        <w:t> </w:t>
      </w:r>
      <w:r w:rsidRPr="003259EF">
        <w:rPr>
          <w:iCs/>
        </w:rPr>
        <w:t>:</w:t>
      </w:r>
      <w:r w:rsidRPr="0019099B">
        <w:tab/>
        <w:t xml:space="preserve">INF.7 (Allemagne) </w:t>
      </w:r>
      <w:r>
        <w:t>et</w:t>
      </w:r>
      <w:r w:rsidRPr="0019099B">
        <w:t xml:space="preserve"> INF.46 (Luxembourg)</w:t>
      </w:r>
      <w:r w:rsidR="003259EF">
        <w:t>.</w:t>
      </w:r>
    </w:p>
    <w:p w14:paraId="0FB90279" w14:textId="2AB95E7D" w:rsidR="007B7BE0" w:rsidRPr="0019099B" w:rsidRDefault="007B7BE0" w:rsidP="007B7BE0">
      <w:pPr>
        <w:pStyle w:val="SingleTxtG"/>
      </w:pPr>
      <w:r w:rsidRPr="0019099B">
        <w:t>48.</w:t>
      </w:r>
      <w:r w:rsidRPr="0019099B">
        <w:tab/>
        <w:t>La Réunion commune s</w:t>
      </w:r>
      <w:r w:rsidR="00333FCB">
        <w:t>’</w:t>
      </w:r>
      <w:r w:rsidRPr="0019099B">
        <w:t>est félicité</w:t>
      </w:r>
      <w:r>
        <w:t>e</w:t>
      </w:r>
      <w:r w:rsidRPr="0019099B">
        <w:t xml:space="preserve"> des </w:t>
      </w:r>
      <w:r>
        <w:t>résultats obtenus</w:t>
      </w:r>
      <w:r w:rsidRPr="0019099B">
        <w:t xml:space="preserve"> par le groupe de travail informel de la télématique</w:t>
      </w:r>
      <w:r w:rsidR="003259EF">
        <w:t xml:space="preserve"> </w:t>
      </w:r>
      <w:r w:rsidRPr="0019099B">
        <w:t xml:space="preserve">et </w:t>
      </w:r>
      <w:r>
        <w:t>a adopté les lignes directrices pour l</w:t>
      </w:r>
      <w:r w:rsidR="00333FCB">
        <w:t>’</w:t>
      </w:r>
      <w:r>
        <w:t>application du paragraphe</w:t>
      </w:r>
      <w:r w:rsidR="00A70778">
        <w:t> </w:t>
      </w:r>
      <w:r w:rsidRPr="0019099B">
        <w:t xml:space="preserve">5.4.0.2 </w:t>
      </w:r>
      <w:r>
        <w:t>du</w:t>
      </w:r>
      <w:r w:rsidRPr="0019099B">
        <w:t xml:space="preserve"> RID/ADR/ADN </w:t>
      </w:r>
      <w:r>
        <w:t>proposées dans le document</w:t>
      </w:r>
      <w:r w:rsidRPr="0019099B">
        <w:t xml:space="preserve"> ECE/TRANS/WP.15/</w:t>
      </w:r>
      <w:r w:rsidR="00A70778">
        <w:t xml:space="preserve"> </w:t>
      </w:r>
      <w:r w:rsidRPr="0019099B">
        <w:t>AC.1/</w:t>
      </w:r>
      <w:r w:rsidR="003259EF">
        <w:t xml:space="preserve"> </w:t>
      </w:r>
      <w:r w:rsidRPr="0019099B">
        <w:t>2019/44. Il a été recommandé de remplacer le pictogramme figurant dans l</w:t>
      </w:r>
      <w:r w:rsidR="00333FCB">
        <w:t>’</w:t>
      </w:r>
      <w:r w:rsidRPr="0019099B">
        <w:t xml:space="preserve">annexe </w:t>
      </w:r>
      <w:r>
        <w:t>B</w:t>
      </w:r>
      <w:r w:rsidRPr="0019099B">
        <w:t xml:space="preserve"> par celui adopté pendant la session (</w:t>
      </w:r>
      <w:r>
        <w:t>voir</w:t>
      </w:r>
      <w:r w:rsidRPr="0019099B">
        <w:t xml:space="preserve"> annex</w:t>
      </w:r>
      <w:r>
        <w:t>e</w:t>
      </w:r>
      <w:r w:rsidRPr="0019099B">
        <w:t xml:space="preserve"> III). La Réunion commune a décidé de transmettre ces directives au WP.15 </w:t>
      </w:r>
      <w:r>
        <w:t>et au Comité d</w:t>
      </w:r>
      <w:r w:rsidR="00333FCB">
        <w:t>’</w:t>
      </w:r>
      <w:r>
        <w:t>experts du</w:t>
      </w:r>
      <w:r w:rsidRPr="0019099B">
        <w:t xml:space="preserve"> RID </w:t>
      </w:r>
      <w:r>
        <w:t xml:space="preserve">pour </w:t>
      </w:r>
      <w:r w:rsidRPr="0019099B">
        <w:t xml:space="preserve">information </w:t>
      </w:r>
      <w:r>
        <w:t>à leurs prochaines</w:t>
      </w:r>
      <w:r w:rsidRPr="0019099B">
        <w:t xml:space="preserve"> sessions.</w:t>
      </w:r>
    </w:p>
    <w:p w14:paraId="47A0914E" w14:textId="761C0837" w:rsidR="007B7BE0" w:rsidRPr="0019099B" w:rsidRDefault="007B7BE0" w:rsidP="003259EF">
      <w:pPr>
        <w:pStyle w:val="SingleTxtG"/>
      </w:pPr>
      <w:r w:rsidRPr="0019099B">
        <w:t>49.</w:t>
      </w:r>
      <w:r w:rsidRPr="0019099B">
        <w:tab/>
        <w:t xml:space="preserve">La Réunion commune a en outre décidé que </w:t>
      </w:r>
      <w:r>
        <w:t>c</w:t>
      </w:r>
      <w:r w:rsidRPr="0019099B">
        <w:t xml:space="preserve">es </w:t>
      </w:r>
      <w:r>
        <w:t>lignes directrices</w:t>
      </w:r>
      <w:r w:rsidRPr="0019099B">
        <w:t xml:space="preserve"> pourraient </w:t>
      </w:r>
      <w:r>
        <w:t>être appliquées sur une base volontaire et à chaque mode de transport séparément mais</w:t>
      </w:r>
      <w:r w:rsidRPr="0046267B">
        <w:t xml:space="preserve"> toujours de façon cohérente. </w:t>
      </w:r>
      <w:r w:rsidRPr="0019099B">
        <w:t>Elle a invit</w:t>
      </w:r>
      <w:r>
        <w:t>é</w:t>
      </w:r>
      <w:r w:rsidRPr="0019099B">
        <w:t xml:space="preserve"> le</w:t>
      </w:r>
      <w:r w:rsidR="0057350D">
        <w:t xml:space="preserve"> </w:t>
      </w:r>
      <w:r w:rsidRPr="0019099B">
        <w:t>WP.15 et le Comité d</w:t>
      </w:r>
      <w:r w:rsidR="00333FCB">
        <w:t>’</w:t>
      </w:r>
      <w:r w:rsidRPr="0019099B">
        <w:t xml:space="preserve">experts du RID à approuver la publication </w:t>
      </w:r>
      <w:r>
        <w:t xml:space="preserve">desdites directives sur les sites </w:t>
      </w:r>
      <w:r w:rsidR="00A70778">
        <w:t xml:space="preserve">Web </w:t>
      </w:r>
      <w:r>
        <w:t>de l</w:t>
      </w:r>
      <w:r w:rsidR="00333FCB">
        <w:t>’</w:t>
      </w:r>
      <w:r w:rsidRPr="0019099B">
        <w:t xml:space="preserve">OTIF </w:t>
      </w:r>
      <w:r>
        <w:t>et de la</w:t>
      </w:r>
      <w:r w:rsidRPr="0019099B">
        <w:t xml:space="preserve"> </w:t>
      </w:r>
      <w:r>
        <w:t>CEE.</w:t>
      </w:r>
    </w:p>
    <w:p w14:paraId="75F343C3" w14:textId="7E2EEA3A" w:rsidR="007B7BE0" w:rsidRPr="00D33EB4" w:rsidRDefault="007B7BE0" w:rsidP="003259EF">
      <w:pPr>
        <w:pStyle w:val="SingleTxtG"/>
      </w:pPr>
      <w:r w:rsidRPr="00D33EB4">
        <w:t>50.</w:t>
      </w:r>
      <w:r w:rsidRPr="00D33EB4">
        <w:tab/>
        <w:t xml:space="preserve">Le </w:t>
      </w:r>
      <w:r>
        <w:t>P</w:t>
      </w:r>
      <w:r w:rsidRPr="00D33EB4">
        <w:t>r</w:t>
      </w:r>
      <w:r>
        <w:t>é</w:t>
      </w:r>
      <w:r w:rsidRPr="00D33EB4">
        <w:t>sident a annoncé qu</w:t>
      </w:r>
      <w:r w:rsidR="00333FCB">
        <w:t>’</w:t>
      </w:r>
      <w:r w:rsidRPr="00D33EB4">
        <w:t xml:space="preserve">une </w:t>
      </w:r>
      <w:r>
        <w:t>réunion</w:t>
      </w:r>
      <w:r w:rsidRPr="00D33EB4">
        <w:t xml:space="preserve"> se tiendrait à</w:t>
      </w:r>
      <w:r w:rsidR="0057350D">
        <w:t xml:space="preserve"> </w:t>
      </w:r>
      <w:r w:rsidRPr="00D33EB4">
        <w:t xml:space="preserve">Aix-en-Provence (France) </w:t>
      </w:r>
      <w:r>
        <w:t>du</w:t>
      </w:r>
      <w:r w:rsidR="003259EF">
        <w:t xml:space="preserve"> </w:t>
      </w:r>
      <w:r w:rsidRPr="00D33EB4">
        <w:t xml:space="preserve">15 </w:t>
      </w:r>
      <w:r>
        <w:t xml:space="preserve">au </w:t>
      </w:r>
      <w:r w:rsidRPr="00D33EB4">
        <w:t>17</w:t>
      </w:r>
      <w:r w:rsidR="003259EF">
        <w:t> </w:t>
      </w:r>
      <w:r>
        <w:t>janvier</w:t>
      </w:r>
      <w:r w:rsidRPr="00D33EB4">
        <w:t xml:space="preserve"> 2020 </w:t>
      </w:r>
      <w:r>
        <w:t xml:space="preserve">pour préciser des points techniques concernant la mise en œuvre des lignes directrices. </w:t>
      </w:r>
      <w:r w:rsidRPr="00D33EB4">
        <w:t xml:space="preserve">Les </w:t>
      </w:r>
      <w:r>
        <w:t>« Tiers de confiance »</w:t>
      </w:r>
      <w:r w:rsidRPr="00D33EB4">
        <w:t xml:space="preserve"> (T</w:t>
      </w:r>
      <w:r>
        <w:t>C</w:t>
      </w:r>
      <w:r w:rsidRPr="00D33EB4">
        <w:t>1) ainsi que les autorités compétentes ont été invit</w:t>
      </w:r>
      <w:r>
        <w:t>é</w:t>
      </w:r>
      <w:r w:rsidRPr="00D33EB4">
        <w:t xml:space="preserve">s à assister à la </w:t>
      </w:r>
      <w:r>
        <w:t>réunion</w:t>
      </w:r>
      <w:r w:rsidRPr="00D33EB4">
        <w:t xml:space="preserve"> et les participants ont été invit</w:t>
      </w:r>
      <w:r>
        <w:t>é</w:t>
      </w:r>
      <w:r w:rsidRPr="00D33EB4">
        <w:t>s à s</w:t>
      </w:r>
      <w:r>
        <w:t>ignaler les questions pratiques avant la réunion.</w:t>
      </w:r>
    </w:p>
    <w:p w14:paraId="107B754C" w14:textId="4B6BF366" w:rsidR="007B7BE0" w:rsidRPr="00D33EB4" w:rsidRDefault="007B7BE0" w:rsidP="007B7BE0">
      <w:pPr>
        <w:pStyle w:val="SingleTxtG"/>
      </w:pPr>
      <w:r w:rsidRPr="00D33EB4">
        <w:t>51.</w:t>
      </w:r>
      <w:r w:rsidRPr="00D33EB4">
        <w:tab/>
        <w:t>Plusieurs délégations ont indiqué qu</w:t>
      </w:r>
      <w:r w:rsidR="00333FCB">
        <w:t>’</w:t>
      </w:r>
      <w:r w:rsidRPr="00D33EB4">
        <w:t xml:space="preserve">elles souhaiteraient </w:t>
      </w:r>
      <w:r>
        <w:t xml:space="preserve">encore </w:t>
      </w:r>
      <w:r w:rsidRPr="00D33EB4">
        <w:t>v</w:t>
      </w:r>
      <w:r>
        <w:t>é</w:t>
      </w:r>
      <w:r w:rsidRPr="00D33EB4">
        <w:t>rifier certains points concernant la sécurité des données avant de s</w:t>
      </w:r>
      <w:r w:rsidR="00333FCB">
        <w:t>’</w:t>
      </w:r>
      <w:r w:rsidRPr="00D33EB4">
        <w:t>engager à utiliser les</w:t>
      </w:r>
      <w:r>
        <w:t xml:space="preserve"> lignes</w:t>
      </w:r>
      <w:r w:rsidRPr="00D33EB4">
        <w:t xml:space="preserve"> direct</w:t>
      </w:r>
      <w:r>
        <w:t>r</w:t>
      </w:r>
      <w:r w:rsidRPr="00D33EB4">
        <w:t>i</w:t>
      </w:r>
      <w:r>
        <w:t>c</w:t>
      </w:r>
      <w:r w:rsidRPr="00D33EB4">
        <w:t>es</w:t>
      </w:r>
      <w:r>
        <w:t>.</w:t>
      </w:r>
    </w:p>
    <w:p w14:paraId="6B4F95FC" w14:textId="1B13A130" w:rsidR="007B7BE0" w:rsidRPr="00D33EB4" w:rsidRDefault="007B7BE0" w:rsidP="007B7BE0">
      <w:pPr>
        <w:pStyle w:val="H1G"/>
      </w:pPr>
      <w:r w:rsidRPr="00D33EB4">
        <w:tab/>
        <w:t>D.</w:t>
      </w:r>
      <w:r w:rsidRPr="00D33EB4">
        <w:tab/>
        <w:t>Rapport sur l</w:t>
      </w:r>
      <w:r w:rsidR="00333FCB">
        <w:t>’</w:t>
      </w:r>
      <w:r w:rsidRPr="00D33EB4">
        <w:t>examen de l</w:t>
      </w:r>
      <w:r w:rsidR="00333FCB">
        <w:t>’</w:t>
      </w:r>
      <w:r w:rsidRPr="00D33EB4">
        <w:t>utilisation des term</w:t>
      </w:r>
      <w:r>
        <w:t>e</w:t>
      </w:r>
      <w:r w:rsidRPr="00D33EB4">
        <w:t xml:space="preserve">s </w:t>
      </w:r>
      <w:r w:rsidR="003259EF">
        <w:t>« </w:t>
      </w:r>
      <w:r w:rsidRPr="00D33EB4">
        <w:t>risqu</w:t>
      </w:r>
      <w:r>
        <w:t>e</w:t>
      </w:r>
      <w:r w:rsidR="003259EF">
        <w:t> »</w:t>
      </w:r>
      <w:r w:rsidRPr="00D33EB4">
        <w:t xml:space="preserve"> et </w:t>
      </w:r>
      <w:r w:rsidR="003259EF">
        <w:t>« </w:t>
      </w:r>
      <w:r>
        <w:t>danger</w:t>
      </w:r>
      <w:r w:rsidR="003259EF">
        <w:t> »</w:t>
      </w:r>
      <w:r>
        <w:t xml:space="preserve"> lors de la cinquante-cinquième session du Sous-Comité d</w:t>
      </w:r>
      <w:r w:rsidR="00333FCB">
        <w:t>’</w:t>
      </w:r>
      <w:r w:rsidRPr="00D33EB4">
        <w:t xml:space="preserve">Experts </w:t>
      </w:r>
      <w:r>
        <w:t>du transport des marchandises dangereuses</w:t>
      </w:r>
    </w:p>
    <w:p w14:paraId="6739D948" w14:textId="77777777" w:rsidR="007B7BE0" w:rsidRPr="0046267B" w:rsidRDefault="007B7BE0" w:rsidP="00B70120">
      <w:pPr>
        <w:pStyle w:val="SingleTxtG"/>
        <w:ind w:left="3119" w:hanging="1985"/>
        <w:jc w:val="left"/>
      </w:pPr>
      <w:r w:rsidRPr="003259EF">
        <w:rPr>
          <w:i/>
        </w:rPr>
        <w:t>Document</w:t>
      </w:r>
      <w:r w:rsidR="003259EF">
        <w:t> </w:t>
      </w:r>
      <w:r w:rsidRPr="003259EF">
        <w:rPr>
          <w:iCs/>
        </w:rPr>
        <w:t>:</w:t>
      </w:r>
      <w:r w:rsidRPr="0046267B">
        <w:tab/>
        <w:t>INF.22 (Roumanie)</w:t>
      </w:r>
      <w:r w:rsidR="003259EF">
        <w:t>.</w:t>
      </w:r>
    </w:p>
    <w:p w14:paraId="31519F5C" w14:textId="3ABC83E7" w:rsidR="007B7BE0" w:rsidRPr="00D33EB4" w:rsidRDefault="007B7BE0" w:rsidP="003259EF">
      <w:pPr>
        <w:pStyle w:val="SingleTxtG"/>
      </w:pPr>
      <w:r w:rsidRPr="00D33EB4">
        <w:t>52.</w:t>
      </w:r>
      <w:r w:rsidRPr="00D33EB4">
        <w:tab/>
        <w:t>La Réunion commune s</w:t>
      </w:r>
      <w:r w:rsidR="00333FCB">
        <w:t>’</w:t>
      </w:r>
      <w:r w:rsidRPr="00D33EB4">
        <w:t>est</w:t>
      </w:r>
      <w:r>
        <w:t xml:space="preserve"> </w:t>
      </w:r>
      <w:r w:rsidRPr="00D33EB4">
        <w:t>félicitée du rapport contenu dans le</w:t>
      </w:r>
      <w:r w:rsidR="0057350D">
        <w:t xml:space="preserve"> </w:t>
      </w:r>
      <w:r w:rsidRPr="00D33EB4">
        <w:t xml:space="preserve">document INF.22 </w:t>
      </w:r>
      <w:r>
        <w:t>et a pris note d</w:t>
      </w:r>
      <w:r w:rsidR="00333FCB">
        <w:t>’</w:t>
      </w:r>
      <w:r>
        <w:t>un certain nombre de commentaires.</w:t>
      </w:r>
      <w:r w:rsidRPr="00D33EB4">
        <w:t xml:space="preserve"> Au sujet de la proposition concernant l</w:t>
      </w:r>
      <w:r w:rsidR="00333FCB">
        <w:t>’</w:t>
      </w:r>
      <w:r>
        <w:t>expression</w:t>
      </w:r>
      <w:r w:rsidRPr="00D33EB4">
        <w:t xml:space="preserve"> </w:t>
      </w:r>
      <w:r w:rsidR="003259EF">
        <w:t>« </w:t>
      </w:r>
      <w:r>
        <w:t xml:space="preserve">high </w:t>
      </w:r>
      <w:proofErr w:type="spellStart"/>
      <w:r>
        <w:t>consequence</w:t>
      </w:r>
      <w:proofErr w:type="spellEnd"/>
      <w:r>
        <w:t xml:space="preserve"> </w:t>
      </w:r>
      <w:proofErr w:type="spellStart"/>
      <w:r>
        <w:t>dangerous</w:t>
      </w:r>
      <w:proofErr w:type="spellEnd"/>
      <w:r>
        <w:t xml:space="preserve"> </w:t>
      </w:r>
      <w:proofErr w:type="spellStart"/>
      <w:r>
        <w:t>goods</w:t>
      </w:r>
      <w:proofErr w:type="spellEnd"/>
      <w:r w:rsidR="003259EF">
        <w:t> »</w:t>
      </w:r>
      <w:r w:rsidRPr="00D33EB4">
        <w:t xml:space="preserve">, </w:t>
      </w:r>
      <w:r>
        <w:t>la plupart des</w:t>
      </w:r>
      <w:r w:rsidRPr="00D33EB4">
        <w:t xml:space="preserve"> délégations </w:t>
      </w:r>
      <w:r>
        <w:t xml:space="preserve">qui se sont exprimées ont estimé que la version anglaise devrait rester inchangée. En ce qui concerne la traduction de ce terme en français, plusieurs solutions ont été examinées. </w:t>
      </w:r>
      <w:r w:rsidRPr="00D33EB4">
        <w:t xml:space="preserve">Plusieurs délégations </w:t>
      </w:r>
      <w:r>
        <w:t xml:space="preserve">ont estimé </w:t>
      </w:r>
      <w:r w:rsidRPr="00D33EB4">
        <w:t>qu</w:t>
      </w:r>
      <w:r w:rsidR="00333FCB">
        <w:t>’</w:t>
      </w:r>
      <w:r w:rsidRPr="00D33EB4">
        <w:t xml:space="preserve">il ne fallait rien changer étant donné que </w:t>
      </w:r>
      <w:r>
        <w:t>cette expression était précisément</w:t>
      </w:r>
      <w:r w:rsidR="0057350D">
        <w:t xml:space="preserve"> </w:t>
      </w:r>
      <w:r w:rsidRPr="00D33EB4">
        <w:t>défini</w:t>
      </w:r>
      <w:r>
        <w:t>e</w:t>
      </w:r>
      <w:r w:rsidRPr="00D33EB4">
        <w:t xml:space="preserve"> dans ce </w:t>
      </w:r>
      <w:r>
        <w:t>contexte.</w:t>
      </w:r>
      <w:r w:rsidRPr="00D33EB4">
        <w:t xml:space="preserve"> Le représentant de la Roumanie s</w:t>
      </w:r>
      <w:r w:rsidR="00333FCB">
        <w:t>’</w:t>
      </w:r>
      <w:r w:rsidRPr="00D33EB4">
        <w:t>est propos</w:t>
      </w:r>
      <w:r>
        <w:t>é</w:t>
      </w:r>
      <w:r w:rsidRPr="00D33EB4">
        <w:t xml:space="preserve"> pour regrouper ces commentaires dans une proposition à soumettre au Sous-Comité TM</w:t>
      </w:r>
      <w:r>
        <w:t>D.</w:t>
      </w:r>
      <w:r w:rsidR="0057350D">
        <w:t xml:space="preserve"> </w:t>
      </w:r>
      <w:r w:rsidRPr="00D33EB4">
        <w:t>La Réunion commune a noté que la prochaine r</w:t>
      </w:r>
      <w:r>
        <w:t>é</w:t>
      </w:r>
      <w:r w:rsidRPr="00D33EB4">
        <w:t>union du groupe de travail informel se tiendrait à La Haye (Pays-Bas</w:t>
      </w:r>
      <w:r>
        <w:t>)</w:t>
      </w:r>
      <w:r w:rsidRPr="00D33EB4">
        <w:t>,</w:t>
      </w:r>
      <w:r w:rsidR="0057350D">
        <w:t xml:space="preserve"> </w:t>
      </w:r>
      <w:r w:rsidRPr="00D33EB4">
        <w:t>du 10 a</w:t>
      </w:r>
      <w:r>
        <w:t>u</w:t>
      </w:r>
      <w:r w:rsidRPr="00D33EB4">
        <w:t xml:space="preserve"> 12</w:t>
      </w:r>
      <w:r w:rsidR="003259EF">
        <w:t> </w:t>
      </w:r>
      <w:r>
        <w:t>février</w:t>
      </w:r>
      <w:r w:rsidRPr="00D33EB4">
        <w:t xml:space="preserve"> 2020.</w:t>
      </w:r>
    </w:p>
    <w:p w14:paraId="235B5E19" w14:textId="0CD210EA" w:rsidR="007B7BE0" w:rsidRPr="00944671" w:rsidRDefault="007B7BE0" w:rsidP="003259EF">
      <w:pPr>
        <w:pStyle w:val="HChG"/>
        <w:rPr>
          <w:lang w:eastAsia="fr-FR"/>
        </w:rPr>
      </w:pPr>
      <w:r w:rsidRPr="00944671">
        <w:lastRenderedPageBreak/>
        <w:tab/>
        <w:t>X.</w:t>
      </w:r>
      <w:r w:rsidRPr="00944671">
        <w:tab/>
      </w:r>
      <w:r>
        <w:t>A</w:t>
      </w:r>
      <w:r w:rsidRPr="00944671">
        <w:t>ccidents</w:t>
      </w:r>
      <w:r>
        <w:t xml:space="preserve"> et gestion des risques</w:t>
      </w:r>
      <w:r w:rsidRPr="00944671">
        <w:t xml:space="preserve"> (</w:t>
      </w:r>
      <w:r>
        <w:t>point</w:t>
      </w:r>
      <w:r w:rsidRPr="00944671">
        <w:t xml:space="preserve"> 8</w:t>
      </w:r>
      <w:r>
        <w:t xml:space="preserve"> de l</w:t>
      </w:r>
      <w:r w:rsidR="00333FCB">
        <w:t>’</w:t>
      </w:r>
      <w:r>
        <w:t>ordre du jour</w:t>
      </w:r>
      <w:r w:rsidRPr="00944671">
        <w:t>)</w:t>
      </w:r>
    </w:p>
    <w:p w14:paraId="0335981D" w14:textId="77777777" w:rsidR="007B7BE0" w:rsidRPr="000F51E9" w:rsidRDefault="007B7BE0" w:rsidP="003259EF">
      <w:pPr>
        <w:pStyle w:val="H1G"/>
      </w:pPr>
      <w:bookmarkStart w:id="5" w:name="_Hlk19796215"/>
      <w:r w:rsidRPr="000F51E9">
        <w:tab/>
        <w:t>A.</w:t>
      </w:r>
      <w:r w:rsidRPr="000F51E9">
        <w:tab/>
        <w:t>Gestion des risques dans le transport intérieur de marchandises dangereuses</w:t>
      </w:r>
    </w:p>
    <w:p w14:paraId="3A193866" w14:textId="77777777" w:rsidR="007B7BE0" w:rsidRPr="000F51E9" w:rsidRDefault="007B7BE0" w:rsidP="003259EF">
      <w:pPr>
        <w:pStyle w:val="H23G"/>
      </w:pPr>
      <w:r w:rsidRPr="000F51E9">
        <w:tab/>
        <w:t>1.</w:t>
      </w:r>
      <w:r w:rsidRPr="000F51E9">
        <w:tab/>
        <w:t xml:space="preserve">Publication du </w:t>
      </w:r>
      <w:r>
        <w:t>C</w:t>
      </w:r>
      <w:r w:rsidRPr="000F51E9">
        <w:t>adre de la gestion des risques dans le</w:t>
      </w:r>
      <w:r>
        <w:t>s transports intérieurs du TMD</w:t>
      </w:r>
    </w:p>
    <w:p w14:paraId="74956CCF" w14:textId="77777777" w:rsidR="007B7BE0" w:rsidRPr="0046267B" w:rsidRDefault="007B7BE0" w:rsidP="00B70120">
      <w:pPr>
        <w:pStyle w:val="SingleTxtG"/>
        <w:ind w:left="3119" w:hanging="1985"/>
        <w:jc w:val="left"/>
      </w:pPr>
      <w:r w:rsidRPr="0046267B">
        <w:rPr>
          <w:i/>
        </w:rPr>
        <w:t>Document</w:t>
      </w:r>
      <w:r w:rsidR="003259EF">
        <w:rPr>
          <w:i/>
        </w:rPr>
        <w:t> </w:t>
      </w:r>
      <w:r w:rsidRPr="0046267B">
        <w:t>:</w:t>
      </w:r>
      <w:r w:rsidRPr="0046267B">
        <w:tab/>
        <w:t>INF.5 (ERA)</w:t>
      </w:r>
      <w:r w:rsidR="003259EF">
        <w:t>.</w:t>
      </w:r>
    </w:p>
    <w:p w14:paraId="237C242E" w14:textId="42457738" w:rsidR="007B7BE0" w:rsidRPr="00BC5782" w:rsidRDefault="007B7BE0" w:rsidP="007B7BE0">
      <w:pPr>
        <w:pStyle w:val="SingleTxtG"/>
      </w:pPr>
      <w:r w:rsidRPr="00BC5782">
        <w:t>53.</w:t>
      </w:r>
      <w:r w:rsidRPr="00BC5782">
        <w:tab/>
        <w:t>La Réunion commune a accueilli avec satisfaction l</w:t>
      </w:r>
      <w:r w:rsidR="00333FCB">
        <w:t>’</w:t>
      </w:r>
      <w:r w:rsidRPr="00BC5782">
        <w:t>annonce de la publication des guides</w:t>
      </w:r>
      <w:r>
        <w:t xml:space="preserve"> constituant le</w:t>
      </w:r>
      <w:r w:rsidRPr="00BC5782">
        <w:t xml:space="preserve"> </w:t>
      </w:r>
      <w:r>
        <w:t>C</w:t>
      </w:r>
      <w:r w:rsidRPr="00BC5782">
        <w:t>adre de la gestion des risques dans les trans</w:t>
      </w:r>
      <w:r>
        <w:t xml:space="preserve">ports intérieurs du TMD sur les sites </w:t>
      </w:r>
      <w:r w:rsidR="003478A9">
        <w:t xml:space="preserve">Web </w:t>
      </w:r>
      <w:r>
        <w:t>de l</w:t>
      </w:r>
      <w:r w:rsidR="00333FCB">
        <w:t>’</w:t>
      </w:r>
      <w:r>
        <w:t>ERA et de la Direction générale de la mobilité et des transports de la Commission européenne</w:t>
      </w:r>
      <w:r w:rsidRPr="00BC5782">
        <w:t>.</w:t>
      </w:r>
      <w:r w:rsidRPr="00944671">
        <w:rPr>
          <w:rStyle w:val="FootnoteReference"/>
        </w:rPr>
        <w:footnoteReference w:id="6"/>
      </w:r>
    </w:p>
    <w:p w14:paraId="6C84D099" w14:textId="30470617" w:rsidR="007B7BE0" w:rsidRPr="00BC5782" w:rsidRDefault="007B7BE0" w:rsidP="007B7BE0">
      <w:pPr>
        <w:pStyle w:val="H23G"/>
      </w:pPr>
      <w:r w:rsidRPr="00BC5782">
        <w:tab/>
        <w:t>2.</w:t>
      </w:r>
      <w:r w:rsidRPr="00BC5782">
        <w:tab/>
        <w:t>Rapport d</w:t>
      </w:r>
      <w:r>
        <w:t>e l</w:t>
      </w:r>
      <w:r w:rsidR="00333FCB">
        <w:t>’</w:t>
      </w:r>
      <w:r w:rsidR="003259EF">
        <w:t>« </w:t>
      </w:r>
      <w:r w:rsidRPr="00BC5782">
        <w:t xml:space="preserve">Expert </w:t>
      </w:r>
      <w:proofErr w:type="spellStart"/>
      <w:r w:rsidRPr="00BC5782">
        <w:t>Users</w:t>
      </w:r>
      <w:proofErr w:type="spellEnd"/>
      <w:r w:rsidRPr="00BC5782">
        <w:t xml:space="preserve"> and </w:t>
      </w:r>
      <w:proofErr w:type="spellStart"/>
      <w:r w:rsidRPr="00BC5782">
        <w:t>Development</w:t>
      </w:r>
      <w:proofErr w:type="spellEnd"/>
      <w:r w:rsidRPr="00BC5782">
        <w:t xml:space="preserve"> Group (EUDG)</w:t>
      </w:r>
      <w:r w:rsidR="003259EF">
        <w:t> »</w:t>
      </w:r>
      <w:r w:rsidRPr="00BC5782">
        <w:t xml:space="preserve"> concernant l</w:t>
      </w:r>
      <w:r w:rsidR="00333FCB">
        <w:t>’</w:t>
      </w:r>
      <w:r w:rsidRPr="00BC5782">
        <w:t>utilisation des critères d</w:t>
      </w:r>
      <w:r w:rsidR="00333FCB">
        <w:t>’</w:t>
      </w:r>
      <w:r w:rsidRPr="00BC5782">
        <w:t>acceptation des risques</w:t>
      </w:r>
      <w:r>
        <w:t xml:space="preserve"> dans le Cadre de la gestion </w:t>
      </w:r>
      <w:r w:rsidR="003259EF">
        <w:br/>
      </w:r>
      <w:r>
        <w:t>des risques dans les transports intérieurs du TMD</w:t>
      </w:r>
      <w:r w:rsidRPr="00BC5782">
        <w:t xml:space="preserve"> </w:t>
      </w:r>
    </w:p>
    <w:p w14:paraId="3E438042" w14:textId="77777777" w:rsidR="007B7BE0" w:rsidRPr="0046267B" w:rsidRDefault="007B7BE0" w:rsidP="00B70120">
      <w:pPr>
        <w:pStyle w:val="SingleTxtG"/>
        <w:ind w:left="3119" w:hanging="1985"/>
        <w:jc w:val="left"/>
      </w:pPr>
      <w:r w:rsidRPr="0046267B">
        <w:rPr>
          <w:i/>
        </w:rPr>
        <w:t>Document</w:t>
      </w:r>
      <w:r w:rsidR="003259EF">
        <w:rPr>
          <w:i/>
        </w:rPr>
        <w:t> </w:t>
      </w:r>
      <w:r w:rsidRPr="0046267B">
        <w:t>:</w:t>
      </w:r>
      <w:r w:rsidRPr="0046267B">
        <w:tab/>
        <w:t>INF.6 (ERA)</w:t>
      </w:r>
      <w:r w:rsidR="003259EF">
        <w:t>.</w:t>
      </w:r>
    </w:p>
    <w:p w14:paraId="3E9C356D" w14:textId="1368F58A" w:rsidR="007B7BE0" w:rsidRPr="0046267B" w:rsidRDefault="007B7BE0" w:rsidP="007B7BE0">
      <w:pPr>
        <w:pStyle w:val="SingleTxtG"/>
      </w:pPr>
      <w:r w:rsidRPr="000F51E9">
        <w:t>54.</w:t>
      </w:r>
      <w:r w:rsidRPr="000F51E9">
        <w:tab/>
        <w:t>La Réunion commune a pris note du rapport de l</w:t>
      </w:r>
      <w:r w:rsidR="00333FCB">
        <w:t>’</w:t>
      </w:r>
      <w:r w:rsidRPr="000F51E9">
        <w:t>EUDG, notamment de ses conclusions sur l</w:t>
      </w:r>
      <w:r w:rsidR="00333FCB">
        <w:t>’</w:t>
      </w:r>
      <w:r w:rsidRPr="000F51E9">
        <w:t>utilisation des critères d</w:t>
      </w:r>
      <w:r w:rsidR="00333FCB">
        <w:t>’</w:t>
      </w:r>
      <w:r w:rsidRPr="000F51E9">
        <w:t xml:space="preserve">acceptation des risques contenus dans le </w:t>
      </w:r>
      <w:r>
        <w:t>C</w:t>
      </w:r>
      <w:r w:rsidRPr="000F51E9">
        <w:t xml:space="preserve">adre de </w:t>
      </w:r>
      <w:r>
        <w:t xml:space="preserve">la </w:t>
      </w:r>
      <w:r w:rsidRPr="000F51E9">
        <w:t>gestion des risques. Le représentant de l</w:t>
      </w:r>
      <w:r w:rsidR="00333FCB">
        <w:t>’</w:t>
      </w:r>
      <w:r w:rsidRPr="000F51E9">
        <w:t>ERA a confirmé que l</w:t>
      </w:r>
      <w:r w:rsidR="00333FCB">
        <w:t>’</w:t>
      </w:r>
      <w:r w:rsidRPr="000F51E9">
        <w:t xml:space="preserve">application de ce </w:t>
      </w:r>
      <w:r>
        <w:t>C</w:t>
      </w:r>
      <w:r w:rsidRPr="000F51E9">
        <w:t>adre</w:t>
      </w:r>
      <w:r>
        <w:t xml:space="preserve"> </w:t>
      </w:r>
      <w:r w:rsidRPr="000F51E9">
        <w:t>se faisait sur une base volontaire, qui était universelle et s</w:t>
      </w:r>
      <w:r w:rsidR="00333FCB">
        <w:t>’</w:t>
      </w:r>
      <w:r w:rsidRPr="000F51E9">
        <w:t xml:space="preserve">appliquait aussi bien </w:t>
      </w:r>
      <w:r>
        <w:t>à des situations locales qu</w:t>
      </w:r>
      <w:r w:rsidR="00333FCB">
        <w:t>’</w:t>
      </w:r>
      <w:r>
        <w:t xml:space="preserve">à des situations générales mais aussi à tous les modes de transport intérieur. </w:t>
      </w:r>
      <w:r w:rsidRPr="000F51E9">
        <w:t>Il a</w:t>
      </w:r>
      <w:r w:rsidR="0057350D">
        <w:t xml:space="preserve"> </w:t>
      </w:r>
      <w:r>
        <w:t>a</w:t>
      </w:r>
      <w:r w:rsidRPr="000F51E9">
        <w:t>nnoncé qu</w:t>
      </w:r>
      <w:r w:rsidR="00333FCB">
        <w:t>’</w:t>
      </w:r>
      <w:r w:rsidRPr="000F51E9">
        <w:t xml:space="preserve">un projet de plateforme de </w:t>
      </w:r>
      <w:r>
        <w:t>g</w:t>
      </w:r>
      <w:r w:rsidRPr="000F51E9">
        <w:t xml:space="preserve">estion des risques était envisagé de façon collaborative. </w:t>
      </w:r>
      <w:r w:rsidRPr="0046267B">
        <w:t>La Réunion commune s</w:t>
      </w:r>
      <w:r w:rsidR="00333FCB">
        <w:t>’</w:t>
      </w:r>
      <w:r w:rsidRPr="0046267B">
        <w:t xml:space="preserve">est félicitée de cette initiative. </w:t>
      </w:r>
    </w:p>
    <w:p w14:paraId="09BA5B16" w14:textId="25B654DA" w:rsidR="007B7BE0" w:rsidRPr="00BC5782" w:rsidRDefault="007B7BE0" w:rsidP="003259EF">
      <w:pPr>
        <w:pStyle w:val="H1G"/>
      </w:pPr>
      <w:r w:rsidRPr="0046267B">
        <w:tab/>
      </w:r>
      <w:r w:rsidRPr="00BC5782">
        <w:t>B.</w:t>
      </w:r>
      <w:r w:rsidRPr="00BC5782">
        <w:tab/>
        <w:t xml:space="preserve">Rapport du groupe de travail informel </w:t>
      </w:r>
      <w:r>
        <w:t>de</w:t>
      </w:r>
      <w:r w:rsidRPr="00BC5782">
        <w:t xml:space="preserve"> l</w:t>
      </w:r>
      <w:r w:rsidR="00333FCB">
        <w:t>’</w:t>
      </w:r>
      <w:r w:rsidRPr="00BC5782">
        <w:t>am</w:t>
      </w:r>
      <w:r>
        <w:t xml:space="preserve">élioration </w:t>
      </w:r>
      <w:r w:rsidR="003259EF">
        <w:br/>
      </w:r>
      <w:r>
        <w:t>des rapports d</w:t>
      </w:r>
      <w:r w:rsidR="00333FCB">
        <w:t>’</w:t>
      </w:r>
      <w:r>
        <w:t>accident</w:t>
      </w:r>
      <w:r w:rsidRPr="00BC5782">
        <w:t xml:space="preserve"> </w:t>
      </w:r>
    </w:p>
    <w:p w14:paraId="4D450F37" w14:textId="77777777" w:rsidR="007B7BE0" w:rsidRPr="0046267B" w:rsidRDefault="007B7BE0" w:rsidP="00B70120">
      <w:pPr>
        <w:pStyle w:val="SingleTxtG"/>
        <w:ind w:left="3119" w:hanging="1985"/>
        <w:jc w:val="left"/>
      </w:pPr>
      <w:r w:rsidRPr="00BC5782">
        <w:rPr>
          <w:i/>
        </w:rPr>
        <w:t>Documents</w:t>
      </w:r>
      <w:r w:rsidR="003259EF">
        <w:rPr>
          <w:i/>
        </w:rPr>
        <w:t> </w:t>
      </w:r>
      <w:r w:rsidRPr="003259EF">
        <w:t>:</w:t>
      </w:r>
      <w:r w:rsidRPr="00BC5782">
        <w:tab/>
      </w:r>
      <w:bookmarkStart w:id="6" w:name="_Hlk20245721"/>
      <w:r w:rsidRPr="00BC5782">
        <w:t xml:space="preserve">INF.11 et annexes 1 </w:t>
      </w:r>
      <w:r>
        <w:t>à</w:t>
      </w:r>
      <w:r w:rsidRPr="00BC5782">
        <w:t xml:space="preserve"> 5 (France)</w:t>
      </w:r>
      <w:bookmarkEnd w:id="6"/>
      <w:r w:rsidR="003259EF">
        <w:br/>
      </w:r>
      <w:r w:rsidRPr="0046267B">
        <w:t>INF.34 (France)</w:t>
      </w:r>
      <w:r w:rsidR="003259EF">
        <w:t>.</w:t>
      </w:r>
    </w:p>
    <w:p w14:paraId="6D65A1F8" w14:textId="5208C8BE" w:rsidR="007B7BE0" w:rsidRPr="00BC5782" w:rsidRDefault="007B7BE0" w:rsidP="003259EF">
      <w:pPr>
        <w:pStyle w:val="SingleTxtG"/>
      </w:pPr>
      <w:r w:rsidRPr="00BC5782">
        <w:t>55.</w:t>
      </w:r>
      <w:r w:rsidRPr="00BC5782">
        <w:tab/>
        <w:t>La Réunion commune s</w:t>
      </w:r>
      <w:r w:rsidR="00333FCB">
        <w:t>’</w:t>
      </w:r>
      <w:r w:rsidRPr="00BC5782">
        <w:t>est félicitée du rapport du groupe de travail informel de l</w:t>
      </w:r>
      <w:r w:rsidR="00333FCB">
        <w:t>’</w:t>
      </w:r>
      <w:r w:rsidRPr="00BC5782">
        <w:t>amélioration des rapports d</w:t>
      </w:r>
      <w:r w:rsidR="00333FCB">
        <w:t>’</w:t>
      </w:r>
      <w:r w:rsidRPr="00BC5782">
        <w:t>accidents</w:t>
      </w:r>
      <w:r>
        <w:t xml:space="preserve">, contenu dans le document </w:t>
      </w:r>
      <w:r w:rsidRPr="00BC5782">
        <w:t>INF.11</w:t>
      </w:r>
      <w:r>
        <w:t>, qui présente des exemples de projets de rapport d</w:t>
      </w:r>
      <w:r w:rsidR="00333FCB">
        <w:t>’</w:t>
      </w:r>
      <w:r>
        <w:t>accident pour le</w:t>
      </w:r>
      <w:r w:rsidRPr="00BC5782">
        <w:t xml:space="preserve"> RID </w:t>
      </w:r>
      <w:r>
        <w:t>et l</w:t>
      </w:r>
      <w:r w:rsidR="00333FCB">
        <w:t>’</w:t>
      </w:r>
      <w:r w:rsidRPr="00BC5782">
        <w:t>ADR</w:t>
      </w:r>
      <w:r>
        <w:t>, tout comme le</w:t>
      </w:r>
      <w:r w:rsidRPr="00BC5782">
        <w:t xml:space="preserve"> document INF.34. Il a été not</w:t>
      </w:r>
      <w:r>
        <w:t>é</w:t>
      </w:r>
      <w:r w:rsidRPr="00BC5782">
        <w:t xml:space="preserve"> que certains points manquaient toujours, tels que le cadre </w:t>
      </w:r>
      <w:r>
        <w:t>jurid</w:t>
      </w:r>
      <w:r w:rsidRPr="00BC5782">
        <w:t>ique de la collecte, ainsi que les co</w:t>
      </w:r>
      <w:r>
        <w:t>û</w:t>
      </w:r>
      <w:r w:rsidRPr="00BC5782">
        <w:t>ts et l</w:t>
      </w:r>
      <w:r w:rsidR="00333FCB">
        <w:t>’</w:t>
      </w:r>
      <w:r w:rsidRPr="00BC5782">
        <w:t>utilisation des données d</w:t>
      </w:r>
      <w:r w:rsidR="00333FCB">
        <w:t>’</w:t>
      </w:r>
      <w:r w:rsidRPr="00BC5782">
        <w:t>accident ou d</w:t>
      </w:r>
      <w:r w:rsidR="00333FCB">
        <w:t>’</w:t>
      </w:r>
      <w:r w:rsidRPr="00BC5782">
        <w:t>incident, les responsabilités des parties prenantes ainsi que l</w:t>
      </w:r>
      <w:r w:rsidR="00333FCB">
        <w:t>’</w:t>
      </w:r>
      <w:r w:rsidRPr="00BC5782">
        <w:t>anal</w:t>
      </w:r>
      <w:r>
        <w:t>y</w:t>
      </w:r>
      <w:r w:rsidRPr="00BC5782">
        <w:t>se de l</w:t>
      </w:r>
      <w:r w:rsidR="00333FCB">
        <w:t>’</w:t>
      </w:r>
      <w:r w:rsidRPr="00BC5782">
        <w:t>application au plan national par les</w:t>
      </w:r>
      <w:r>
        <w:t xml:space="preserve"> Parties contractantes.</w:t>
      </w:r>
    </w:p>
    <w:p w14:paraId="6F03A3FF" w14:textId="37138146" w:rsidR="007B7BE0" w:rsidRPr="006A0966" w:rsidRDefault="007B7BE0" w:rsidP="003259EF">
      <w:pPr>
        <w:pStyle w:val="SingleTxtG"/>
      </w:pPr>
      <w:r w:rsidRPr="00BC5782">
        <w:t>56.</w:t>
      </w:r>
      <w:r w:rsidRPr="00BC5782">
        <w:tab/>
        <w:t>La Réunion commune a pris note de l</w:t>
      </w:r>
      <w:r w:rsidR="00333FCB">
        <w:t>’</w:t>
      </w:r>
      <w:r w:rsidRPr="00BC5782">
        <w:t xml:space="preserve">intention du groupe de reprendre ses travaux sur un </w:t>
      </w:r>
      <w:r>
        <w:t>modèl</w:t>
      </w:r>
      <w:r w:rsidRPr="00BC5782">
        <w:t>e de projet de rapport pour l</w:t>
      </w:r>
      <w:r w:rsidR="00333FCB">
        <w:t>’</w:t>
      </w:r>
      <w:r>
        <w:t>ADN</w:t>
      </w:r>
      <w:r w:rsidRPr="00BC5782">
        <w:t xml:space="preserve"> lors </w:t>
      </w:r>
      <w:r>
        <w:t>d</w:t>
      </w:r>
      <w:r w:rsidR="00333FCB">
        <w:t>’</w:t>
      </w:r>
      <w:r>
        <w:t>une réunion qui doit se tenir à Bruxelles, le 3</w:t>
      </w:r>
      <w:r w:rsidR="003259EF">
        <w:t> </w:t>
      </w:r>
      <w:r>
        <w:t>octobre 2019 et d</w:t>
      </w:r>
      <w:r w:rsidR="00333FCB">
        <w:t>’</w:t>
      </w:r>
      <w:r>
        <w:t>une autre réunion qui doit se tenir le 17</w:t>
      </w:r>
      <w:r w:rsidR="003259EF">
        <w:t> </w:t>
      </w:r>
      <w:r>
        <w:t>décembre 2019 sur la mise au point actuelle de méthodes de sûreté communes.</w:t>
      </w:r>
      <w:r w:rsidRPr="00BC5782">
        <w:t xml:space="preserve"> </w:t>
      </w:r>
      <w:r w:rsidRPr="006A0966">
        <w:t>Le représentant de l</w:t>
      </w:r>
      <w:r w:rsidR="00333FCB">
        <w:t>’</w:t>
      </w:r>
      <w:r w:rsidRPr="006A0966">
        <w:t>UIC a propos</w:t>
      </w:r>
      <w:r>
        <w:t>é</w:t>
      </w:r>
      <w:r w:rsidRPr="006A0966">
        <w:t xml:space="preserve"> d</w:t>
      </w:r>
      <w:r w:rsidR="00333FCB">
        <w:t>’</w:t>
      </w:r>
      <w:r w:rsidRPr="006A0966">
        <w:t>accueillir une autre r</w:t>
      </w:r>
      <w:r>
        <w:t>é</w:t>
      </w:r>
      <w:r w:rsidRPr="006A0966">
        <w:t>union, qui sera o</w:t>
      </w:r>
      <w:r>
        <w:t>rganisée par la</w:t>
      </w:r>
      <w:r w:rsidRPr="006A0966">
        <w:t xml:space="preserve"> France, </w:t>
      </w:r>
      <w:r>
        <w:t xml:space="preserve">du </w:t>
      </w:r>
      <w:r w:rsidRPr="006A0966">
        <w:t>17</w:t>
      </w:r>
      <w:r>
        <w:t xml:space="preserve"> au </w:t>
      </w:r>
      <w:r w:rsidRPr="006A0966">
        <w:t>19</w:t>
      </w:r>
      <w:r w:rsidR="003259EF">
        <w:t> </w:t>
      </w:r>
      <w:r>
        <w:t>février</w:t>
      </w:r>
      <w:r w:rsidRPr="006A0966">
        <w:t xml:space="preserve"> 2020.</w:t>
      </w:r>
      <w:bookmarkEnd w:id="5"/>
    </w:p>
    <w:p w14:paraId="79B7660B" w14:textId="4AA7A828" w:rsidR="007B7BE0" w:rsidRPr="006A0966" w:rsidRDefault="007B7BE0" w:rsidP="003259EF">
      <w:pPr>
        <w:pStyle w:val="HChG"/>
        <w:rPr>
          <w:lang w:eastAsia="fr-FR"/>
        </w:rPr>
      </w:pPr>
      <w:r w:rsidRPr="006A0966">
        <w:tab/>
        <w:t>XI</w:t>
      </w:r>
      <w:r w:rsidRPr="00944671">
        <w:t>.</w:t>
      </w:r>
      <w:r w:rsidRPr="00944671">
        <w:tab/>
        <w:t xml:space="preserve">Élection </w:t>
      </w:r>
      <w:r>
        <w:t>du Bureau pour</w:t>
      </w:r>
      <w:r w:rsidRPr="00944671">
        <w:t xml:space="preserve"> 2020</w:t>
      </w:r>
      <w:r w:rsidRPr="006A0966">
        <w:t xml:space="preserve"> (</w:t>
      </w:r>
      <w:r>
        <w:t>point</w:t>
      </w:r>
      <w:r w:rsidRPr="006A0966">
        <w:t xml:space="preserve"> 9</w:t>
      </w:r>
      <w:r>
        <w:t xml:space="preserve"> de l</w:t>
      </w:r>
      <w:r w:rsidR="00333FCB">
        <w:t>’</w:t>
      </w:r>
      <w:r>
        <w:t>ordre du jour</w:t>
      </w:r>
      <w:r w:rsidRPr="006A0966">
        <w:t>)</w:t>
      </w:r>
    </w:p>
    <w:p w14:paraId="0BD2B04E" w14:textId="77777777" w:rsidR="007B7BE0" w:rsidRPr="006A0966" w:rsidRDefault="007B7BE0" w:rsidP="003259EF">
      <w:pPr>
        <w:pStyle w:val="SingleTxtG"/>
      </w:pPr>
      <w:r w:rsidRPr="006A0966">
        <w:t>57.</w:t>
      </w:r>
      <w:r w:rsidRPr="006A0966">
        <w:tab/>
        <w:t>Sur proposition du représentant de la Ro</w:t>
      </w:r>
      <w:r>
        <w:t>u</w:t>
      </w:r>
      <w:r w:rsidRPr="006A0966">
        <w:t>manie, M.</w:t>
      </w:r>
      <w:r w:rsidR="003259EF">
        <w:t> </w:t>
      </w:r>
      <w:r w:rsidRPr="006A0966">
        <w:t>C.</w:t>
      </w:r>
      <w:r w:rsidR="003259EF">
        <w:t> </w:t>
      </w:r>
      <w:proofErr w:type="spellStart"/>
      <w:r w:rsidRPr="006A0966">
        <w:t>Pfauvadel</w:t>
      </w:r>
      <w:proofErr w:type="spellEnd"/>
      <w:r w:rsidRPr="006A0966">
        <w:t xml:space="preserve"> (France) et </w:t>
      </w:r>
      <w:r w:rsidR="003259EF">
        <w:t>M</w:t>
      </w:r>
      <w:r w:rsidR="003259EF">
        <w:rPr>
          <w:vertAlign w:val="superscript"/>
        </w:rPr>
        <w:t>me</w:t>
      </w:r>
      <w:r w:rsidR="003259EF">
        <w:t> </w:t>
      </w:r>
      <w:r w:rsidRPr="006A0966">
        <w:t>S.</w:t>
      </w:r>
      <w:r w:rsidR="003259EF">
        <w:t> </w:t>
      </w:r>
      <w:r w:rsidRPr="006A0966">
        <w:t>García Wolfrum (</w:t>
      </w:r>
      <w:r>
        <w:t>Espagne</w:t>
      </w:r>
      <w:r w:rsidRPr="006A0966">
        <w:t xml:space="preserve">) ont été respectivement réélus </w:t>
      </w:r>
      <w:r>
        <w:t>Président</w:t>
      </w:r>
      <w:r w:rsidRPr="006A0966">
        <w:t xml:space="preserve"> </w:t>
      </w:r>
      <w:r>
        <w:t>et</w:t>
      </w:r>
      <w:r w:rsidRPr="006A0966">
        <w:t xml:space="preserve"> Vice-</w:t>
      </w:r>
      <w:r>
        <w:t>Présidente</w:t>
      </w:r>
      <w:r w:rsidRPr="006A0966">
        <w:t xml:space="preserve"> </w:t>
      </w:r>
      <w:r>
        <w:t>p</w:t>
      </w:r>
      <w:r w:rsidRPr="006A0966">
        <w:t>o</w:t>
      </w:r>
      <w:r>
        <w:t>u</w:t>
      </w:r>
      <w:r w:rsidRPr="006A0966">
        <w:t>r 2020.</w:t>
      </w:r>
    </w:p>
    <w:p w14:paraId="2CC26100" w14:textId="784FD4F6" w:rsidR="007B7BE0" w:rsidRPr="006A0966" w:rsidRDefault="007B7BE0" w:rsidP="000807F1">
      <w:pPr>
        <w:pStyle w:val="HChG"/>
      </w:pPr>
      <w:r w:rsidRPr="00944671">
        <w:tab/>
      </w:r>
      <w:r w:rsidRPr="006A0966">
        <w:t>XII</w:t>
      </w:r>
      <w:r w:rsidRPr="00944671">
        <w:t>.</w:t>
      </w:r>
      <w:r w:rsidRPr="00944671">
        <w:tab/>
      </w:r>
      <w:r>
        <w:t>Travaux futurs</w:t>
      </w:r>
      <w:r w:rsidRPr="006A0966">
        <w:t xml:space="preserve"> (point 10 de l</w:t>
      </w:r>
      <w:r w:rsidR="00333FCB">
        <w:t>’</w:t>
      </w:r>
      <w:r w:rsidRPr="006A0966">
        <w:t>ordre du jour)</w:t>
      </w:r>
    </w:p>
    <w:p w14:paraId="38100D79" w14:textId="77777777" w:rsidR="007B7BE0" w:rsidRPr="006A0966" w:rsidRDefault="007B7BE0" w:rsidP="000807F1">
      <w:pPr>
        <w:pStyle w:val="SingleTxtG"/>
      </w:pPr>
      <w:r w:rsidRPr="006A0966">
        <w:t>58.</w:t>
      </w:r>
      <w:r w:rsidRPr="006A0966">
        <w:tab/>
        <w:t xml:space="preserve">La Réunion commune a été informée que sa prochaine session se tiendrait à Berne, du 16 </w:t>
      </w:r>
      <w:r>
        <w:t>au</w:t>
      </w:r>
      <w:r w:rsidRPr="006A0966">
        <w:t xml:space="preserve"> 20</w:t>
      </w:r>
      <w:r w:rsidR="003259EF">
        <w:t> </w:t>
      </w:r>
      <w:r>
        <w:t>mars</w:t>
      </w:r>
      <w:r w:rsidRPr="006A0966">
        <w:t xml:space="preserve"> 2020 et que la date limite pour la soumission des documents avait été fixée au 20</w:t>
      </w:r>
      <w:r w:rsidR="003259EF">
        <w:t> </w:t>
      </w:r>
      <w:r>
        <w:t>dé</w:t>
      </w:r>
      <w:r w:rsidRPr="006A0966">
        <w:t>cembr</w:t>
      </w:r>
      <w:r>
        <w:t>e</w:t>
      </w:r>
      <w:r w:rsidRPr="006A0966">
        <w:t xml:space="preserve"> 2019.</w:t>
      </w:r>
    </w:p>
    <w:p w14:paraId="5AE1B7F1" w14:textId="746D994C" w:rsidR="007B7BE0" w:rsidRPr="006A0966" w:rsidRDefault="007B7BE0" w:rsidP="000807F1">
      <w:pPr>
        <w:pStyle w:val="HChG"/>
      </w:pPr>
      <w:r w:rsidRPr="00944671">
        <w:tab/>
      </w:r>
      <w:r w:rsidRPr="0046267B">
        <w:t>XIII</w:t>
      </w:r>
      <w:r w:rsidRPr="00944671">
        <w:t>.</w:t>
      </w:r>
      <w:r w:rsidRPr="00944671">
        <w:tab/>
      </w:r>
      <w:r>
        <w:t>Questions diverses</w:t>
      </w:r>
      <w:r w:rsidRPr="006A0966">
        <w:t xml:space="preserve"> (point 11 de l</w:t>
      </w:r>
      <w:r w:rsidR="00333FCB">
        <w:t>’</w:t>
      </w:r>
      <w:r w:rsidRPr="006A0966">
        <w:t>ordre du jour)</w:t>
      </w:r>
    </w:p>
    <w:p w14:paraId="205A825A" w14:textId="786E9C0A" w:rsidR="007B7BE0" w:rsidRPr="006A0966" w:rsidRDefault="007B7BE0" w:rsidP="000807F1">
      <w:pPr>
        <w:pStyle w:val="SingleTxtG"/>
      </w:pPr>
      <w:r w:rsidRPr="006A0966">
        <w:t>59.</w:t>
      </w:r>
      <w:r w:rsidRPr="006A0966">
        <w:tab/>
        <w:t>Comme aucun document n</w:t>
      </w:r>
      <w:r w:rsidR="00333FCB">
        <w:t>’</w:t>
      </w:r>
      <w:r w:rsidRPr="006A0966">
        <w:t xml:space="preserve">a été </w:t>
      </w:r>
      <w:r>
        <w:t>s</w:t>
      </w:r>
      <w:r w:rsidRPr="006A0966">
        <w:t>oumis au titre de ce point de l</w:t>
      </w:r>
      <w:r w:rsidR="00333FCB">
        <w:t>’</w:t>
      </w:r>
      <w:r w:rsidRPr="006A0966">
        <w:t>ordre du jour, aucune dis</w:t>
      </w:r>
      <w:r>
        <w:t>cussion n</w:t>
      </w:r>
      <w:r w:rsidR="00333FCB">
        <w:t>’</w:t>
      </w:r>
      <w:r>
        <w:t>a eu lieu.</w:t>
      </w:r>
    </w:p>
    <w:p w14:paraId="4B477C74" w14:textId="31FC2651" w:rsidR="007B7BE0" w:rsidRPr="006A0966" w:rsidRDefault="007B7BE0" w:rsidP="000807F1">
      <w:pPr>
        <w:pStyle w:val="HChG"/>
      </w:pPr>
      <w:r w:rsidRPr="00944671">
        <w:tab/>
      </w:r>
      <w:r w:rsidRPr="006A0966">
        <w:t>XIV</w:t>
      </w:r>
      <w:r w:rsidRPr="00944671">
        <w:t>.</w:t>
      </w:r>
      <w:r w:rsidRPr="00944671">
        <w:tab/>
        <w:t xml:space="preserve">Adoption </w:t>
      </w:r>
      <w:r>
        <w:t>du rapport</w:t>
      </w:r>
      <w:r w:rsidRPr="006A0966">
        <w:t xml:space="preserve"> (point 12 de l</w:t>
      </w:r>
      <w:r w:rsidR="00333FCB">
        <w:t>’</w:t>
      </w:r>
      <w:r w:rsidRPr="006A0966">
        <w:t>ordre du jour)</w:t>
      </w:r>
    </w:p>
    <w:p w14:paraId="107E4C1B" w14:textId="5056CC93" w:rsidR="007B7BE0" w:rsidRPr="009B3B7A" w:rsidRDefault="007B7BE0" w:rsidP="003259EF">
      <w:pPr>
        <w:pStyle w:val="SingleTxtG"/>
      </w:pPr>
      <w:r w:rsidRPr="009B3B7A">
        <w:t>60.</w:t>
      </w:r>
      <w:r w:rsidRPr="009B3B7A">
        <w:tab/>
        <w:t xml:space="preserve">La </w:t>
      </w:r>
      <w:r>
        <w:t>Ré</w:t>
      </w:r>
      <w:r w:rsidRPr="009B3B7A">
        <w:t>union commune a adopté le rapport de sa session d</w:t>
      </w:r>
      <w:r w:rsidR="00333FCB">
        <w:t>’</w:t>
      </w:r>
      <w:r w:rsidRPr="009B3B7A">
        <w:t>auto</w:t>
      </w:r>
      <w:r>
        <w:t>mne 2019 ainsi que ses annexes sur la base d</w:t>
      </w:r>
      <w:r w:rsidR="00333FCB">
        <w:t>’</w:t>
      </w:r>
      <w:r>
        <w:t>un projet établi par le</w:t>
      </w:r>
      <w:r w:rsidRPr="009B3B7A">
        <w:t xml:space="preserve"> secr</w:t>
      </w:r>
      <w:r>
        <w:t>é</w:t>
      </w:r>
      <w:r w:rsidRPr="009B3B7A">
        <w:t>tariat.</w:t>
      </w:r>
    </w:p>
    <w:p w14:paraId="583A52BE" w14:textId="77777777" w:rsidR="007B7BE0" w:rsidRPr="00AA5051" w:rsidRDefault="007B7BE0" w:rsidP="003478A9">
      <w:pPr>
        <w:pStyle w:val="HChG"/>
        <w:spacing w:before="0"/>
      </w:pPr>
      <w:r w:rsidRPr="009B3B7A">
        <w:br w:type="page"/>
      </w:r>
      <w:r w:rsidRPr="00AA5051">
        <w:t>Annex</w:t>
      </w:r>
      <w:r>
        <w:t>e</w:t>
      </w:r>
      <w:r w:rsidRPr="00AA5051">
        <w:t xml:space="preserve"> I</w:t>
      </w:r>
    </w:p>
    <w:p w14:paraId="50851FEF" w14:textId="77777777" w:rsidR="007B7BE0" w:rsidRPr="009B3B7A" w:rsidRDefault="007B7BE0" w:rsidP="000807F1">
      <w:pPr>
        <w:pStyle w:val="HChG"/>
      </w:pPr>
      <w:r w:rsidRPr="00AA5051">
        <w:tab/>
      </w:r>
      <w:r w:rsidRPr="00AA5051">
        <w:tab/>
        <w:t>R</w:t>
      </w:r>
      <w:r w:rsidRPr="009B3B7A">
        <w:t>ap</w:t>
      </w:r>
      <w:r w:rsidRPr="00AA5051">
        <w:t xml:space="preserve">port </w:t>
      </w:r>
      <w:r>
        <w:t>du Groupe de travail des citernes</w:t>
      </w:r>
    </w:p>
    <w:p w14:paraId="1E26F6A8" w14:textId="77777777" w:rsidR="007B7BE0" w:rsidRPr="00B0007A" w:rsidRDefault="007B7BE0" w:rsidP="007B7BE0">
      <w:pPr>
        <w:ind w:left="567" w:firstLine="567"/>
      </w:pPr>
      <w:r w:rsidRPr="00B0007A">
        <w:t>(voir ECE/TRANS/WP.15/AC.1/156/Add.1)</w:t>
      </w:r>
      <w:r w:rsidR="000807F1">
        <w:t>.</w:t>
      </w:r>
    </w:p>
    <w:p w14:paraId="57D154E9" w14:textId="0B02234C" w:rsidR="00AA6254" w:rsidRPr="00AA6254" w:rsidRDefault="007B7BE0" w:rsidP="00333FCB">
      <w:pPr>
        <w:pStyle w:val="H1G"/>
        <w:jc w:val="both"/>
      </w:pPr>
      <w:r w:rsidRPr="00B0007A">
        <w:br w:type="page"/>
      </w:r>
    </w:p>
    <w:p w14:paraId="1ABA0C92" w14:textId="77777777" w:rsidR="00333FCB" w:rsidRPr="00BC7DE6" w:rsidRDefault="00333FCB" w:rsidP="00333FCB">
      <w:pPr>
        <w:pStyle w:val="H1G"/>
        <w:tabs>
          <w:tab w:val="right" w:pos="8505"/>
        </w:tabs>
        <w:rPr>
          <w:sz w:val="28"/>
          <w:szCs w:val="28"/>
        </w:rPr>
      </w:pPr>
      <w:r>
        <w:tab/>
      </w:r>
      <w:r w:rsidRPr="00BC7DE6">
        <w:rPr>
          <w:sz w:val="28"/>
          <w:szCs w:val="28"/>
        </w:rPr>
        <w:tab/>
        <w:t>Annexe II</w:t>
      </w:r>
    </w:p>
    <w:p w14:paraId="6E810185" w14:textId="77777777" w:rsidR="00333FCB" w:rsidRPr="00BC7DE6" w:rsidRDefault="00333FCB" w:rsidP="00333FCB">
      <w:pPr>
        <w:pStyle w:val="H1G"/>
        <w:tabs>
          <w:tab w:val="right" w:pos="8505"/>
        </w:tabs>
        <w:jc w:val="right"/>
        <w:rPr>
          <w:b w:val="0"/>
          <w:bCs/>
          <w:sz w:val="20"/>
        </w:rPr>
      </w:pPr>
      <w:r w:rsidRPr="00BC7DE6">
        <w:rPr>
          <w:b w:val="0"/>
          <w:bCs/>
          <w:sz w:val="20"/>
        </w:rPr>
        <w:t>[Original : anglais et français]</w:t>
      </w:r>
    </w:p>
    <w:p w14:paraId="66244C44" w14:textId="63B6E717" w:rsidR="00333FCB" w:rsidRPr="00A67C87" w:rsidRDefault="00333FCB" w:rsidP="00333FCB">
      <w:pPr>
        <w:pStyle w:val="H1G"/>
        <w:rPr>
          <w:lang w:val="fr-FR"/>
        </w:rPr>
      </w:pPr>
      <w:r>
        <w:rPr>
          <w:lang w:val="fr-FR"/>
        </w:rPr>
        <w:tab/>
      </w:r>
      <w:r>
        <w:rPr>
          <w:lang w:val="fr-FR"/>
        </w:rPr>
        <w:tab/>
      </w:r>
      <w:r w:rsidRPr="00A67C87">
        <w:rPr>
          <w:lang w:val="fr-FR"/>
        </w:rPr>
        <w:t>Projet d</w:t>
      </w:r>
      <w:r>
        <w:rPr>
          <w:lang w:val="fr-FR"/>
        </w:rPr>
        <w:t>’</w:t>
      </w:r>
      <w:r w:rsidRPr="00A67C87">
        <w:rPr>
          <w:lang w:val="fr-FR"/>
        </w:rPr>
        <w:t xml:space="preserve">amendements au RID, </w:t>
      </w:r>
      <w:r>
        <w:rPr>
          <w:lang w:val="fr-FR"/>
        </w:rPr>
        <w:t>à l’</w:t>
      </w:r>
      <w:r w:rsidRPr="00A67C87">
        <w:rPr>
          <w:lang w:val="fr-FR"/>
        </w:rPr>
        <w:t xml:space="preserve">ADR et </w:t>
      </w:r>
      <w:r>
        <w:rPr>
          <w:lang w:val="fr-FR"/>
        </w:rPr>
        <w:t>à l’</w:t>
      </w:r>
      <w:r w:rsidRPr="00A67C87">
        <w:rPr>
          <w:lang w:val="fr-FR"/>
        </w:rPr>
        <w:t xml:space="preserve">ADN pour </w:t>
      </w:r>
      <w:proofErr w:type="spellStart"/>
      <w:r w:rsidRPr="00A67C87">
        <w:rPr>
          <w:lang w:val="fr-FR"/>
        </w:rPr>
        <w:t>entrée</w:t>
      </w:r>
      <w:proofErr w:type="spellEnd"/>
      <w:r w:rsidRPr="00A67C87">
        <w:rPr>
          <w:lang w:val="fr-FR"/>
        </w:rPr>
        <w:t xml:space="preserve"> en vigueur le 1</w:t>
      </w:r>
      <w:r w:rsidRPr="00A67C87">
        <w:rPr>
          <w:vertAlign w:val="superscript"/>
          <w:lang w:val="fr-FR"/>
        </w:rPr>
        <w:t>er</w:t>
      </w:r>
      <w:r w:rsidRPr="00A67C87">
        <w:rPr>
          <w:lang w:val="fr-FR"/>
        </w:rPr>
        <w:t> janvier 2021</w:t>
      </w:r>
    </w:p>
    <w:p w14:paraId="198EBDC6" w14:textId="77777777" w:rsidR="00333FCB" w:rsidRDefault="00333FCB" w:rsidP="00333FCB">
      <w:pPr>
        <w:pStyle w:val="H23G"/>
      </w:pPr>
      <w:r>
        <w:tab/>
      </w:r>
      <w:r>
        <w:tab/>
        <w:t>Chapitre 1.1</w:t>
      </w:r>
    </w:p>
    <w:p w14:paraId="14130C14" w14:textId="77777777" w:rsidR="00333FCB" w:rsidRDefault="00333FCB" w:rsidP="00333FCB">
      <w:pPr>
        <w:pStyle w:val="SingleTxtG"/>
      </w:pPr>
      <w:r>
        <w:t>(ADR :) 1.1.3.6.2</w:t>
      </w:r>
      <w:r>
        <w:tab/>
        <w:t>Au premier tiret, remplacer « et 0500 » par « , 0500, 0512 et 0513 ».</w:t>
      </w:r>
    </w:p>
    <w:p w14:paraId="39C3291E" w14:textId="77777777" w:rsidR="00333FCB" w:rsidRDefault="00333FCB" w:rsidP="00333FCB">
      <w:pPr>
        <w:pStyle w:val="SingleTxtG"/>
        <w:rPr>
          <w:i/>
          <w:iCs/>
        </w:rPr>
      </w:pPr>
      <w:r w:rsidRPr="0063230C">
        <w:rPr>
          <w:i/>
          <w:iCs/>
        </w:rPr>
        <w:t>(Document de référence : document informel INF.</w:t>
      </w:r>
      <w:r>
        <w:rPr>
          <w:i/>
          <w:iCs/>
        </w:rPr>
        <w:t>20</w:t>
      </w:r>
      <w:r w:rsidRPr="0063230C">
        <w:rPr>
          <w:i/>
          <w:iCs/>
        </w:rPr>
        <w:t>)</w:t>
      </w:r>
    </w:p>
    <w:p w14:paraId="0F0D332D" w14:textId="77777777" w:rsidR="00333FCB" w:rsidRDefault="00333FCB" w:rsidP="00333FCB">
      <w:pPr>
        <w:pStyle w:val="SingleTxtG"/>
        <w:tabs>
          <w:tab w:val="left" w:pos="2268"/>
        </w:tabs>
        <w:ind w:left="2259" w:hanging="1125"/>
      </w:pPr>
      <w:r>
        <w:t>1.1.3.6.3</w:t>
      </w:r>
      <w:r>
        <w:tab/>
        <w:t>Dans le tableau, pour la catégorie de transport 0, classe 6.2, remplacer « Nos ONU 2814 et 2900 » par « No ONU 2814, 2900 et 3549 ».</w:t>
      </w:r>
    </w:p>
    <w:p w14:paraId="0870FF92" w14:textId="77777777" w:rsidR="00333FCB" w:rsidRDefault="00333FCB" w:rsidP="00333FCB">
      <w:pPr>
        <w:pStyle w:val="SingleTxtG"/>
        <w:rPr>
          <w:i/>
          <w:iCs/>
        </w:rPr>
      </w:pPr>
      <w:r w:rsidRPr="0063230C">
        <w:rPr>
          <w:i/>
          <w:iCs/>
        </w:rPr>
        <w:t>(Document de référence : document informel INF.</w:t>
      </w:r>
      <w:r>
        <w:rPr>
          <w:i/>
          <w:iCs/>
        </w:rPr>
        <w:t>20</w:t>
      </w:r>
      <w:r w:rsidRPr="0063230C">
        <w:rPr>
          <w:i/>
          <w:iCs/>
        </w:rPr>
        <w:t>)</w:t>
      </w:r>
    </w:p>
    <w:p w14:paraId="72093CAF" w14:textId="77777777" w:rsidR="00333FCB" w:rsidRDefault="00333FCB" w:rsidP="00333FCB">
      <w:pPr>
        <w:pStyle w:val="H23G"/>
      </w:pPr>
      <w:r>
        <w:tab/>
      </w:r>
      <w:r>
        <w:tab/>
        <w:t>Chapitre 1.2</w:t>
      </w:r>
    </w:p>
    <w:p w14:paraId="6769EBB3" w14:textId="77777777" w:rsidR="00333FCB" w:rsidRDefault="00333FCB" w:rsidP="00333FCB">
      <w:pPr>
        <w:pStyle w:val="SingleTxtG"/>
        <w:rPr>
          <w:lang w:val="fr-FR"/>
        </w:rPr>
      </w:pPr>
      <w:r w:rsidRPr="0069446C">
        <w:rPr>
          <w:lang w:val="fr-FR"/>
        </w:rPr>
        <w:t xml:space="preserve">1.2.1 </w:t>
      </w:r>
      <w:r w:rsidRPr="0069446C">
        <w:rPr>
          <w:lang w:val="fr-FR"/>
        </w:rPr>
        <w:tab/>
      </w:r>
      <w:r w:rsidRPr="0069446C">
        <w:rPr>
          <w:lang w:val="fr-FR"/>
        </w:rPr>
        <w:tab/>
      </w:r>
      <w:r>
        <w:rPr>
          <w:lang w:val="fr-FR"/>
        </w:rPr>
        <w:t xml:space="preserve">Ajouter </w:t>
      </w:r>
      <w:r w:rsidRPr="00480A04">
        <w:rPr>
          <w:lang w:val="fr-FR"/>
        </w:rPr>
        <w:t>la nouvelle définition suivante :</w:t>
      </w:r>
    </w:p>
    <w:p w14:paraId="6584220B" w14:textId="70E4D176" w:rsidR="00333FCB" w:rsidRPr="0069446C" w:rsidRDefault="00333FCB" w:rsidP="00333FCB">
      <w:pPr>
        <w:pStyle w:val="SingleTxtG"/>
        <w:rPr>
          <w:lang w:val="fr-FR"/>
        </w:rPr>
      </w:pPr>
      <w:r>
        <w:rPr>
          <w:lang w:val="fr-FR"/>
        </w:rPr>
        <w:t>« </w:t>
      </w:r>
      <w:r>
        <w:rPr>
          <w:i/>
          <w:iCs/>
          <w:lang w:val="fr-FR"/>
        </w:rPr>
        <w:t>“</w:t>
      </w:r>
      <w:r w:rsidRPr="0069446C">
        <w:rPr>
          <w:i/>
          <w:iCs/>
          <w:lang w:val="fr-FR"/>
        </w:rPr>
        <w:t>Règlement de transport des matières radioactives de l</w:t>
      </w:r>
      <w:r>
        <w:rPr>
          <w:i/>
          <w:iCs/>
          <w:lang w:val="fr-FR"/>
        </w:rPr>
        <w:t>’</w:t>
      </w:r>
      <w:r w:rsidRPr="0069446C">
        <w:rPr>
          <w:i/>
          <w:iCs/>
          <w:lang w:val="fr-FR"/>
        </w:rPr>
        <w:t>AIEA</w:t>
      </w:r>
      <w:r>
        <w:rPr>
          <w:i/>
          <w:iCs/>
          <w:lang w:val="fr-FR"/>
        </w:rPr>
        <w:t xml:space="preserve">”, </w:t>
      </w:r>
      <w:r w:rsidRPr="00004796">
        <w:rPr>
          <w:lang w:val="fr-FR"/>
        </w:rPr>
        <w:t>l</w:t>
      </w:r>
      <w:r>
        <w:rPr>
          <w:lang w:val="fr-FR"/>
        </w:rPr>
        <w:t>’</w:t>
      </w:r>
      <w:r w:rsidRPr="00004796">
        <w:rPr>
          <w:lang w:val="fr-FR"/>
        </w:rPr>
        <w:t>une des éditions de ce Règlement, comme suit :</w:t>
      </w:r>
      <w:r w:rsidRPr="0069446C">
        <w:rPr>
          <w:lang w:val="fr-FR"/>
        </w:rPr>
        <w:t xml:space="preserve"> </w:t>
      </w:r>
    </w:p>
    <w:p w14:paraId="191AEF0B" w14:textId="04664D64" w:rsidR="00333FCB" w:rsidRPr="0069446C" w:rsidRDefault="00333FCB" w:rsidP="00333FCB">
      <w:pPr>
        <w:pStyle w:val="SingleTxtG"/>
        <w:ind w:left="2268" w:hanging="567"/>
        <w:rPr>
          <w:lang w:val="fr-FR"/>
        </w:rPr>
      </w:pPr>
      <w:r w:rsidRPr="0069446C">
        <w:rPr>
          <w:lang w:val="fr-FR"/>
        </w:rPr>
        <w:t>a)</w:t>
      </w:r>
      <w:r w:rsidRPr="0069446C">
        <w:rPr>
          <w:lang w:val="fr-FR"/>
        </w:rPr>
        <w:tab/>
      </w:r>
      <w:r>
        <w:rPr>
          <w:lang w:val="fr-FR"/>
        </w:rPr>
        <w:t>Pour les éditions de</w:t>
      </w:r>
      <w:r w:rsidRPr="0069446C">
        <w:rPr>
          <w:lang w:val="fr-FR"/>
        </w:rPr>
        <w:t xml:space="preserve"> 1985</w:t>
      </w:r>
      <w:r>
        <w:rPr>
          <w:lang w:val="fr-FR"/>
        </w:rPr>
        <w:t xml:space="preserve"> et</w:t>
      </w:r>
      <w:r w:rsidRPr="0069446C">
        <w:rPr>
          <w:lang w:val="fr-FR"/>
        </w:rPr>
        <w:t xml:space="preserve"> </w:t>
      </w:r>
      <w:r>
        <w:rPr>
          <w:lang w:val="fr-FR"/>
        </w:rPr>
        <w:t xml:space="preserve">de </w:t>
      </w:r>
      <w:r w:rsidRPr="0069446C">
        <w:rPr>
          <w:lang w:val="fr-FR"/>
        </w:rPr>
        <w:t>1985 (</w:t>
      </w:r>
      <w:r w:rsidRPr="0069446C">
        <w:rPr>
          <w:szCs w:val="24"/>
          <w:lang w:val="fr-FR"/>
        </w:rPr>
        <w:t>telle que modifiée en 1990</w:t>
      </w:r>
      <w:r w:rsidRPr="0069446C">
        <w:rPr>
          <w:lang w:val="fr-FR"/>
        </w:rPr>
        <w:t>)</w:t>
      </w:r>
      <w:r>
        <w:rPr>
          <w:lang w:val="fr-FR"/>
        </w:rPr>
        <w:t> </w:t>
      </w:r>
      <w:r w:rsidRPr="0069446C">
        <w:rPr>
          <w:lang w:val="fr-FR"/>
        </w:rPr>
        <w:t xml:space="preserve">: </w:t>
      </w:r>
      <w:r w:rsidRPr="00004796">
        <w:rPr>
          <w:szCs w:val="24"/>
          <w:lang w:val="fr-FR"/>
        </w:rPr>
        <w:t>No 6 de la Collection Sécurité de l</w:t>
      </w:r>
      <w:r>
        <w:rPr>
          <w:szCs w:val="24"/>
          <w:lang w:val="fr-FR"/>
        </w:rPr>
        <w:t>’</w:t>
      </w:r>
      <w:r w:rsidRPr="00004796">
        <w:rPr>
          <w:szCs w:val="24"/>
          <w:lang w:val="fr-FR"/>
        </w:rPr>
        <w:t>AIEA</w:t>
      </w:r>
      <w:r>
        <w:rPr>
          <w:szCs w:val="24"/>
          <w:lang w:val="fr-FR"/>
        </w:rPr>
        <w:t> ;</w:t>
      </w:r>
    </w:p>
    <w:p w14:paraId="395133D1" w14:textId="0A680891" w:rsidR="00333FCB" w:rsidRPr="0069446C" w:rsidRDefault="00333FCB" w:rsidP="00333FCB">
      <w:pPr>
        <w:pStyle w:val="SingleTxtG"/>
        <w:ind w:left="2268" w:hanging="567"/>
        <w:rPr>
          <w:lang w:val="fr-FR"/>
        </w:rPr>
      </w:pPr>
      <w:r w:rsidRPr="0069446C">
        <w:rPr>
          <w:lang w:val="fr-FR"/>
        </w:rPr>
        <w:t>b)</w:t>
      </w:r>
      <w:r w:rsidRPr="0069446C">
        <w:rPr>
          <w:lang w:val="fr-FR"/>
        </w:rPr>
        <w:tab/>
      </w:r>
      <w:r>
        <w:rPr>
          <w:lang w:val="fr-FR"/>
        </w:rPr>
        <w:t xml:space="preserve">Pour l’édition de 1996 : </w:t>
      </w:r>
      <w:r w:rsidRPr="0069446C">
        <w:rPr>
          <w:lang w:val="fr-FR"/>
        </w:rPr>
        <w:t>No. ST-1</w:t>
      </w:r>
      <w:r>
        <w:rPr>
          <w:lang w:val="fr-FR"/>
        </w:rPr>
        <w:t xml:space="preserve"> de la Collection des Normes de Sûreté de l’AIEA ;</w:t>
      </w:r>
    </w:p>
    <w:p w14:paraId="7B3DA2F4" w14:textId="541D6A3B" w:rsidR="00333FCB" w:rsidRPr="0069446C" w:rsidRDefault="00333FCB" w:rsidP="00333FCB">
      <w:pPr>
        <w:pStyle w:val="SingleTxtG"/>
        <w:ind w:left="2268" w:hanging="567"/>
        <w:rPr>
          <w:lang w:val="fr-FR"/>
        </w:rPr>
      </w:pPr>
      <w:r w:rsidRPr="0069446C">
        <w:rPr>
          <w:lang w:val="fr-FR"/>
        </w:rPr>
        <w:t>c)</w:t>
      </w:r>
      <w:r w:rsidRPr="0069446C">
        <w:rPr>
          <w:lang w:val="fr-FR"/>
        </w:rPr>
        <w:tab/>
      </w:r>
      <w:r>
        <w:rPr>
          <w:lang w:val="fr-FR"/>
        </w:rPr>
        <w:t xml:space="preserve">Pour l’édition de 1996 (révisée) : </w:t>
      </w:r>
      <w:r w:rsidRPr="0069446C">
        <w:rPr>
          <w:lang w:val="fr-FR"/>
        </w:rPr>
        <w:t xml:space="preserve">No. TS-R-1 (ST-1, </w:t>
      </w:r>
      <w:r>
        <w:rPr>
          <w:lang w:val="fr-FR"/>
        </w:rPr>
        <w:t>révisée</w:t>
      </w:r>
      <w:r w:rsidRPr="0069446C">
        <w:rPr>
          <w:lang w:val="fr-FR"/>
        </w:rPr>
        <w:t>)</w:t>
      </w:r>
      <w:r>
        <w:rPr>
          <w:lang w:val="fr-FR"/>
        </w:rPr>
        <w:t xml:space="preserve"> de la Collection des Normes de Sûreté de l’AIEA ;</w:t>
      </w:r>
    </w:p>
    <w:p w14:paraId="06A1562B" w14:textId="0781452F" w:rsidR="00333FCB" w:rsidRDefault="00333FCB" w:rsidP="00333FCB">
      <w:pPr>
        <w:pStyle w:val="SingleTxtG"/>
        <w:ind w:left="2268" w:hanging="567"/>
        <w:rPr>
          <w:lang w:val="fr-FR"/>
        </w:rPr>
      </w:pPr>
      <w:r w:rsidRPr="0069446C">
        <w:rPr>
          <w:lang w:val="fr-FR"/>
        </w:rPr>
        <w:t>d)</w:t>
      </w:r>
      <w:r w:rsidRPr="0069446C">
        <w:rPr>
          <w:lang w:val="fr-FR"/>
        </w:rPr>
        <w:tab/>
      </w:r>
      <w:r>
        <w:rPr>
          <w:lang w:val="fr-FR"/>
        </w:rPr>
        <w:t xml:space="preserve">Pour les éditions de </w:t>
      </w:r>
      <w:r w:rsidRPr="0069446C">
        <w:rPr>
          <w:szCs w:val="24"/>
          <w:lang w:val="fr-FR"/>
        </w:rPr>
        <w:t>1996 (telle que modifiée en 2003),</w:t>
      </w:r>
      <w:r w:rsidRPr="0069446C">
        <w:rPr>
          <w:lang w:val="fr-FR"/>
        </w:rPr>
        <w:t xml:space="preserve"> 2005</w:t>
      </w:r>
      <w:r>
        <w:rPr>
          <w:lang w:val="fr-FR"/>
        </w:rPr>
        <w:t xml:space="preserve"> et</w:t>
      </w:r>
      <w:r w:rsidRPr="0069446C">
        <w:rPr>
          <w:lang w:val="fr-FR"/>
        </w:rPr>
        <w:t xml:space="preserve"> 2009</w:t>
      </w:r>
      <w:r>
        <w:rPr>
          <w:lang w:val="fr-FR"/>
        </w:rPr>
        <w:t> </w:t>
      </w:r>
      <w:r w:rsidRPr="0069446C">
        <w:rPr>
          <w:lang w:val="fr-FR"/>
        </w:rPr>
        <w:t xml:space="preserve">: No. TS-R-1 (ST-1, </w:t>
      </w:r>
      <w:r>
        <w:rPr>
          <w:lang w:val="fr-FR"/>
        </w:rPr>
        <w:t>révisée</w:t>
      </w:r>
      <w:r w:rsidRPr="0069446C">
        <w:rPr>
          <w:lang w:val="fr-FR"/>
        </w:rPr>
        <w:t>)</w:t>
      </w:r>
      <w:r>
        <w:rPr>
          <w:lang w:val="fr-FR"/>
        </w:rPr>
        <w:t xml:space="preserve"> de la Collection des Normes de Sûreté de l’AIEA ;</w:t>
      </w:r>
      <w:r w:rsidRPr="0069446C">
        <w:rPr>
          <w:lang w:val="fr-FR"/>
        </w:rPr>
        <w:t xml:space="preserve"> </w:t>
      </w:r>
    </w:p>
    <w:p w14:paraId="767355E8" w14:textId="0547D732" w:rsidR="00333FCB" w:rsidRPr="0069446C" w:rsidRDefault="00333FCB" w:rsidP="00333FCB">
      <w:pPr>
        <w:pStyle w:val="SingleTxtG"/>
        <w:ind w:left="2268" w:hanging="567"/>
        <w:rPr>
          <w:lang w:val="fr-FR"/>
        </w:rPr>
      </w:pPr>
      <w:r w:rsidRPr="0069446C">
        <w:rPr>
          <w:lang w:val="fr-FR"/>
        </w:rPr>
        <w:t>e)</w:t>
      </w:r>
      <w:r w:rsidRPr="0069446C">
        <w:rPr>
          <w:lang w:val="fr-FR"/>
        </w:rPr>
        <w:tab/>
      </w:r>
      <w:r>
        <w:rPr>
          <w:lang w:val="fr-FR"/>
        </w:rPr>
        <w:t xml:space="preserve">Pour l’édition de 2012 : </w:t>
      </w:r>
      <w:r w:rsidRPr="0069446C">
        <w:rPr>
          <w:lang w:val="fr-FR"/>
        </w:rPr>
        <w:t>No. SSR-6</w:t>
      </w:r>
      <w:r w:rsidRPr="009237AC">
        <w:rPr>
          <w:lang w:val="fr-FR"/>
        </w:rPr>
        <w:t xml:space="preserve"> </w:t>
      </w:r>
      <w:r>
        <w:rPr>
          <w:lang w:val="fr-FR"/>
        </w:rPr>
        <w:t>de la Collection des Normes de Sûreté de l’AIEA ;</w:t>
      </w:r>
    </w:p>
    <w:p w14:paraId="41B39E84" w14:textId="301758B4" w:rsidR="00333FCB" w:rsidRPr="0069446C" w:rsidRDefault="00333FCB" w:rsidP="00333FCB">
      <w:pPr>
        <w:pStyle w:val="SingleTxtG"/>
        <w:ind w:left="2268" w:hanging="567"/>
        <w:rPr>
          <w:lang w:val="fr-FR"/>
        </w:rPr>
      </w:pPr>
      <w:r w:rsidRPr="0069446C">
        <w:rPr>
          <w:lang w:val="fr-FR"/>
        </w:rPr>
        <w:t>f)</w:t>
      </w:r>
      <w:r w:rsidRPr="0069446C">
        <w:rPr>
          <w:lang w:val="fr-FR"/>
        </w:rPr>
        <w:tab/>
      </w:r>
      <w:r>
        <w:rPr>
          <w:lang w:val="fr-FR"/>
        </w:rPr>
        <w:t>Pour l’édition de 2018 </w:t>
      </w:r>
      <w:r w:rsidRPr="0069446C">
        <w:rPr>
          <w:lang w:val="fr-FR"/>
        </w:rPr>
        <w:t>: No. SSR–6 (Rev.1)</w:t>
      </w:r>
      <w:r>
        <w:rPr>
          <w:lang w:val="fr-FR"/>
        </w:rPr>
        <w:t xml:space="preserve"> de la Collection des Normes de Sûreté de l’AIEA</w:t>
      </w:r>
      <w:r w:rsidRPr="0069446C">
        <w:rPr>
          <w:lang w:val="fr-FR"/>
        </w:rPr>
        <w:t>.</w:t>
      </w:r>
      <w:r>
        <w:rPr>
          <w:lang w:val="fr-FR"/>
        </w:rPr>
        <w:t> ».</w:t>
      </w:r>
    </w:p>
    <w:p w14:paraId="22D503E6" w14:textId="77777777" w:rsidR="00333FCB" w:rsidRPr="0069446C" w:rsidRDefault="00333FCB" w:rsidP="00333FCB">
      <w:pPr>
        <w:pStyle w:val="SingleTxtG"/>
        <w:rPr>
          <w:i/>
          <w:iCs/>
          <w:lang w:val="fr-FR"/>
        </w:rPr>
      </w:pPr>
      <w:r w:rsidRPr="0069446C">
        <w:rPr>
          <w:i/>
          <w:iCs/>
          <w:lang w:val="fr-FR"/>
        </w:rPr>
        <w:t>(Document de référence : document informel INF.4</w:t>
      </w:r>
      <w:r>
        <w:rPr>
          <w:i/>
          <w:iCs/>
          <w:lang w:val="fr-FR"/>
        </w:rPr>
        <w:t>9</w:t>
      </w:r>
      <w:r w:rsidRPr="0069446C">
        <w:rPr>
          <w:i/>
          <w:iCs/>
          <w:lang w:val="fr-FR"/>
        </w:rPr>
        <w:t>)</w:t>
      </w:r>
    </w:p>
    <w:p w14:paraId="61034F24" w14:textId="69ACE091" w:rsidR="00333FCB" w:rsidRPr="00787B83" w:rsidRDefault="00333FCB" w:rsidP="00333FCB">
      <w:pPr>
        <w:pStyle w:val="SingleTxtG"/>
      </w:pPr>
      <w:r>
        <w:t xml:space="preserve">(ADR/ADN :) </w:t>
      </w:r>
      <w:r w:rsidRPr="00787B83">
        <w:t>1.2.1</w:t>
      </w:r>
      <w:r w:rsidRPr="00787B83">
        <w:tab/>
      </w:r>
      <w:r>
        <w:t>Modifier</w:t>
      </w:r>
      <w:r w:rsidRPr="00787B83">
        <w:t xml:space="preserve"> la définition de « </w:t>
      </w:r>
      <w:r w:rsidRPr="00787B83">
        <w:rPr>
          <w:i/>
          <w:iCs/>
        </w:rPr>
        <w:t>Exploitant d</w:t>
      </w:r>
      <w:r>
        <w:rPr>
          <w:i/>
          <w:iCs/>
        </w:rPr>
        <w:t>’</w:t>
      </w:r>
      <w:r w:rsidRPr="00787B83">
        <w:rPr>
          <w:i/>
          <w:iCs/>
        </w:rPr>
        <w:t>un conteneur-citerne ou d</w:t>
      </w:r>
      <w:r>
        <w:rPr>
          <w:i/>
          <w:iCs/>
        </w:rPr>
        <w:t>’</w:t>
      </w:r>
      <w:r w:rsidRPr="00787B83">
        <w:rPr>
          <w:i/>
          <w:iCs/>
        </w:rPr>
        <w:t>une citerne mobile</w:t>
      </w:r>
      <w:r w:rsidRPr="00787B83">
        <w:t xml:space="preserve"> » </w:t>
      </w:r>
      <w:r>
        <w:t>pour lire</w:t>
      </w:r>
      <w:r w:rsidRPr="00787B83">
        <w:t> :</w:t>
      </w:r>
    </w:p>
    <w:p w14:paraId="570007F2" w14:textId="34D74EFF" w:rsidR="00333FCB" w:rsidRPr="00787B83" w:rsidRDefault="00333FCB" w:rsidP="00333FCB">
      <w:pPr>
        <w:pStyle w:val="SingleTxtG"/>
        <w:ind w:left="1701"/>
      </w:pPr>
      <w:r w:rsidRPr="00787B83">
        <w:t>« </w:t>
      </w:r>
      <w:r>
        <w:t>“</w:t>
      </w:r>
      <w:r w:rsidRPr="00787B83">
        <w:rPr>
          <w:i/>
          <w:iCs/>
        </w:rPr>
        <w:t>Exploitant d</w:t>
      </w:r>
      <w:r>
        <w:rPr>
          <w:i/>
          <w:iCs/>
        </w:rPr>
        <w:t>’</w:t>
      </w:r>
      <w:r w:rsidRPr="00787B83">
        <w:rPr>
          <w:i/>
          <w:iCs/>
        </w:rPr>
        <w:t>un conteneur-citerne ou d</w:t>
      </w:r>
      <w:r>
        <w:rPr>
          <w:i/>
          <w:iCs/>
        </w:rPr>
        <w:t>’</w:t>
      </w:r>
      <w:r w:rsidRPr="00787B83">
        <w:rPr>
          <w:i/>
          <w:iCs/>
        </w:rPr>
        <w:t>une citerne mobile</w:t>
      </w:r>
      <w:r>
        <w:rPr>
          <w:i/>
          <w:iCs/>
        </w:rPr>
        <w:t>”</w:t>
      </w:r>
      <w:r w:rsidRPr="00787B83">
        <w:t xml:space="preserve">, toute entreprise au nom de laquelle </w:t>
      </w:r>
      <w:r>
        <w:t>le</w:t>
      </w:r>
      <w:r w:rsidRPr="00787B83">
        <w:t xml:space="preserve"> conteneur-citerne ou </w:t>
      </w:r>
      <w:r>
        <w:t>la</w:t>
      </w:r>
      <w:r w:rsidRPr="00787B83">
        <w:t xml:space="preserve"> citerne mobile </w:t>
      </w:r>
      <w:r>
        <w:t>sont</w:t>
      </w:r>
      <w:r w:rsidRPr="00787B83">
        <w:t xml:space="preserve"> exploité</w:t>
      </w:r>
      <w:r>
        <w:t>s</w:t>
      </w:r>
      <w:r w:rsidRPr="00787B83">
        <w:t>. ».</w:t>
      </w:r>
    </w:p>
    <w:p w14:paraId="373DB006" w14:textId="77777777" w:rsidR="00333FCB" w:rsidRDefault="00333FCB" w:rsidP="00333FCB">
      <w:pPr>
        <w:pStyle w:val="SingleTxtG"/>
      </w:pPr>
      <w:r w:rsidRPr="0063230C">
        <w:rPr>
          <w:i/>
          <w:iCs/>
        </w:rPr>
        <w:t xml:space="preserve">(Document de référence : </w:t>
      </w:r>
      <w:r>
        <w:rPr>
          <w:i/>
          <w:iCs/>
        </w:rPr>
        <w:t>ECE/TRANS/WP.15/AC.1/2019/30 tel que modifié</w:t>
      </w:r>
      <w:r w:rsidRPr="0063230C">
        <w:rPr>
          <w:i/>
          <w:iCs/>
        </w:rPr>
        <w:t>)</w:t>
      </w:r>
    </w:p>
    <w:p w14:paraId="5496993D" w14:textId="131AD84A" w:rsidR="00333FCB" w:rsidRPr="00787B83" w:rsidRDefault="00333FCB" w:rsidP="00333FCB">
      <w:pPr>
        <w:pStyle w:val="SingleTxtG"/>
      </w:pPr>
      <w:r>
        <w:t xml:space="preserve">(RID :) </w:t>
      </w:r>
      <w:r w:rsidRPr="00787B83">
        <w:t>1.2.1</w:t>
      </w:r>
      <w:r w:rsidRPr="00787B83">
        <w:tab/>
      </w:r>
      <w:r>
        <w:t>Remplacer la</w:t>
      </w:r>
      <w:r w:rsidRPr="00787B83">
        <w:t xml:space="preserve"> définition de « </w:t>
      </w:r>
      <w:r>
        <w:rPr>
          <w:i/>
          <w:iCs/>
        </w:rPr>
        <w:t>E</w:t>
      </w:r>
      <w:r w:rsidRPr="00EF4EBA">
        <w:rPr>
          <w:i/>
          <w:iCs/>
        </w:rPr>
        <w:t>xploitant d</w:t>
      </w:r>
      <w:r>
        <w:rPr>
          <w:i/>
          <w:iCs/>
        </w:rPr>
        <w:t>’</w:t>
      </w:r>
      <w:r w:rsidRPr="00EF4EBA">
        <w:rPr>
          <w:i/>
          <w:iCs/>
        </w:rPr>
        <w:t>un conteneur-citerne, d</w:t>
      </w:r>
      <w:r>
        <w:rPr>
          <w:i/>
          <w:iCs/>
        </w:rPr>
        <w:t>’</w:t>
      </w:r>
      <w:r w:rsidRPr="00EF4EBA">
        <w:rPr>
          <w:i/>
          <w:iCs/>
        </w:rPr>
        <w:t>une citerne mobile ou d</w:t>
      </w:r>
      <w:r>
        <w:rPr>
          <w:i/>
          <w:iCs/>
        </w:rPr>
        <w:t>’</w:t>
      </w:r>
      <w:r w:rsidRPr="00EF4EBA">
        <w:rPr>
          <w:i/>
          <w:iCs/>
        </w:rPr>
        <w:t>un wagon-citerne</w:t>
      </w:r>
      <w:r w:rsidRPr="00787B83">
        <w:t xml:space="preserve"> » </w:t>
      </w:r>
      <w:r>
        <w:t>par les définitions suivantes</w:t>
      </w:r>
      <w:r w:rsidRPr="00787B83">
        <w:t> :</w:t>
      </w:r>
    </w:p>
    <w:p w14:paraId="3081A8CE" w14:textId="28CCDD04" w:rsidR="00333FCB" w:rsidRPr="00787B83" w:rsidRDefault="00333FCB" w:rsidP="00333FCB">
      <w:pPr>
        <w:pStyle w:val="SingleTxtG"/>
        <w:ind w:left="1701"/>
      </w:pPr>
      <w:r w:rsidRPr="00787B83">
        <w:t>« </w:t>
      </w:r>
      <w:r>
        <w:t>“</w:t>
      </w:r>
      <w:r w:rsidRPr="00787B83">
        <w:rPr>
          <w:i/>
          <w:iCs/>
        </w:rPr>
        <w:t>Exploitant d</w:t>
      </w:r>
      <w:r>
        <w:rPr>
          <w:i/>
          <w:iCs/>
        </w:rPr>
        <w:t>’</w:t>
      </w:r>
      <w:r w:rsidRPr="00787B83">
        <w:rPr>
          <w:i/>
          <w:iCs/>
        </w:rPr>
        <w:t>un conteneur-citerne ou d</w:t>
      </w:r>
      <w:r>
        <w:rPr>
          <w:i/>
          <w:iCs/>
        </w:rPr>
        <w:t>’</w:t>
      </w:r>
      <w:r w:rsidRPr="00787B83">
        <w:rPr>
          <w:i/>
          <w:iCs/>
        </w:rPr>
        <w:t>une citerne mobile</w:t>
      </w:r>
      <w:r>
        <w:rPr>
          <w:i/>
          <w:iCs/>
        </w:rPr>
        <w:t>”</w:t>
      </w:r>
      <w:r w:rsidRPr="00787B83">
        <w:t xml:space="preserve">, toute entreprise au nom de laquelle </w:t>
      </w:r>
      <w:r>
        <w:t>le</w:t>
      </w:r>
      <w:r w:rsidRPr="00787B83">
        <w:t xml:space="preserve"> conteneur-citerne ou </w:t>
      </w:r>
      <w:r>
        <w:t>la</w:t>
      </w:r>
      <w:r w:rsidRPr="00787B83">
        <w:t xml:space="preserve"> citerne mobile </w:t>
      </w:r>
      <w:r>
        <w:t>sont</w:t>
      </w:r>
      <w:r w:rsidRPr="00787B83">
        <w:t xml:space="preserve"> exploité</w:t>
      </w:r>
      <w:r>
        <w:t>s</w:t>
      </w:r>
      <w:r w:rsidRPr="00787B83">
        <w:t>. ».</w:t>
      </w:r>
    </w:p>
    <w:p w14:paraId="7935B309" w14:textId="4292F8F4" w:rsidR="00333FCB" w:rsidRPr="00787B83" w:rsidRDefault="00333FCB" w:rsidP="00333FCB">
      <w:pPr>
        <w:pStyle w:val="SingleTxtG"/>
        <w:ind w:left="1701"/>
      </w:pPr>
      <w:r w:rsidRPr="00787B83">
        <w:t>« </w:t>
      </w:r>
      <w:r>
        <w:t>“</w:t>
      </w:r>
      <w:r>
        <w:rPr>
          <w:i/>
          <w:iCs/>
          <w:lang w:val="fr-FR"/>
        </w:rPr>
        <w:t>Exploitant d’un wagon-citerne”</w:t>
      </w:r>
      <w:r w:rsidRPr="00EA56BD">
        <w:rPr>
          <w:sz w:val="12"/>
          <w:szCs w:val="12"/>
        </w:rPr>
        <w:t xml:space="preserve"> </w:t>
      </w:r>
      <w:r w:rsidRPr="00EA56BD">
        <w:rPr>
          <w:vertAlign w:val="superscript"/>
        </w:rPr>
        <w:t>7)</w:t>
      </w:r>
      <w:r w:rsidRPr="00787B83">
        <w:t xml:space="preserve">, toute entreprise au nom de laquelle </w:t>
      </w:r>
      <w:r>
        <w:t>le wagon-</w:t>
      </w:r>
      <w:r w:rsidRPr="00787B83">
        <w:t xml:space="preserve">citerne </w:t>
      </w:r>
      <w:r>
        <w:t>est</w:t>
      </w:r>
      <w:r w:rsidRPr="00787B83">
        <w:t xml:space="preserve"> </w:t>
      </w:r>
      <w:r>
        <w:rPr>
          <w:lang w:val="fr-FR"/>
        </w:rPr>
        <w:t>immatriculé ou admis au trafic</w:t>
      </w:r>
      <w:r w:rsidRPr="00787B83">
        <w:t>. ».</w:t>
      </w:r>
    </w:p>
    <w:p w14:paraId="1C22560F" w14:textId="77777777" w:rsidR="00333FCB" w:rsidRDefault="00333FCB" w:rsidP="00333FCB">
      <w:pPr>
        <w:pStyle w:val="SingleTxtG"/>
      </w:pPr>
      <w:r w:rsidRPr="0063230C">
        <w:rPr>
          <w:i/>
          <w:iCs/>
        </w:rPr>
        <w:t xml:space="preserve">(Document de référence : </w:t>
      </w:r>
      <w:r>
        <w:rPr>
          <w:i/>
          <w:iCs/>
        </w:rPr>
        <w:t>ECE/TRANS/WP.15/AC.1/2019/30 tel que modifié</w:t>
      </w:r>
      <w:r w:rsidRPr="0063230C">
        <w:rPr>
          <w:i/>
          <w:iCs/>
        </w:rPr>
        <w:t>)</w:t>
      </w:r>
    </w:p>
    <w:p w14:paraId="6C4C459A" w14:textId="49C69608" w:rsidR="00333FCB" w:rsidRPr="00F64648" w:rsidRDefault="00333FCB" w:rsidP="00333FCB">
      <w:pPr>
        <w:pStyle w:val="SingleTxtG"/>
      </w:pPr>
      <w:r>
        <w:t xml:space="preserve">(RID :) 1.2.1 </w:t>
      </w:r>
      <w:r w:rsidRPr="00F64648">
        <w:tab/>
      </w:r>
      <w:r>
        <w:t>La modification ne s’applique pas au texte Français.</w:t>
      </w:r>
    </w:p>
    <w:p w14:paraId="45172213" w14:textId="77777777" w:rsidR="00333FCB" w:rsidRDefault="00333FCB" w:rsidP="00333FCB">
      <w:pPr>
        <w:pStyle w:val="SingleTxtG"/>
        <w:rPr>
          <w:i/>
          <w:iCs/>
        </w:rPr>
      </w:pPr>
      <w:r w:rsidRPr="00F64648">
        <w:rPr>
          <w:i/>
          <w:iCs/>
        </w:rPr>
        <w:t>(Document</w:t>
      </w:r>
      <w:r>
        <w:rPr>
          <w:i/>
          <w:iCs/>
        </w:rPr>
        <w:t>s</w:t>
      </w:r>
      <w:r w:rsidRPr="00F64648">
        <w:rPr>
          <w:i/>
          <w:iCs/>
        </w:rPr>
        <w:t xml:space="preserve"> de référence : </w:t>
      </w:r>
      <w:r>
        <w:rPr>
          <w:i/>
          <w:iCs/>
        </w:rPr>
        <w:t>documents informels INF.4 et INF.45, proposition 2</w:t>
      </w:r>
      <w:r w:rsidRPr="00F64648">
        <w:rPr>
          <w:i/>
          <w:iCs/>
        </w:rPr>
        <w:t>)</w:t>
      </w:r>
    </w:p>
    <w:p w14:paraId="238319EE" w14:textId="77777777" w:rsidR="00333FCB" w:rsidRDefault="00333FCB" w:rsidP="00333FCB">
      <w:pPr>
        <w:pStyle w:val="H23G"/>
      </w:pPr>
      <w:r>
        <w:tab/>
      </w:r>
      <w:r>
        <w:tab/>
        <w:t>Chapitre 1.6</w:t>
      </w:r>
    </w:p>
    <w:p w14:paraId="77868FEE" w14:textId="77777777" w:rsidR="00333FCB" w:rsidRPr="00F64648" w:rsidRDefault="00333FCB" w:rsidP="00333FCB">
      <w:pPr>
        <w:pStyle w:val="SingleTxtG"/>
      </w:pPr>
      <w:r>
        <w:t>1.6.1.22</w:t>
      </w:r>
      <w:r w:rsidRPr="00F64648">
        <w:tab/>
      </w:r>
      <w:r>
        <w:t>Supprimer et ajouter « </w:t>
      </w:r>
      <w:r w:rsidRPr="00D55640">
        <w:rPr>
          <w:i/>
          <w:iCs/>
        </w:rPr>
        <w:t>(Supprimé)</w:t>
      </w:r>
      <w:r>
        <w:t> ».</w:t>
      </w:r>
    </w:p>
    <w:p w14:paraId="004CA0D0" w14:textId="77777777" w:rsidR="00333FCB" w:rsidRDefault="00333FCB" w:rsidP="00333FCB">
      <w:pPr>
        <w:pStyle w:val="SingleTxtG"/>
        <w:rPr>
          <w:i/>
          <w:iCs/>
        </w:rPr>
      </w:pPr>
      <w:r w:rsidRPr="00F64648">
        <w:rPr>
          <w:i/>
          <w:iCs/>
        </w:rPr>
        <w:t xml:space="preserve">(Document de référence : </w:t>
      </w:r>
      <w:r>
        <w:rPr>
          <w:i/>
          <w:iCs/>
        </w:rPr>
        <w:t>document informel INF.14</w:t>
      </w:r>
      <w:r w:rsidRPr="00F64648">
        <w:rPr>
          <w:i/>
          <w:iCs/>
        </w:rPr>
        <w:t>)</w:t>
      </w:r>
    </w:p>
    <w:p w14:paraId="16C20F13" w14:textId="079F981F" w:rsidR="00333FCB" w:rsidRPr="00A65E0D" w:rsidRDefault="00333FCB" w:rsidP="00333FCB">
      <w:pPr>
        <w:pStyle w:val="SingleTxtG"/>
        <w:tabs>
          <w:tab w:val="left" w:pos="2268"/>
        </w:tabs>
        <w:ind w:left="2259" w:hanging="1125"/>
      </w:pPr>
      <w:r w:rsidRPr="00A65E0D">
        <w:rPr>
          <w:lang w:val="fr-FR"/>
        </w:rPr>
        <w:t>1.6.6.2.2</w:t>
      </w:r>
      <w:r w:rsidRPr="00A65E0D">
        <w:rPr>
          <w:lang w:val="fr-FR"/>
        </w:rPr>
        <w:tab/>
        <w:t xml:space="preserve">Modifier pour lire : « 1.6.6.2.2 </w:t>
      </w:r>
      <w:r w:rsidRPr="00A65E0D">
        <w:rPr>
          <w:lang w:val="fr-FR"/>
        </w:rPr>
        <w:tab/>
        <w:t>Il n</w:t>
      </w:r>
      <w:r>
        <w:rPr>
          <w:lang w:val="fr-FR"/>
        </w:rPr>
        <w:t>’</w:t>
      </w:r>
      <w:r w:rsidRPr="00A65E0D">
        <w:rPr>
          <w:lang w:val="fr-FR"/>
        </w:rPr>
        <w:t>est pas permis de commencer une nouvelle fabrication d</w:t>
      </w:r>
      <w:r>
        <w:rPr>
          <w:lang w:val="fr-FR"/>
        </w:rPr>
        <w:t>’</w:t>
      </w:r>
      <w:r w:rsidRPr="00A65E0D">
        <w:rPr>
          <w:lang w:val="fr-FR"/>
        </w:rPr>
        <w:t>emballages suivant un modèle de colis satisfaisant aux dispositions des éditions de 1985 ou de 1985 (revue en 1990) du Règlement de transport des matières radioactives de l</w:t>
      </w:r>
      <w:r>
        <w:rPr>
          <w:lang w:val="fr-FR"/>
        </w:rPr>
        <w:t>’</w:t>
      </w:r>
      <w:r w:rsidRPr="00A65E0D">
        <w:rPr>
          <w:lang w:val="fr-FR"/>
        </w:rPr>
        <w:t>AIEA. ».</w:t>
      </w:r>
    </w:p>
    <w:p w14:paraId="2DC918A2" w14:textId="77777777" w:rsidR="00333FCB" w:rsidRPr="00A65E0D" w:rsidRDefault="00333FCB" w:rsidP="00333FCB">
      <w:pPr>
        <w:pStyle w:val="SingleTxtG"/>
        <w:spacing w:before="120"/>
        <w:rPr>
          <w:i/>
          <w:iCs/>
          <w:lang w:val="fr-FR"/>
        </w:rPr>
      </w:pPr>
      <w:r w:rsidRPr="00A65E0D">
        <w:rPr>
          <w:i/>
          <w:iCs/>
          <w:lang w:val="fr-FR"/>
        </w:rPr>
        <w:t>(Document de référence : document informel INF.</w:t>
      </w:r>
      <w:r>
        <w:rPr>
          <w:i/>
          <w:iCs/>
          <w:lang w:val="fr-FR"/>
        </w:rPr>
        <w:t>20 et</w:t>
      </w:r>
      <w:r w:rsidRPr="004E6017">
        <w:rPr>
          <w:i/>
          <w:iCs/>
          <w:lang w:val="fr-FR"/>
        </w:rPr>
        <w:t xml:space="preserve"> </w:t>
      </w:r>
      <w:r w:rsidRPr="00A65E0D">
        <w:rPr>
          <w:i/>
          <w:iCs/>
          <w:lang w:val="fr-FR"/>
        </w:rPr>
        <w:t>document informel INF.49, amendement de conséquence)</w:t>
      </w:r>
    </w:p>
    <w:p w14:paraId="16C2C0B3" w14:textId="1FF48376" w:rsidR="00333FCB" w:rsidRPr="0069446C" w:rsidRDefault="00333FCB" w:rsidP="004F08DE">
      <w:pPr>
        <w:pStyle w:val="SingleTxtG"/>
        <w:tabs>
          <w:tab w:val="left" w:pos="2268"/>
        </w:tabs>
        <w:ind w:left="2259" w:hanging="1125"/>
      </w:pPr>
      <w:r w:rsidRPr="0069446C">
        <w:t>1.6.6.3</w:t>
      </w:r>
      <w:r w:rsidRPr="0069446C">
        <w:tab/>
      </w:r>
      <w:r>
        <w:tab/>
        <w:t xml:space="preserve">Modifier le titre pour lire : « Colis exceptés des prescriptions concernant les matières fissiles sous les éditions 2011 et 2013 de l’ADR (édition de 2009 </w:t>
      </w:r>
      <w:r w:rsidRPr="0069446C">
        <w:rPr>
          <w:lang w:val="fr-FR"/>
        </w:rPr>
        <w:t>du Règlement de transport des matières radioactives de l</w:t>
      </w:r>
      <w:r>
        <w:rPr>
          <w:lang w:val="fr-FR"/>
        </w:rPr>
        <w:t>’</w:t>
      </w:r>
      <w:r w:rsidRPr="0069446C">
        <w:rPr>
          <w:lang w:val="fr-FR"/>
        </w:rPr>
        <w:t>AIEA</w:t>
      </w:r>
      <w:r>
        <w:t xml:space="preserve">) ». </w:t>
      </w:r>
      <w:r w:rsidRPr="0069446C">
        <w:t xml:space="preserve"> </w:t>
      </w:r>
    </w:p>
    <w:p w14:paraId="48674168" w14:textId="77777777" w:rsidR="00333FCB" w:rsidRPr="0069446C" w:rsidRDefault="00333FCB" w:rsidP="00333FCB">
      <w:pPr>
        <w:pStyle w:val="SingleTxtG"/>
        <w:rPr>
          <w:i/>
          <w:iCs/>
          <w:lang w:val="fr-FR"/>
        </w:rPr>
      </w:pPr>
      <w:r w:rsidRPr="0069446C">
        <w:rPr>
          <w:i/>
          <w:iCs/>
          <w:lang w:val="fr-FR"/>
        </w:rPr>
        <w:t>(Document de référence : document informel INF.4</w:t>
      </w:r>
      <w:r>
        <w:rPr>
          <w:i/>
          <w:iCs/>
          <w:lang w:val="fr-FR"/>
        </w:rPr>
        <w:t>9</w:t>
      </w:r>
      <w:r w:rsidRPr="0069446C">
        <w:rPr>
          <w:i/>
          <w:iCs/>
          <w:lang w:val="fr-FR"/>
        </w:rPr>
        <w:t>)</w:t>
      </w:r>
    </w:p>
    <w:p w14:paraId="3C451D54" w14:textId="77777777" w:rsidR="00333FCB" w:rsidRDefault="00333FCB" w:rsidP="00333FCB">
      <w:pPr>
        <w:pStyle w:val="H23G"/>
      </w:pPr>
      <w:r>
        <w:tab/>
      </w:r>
      <w:r>
        <w:tab/>
        <w:t>Chapitre 1.8</w:t>
      </w:r>
    </w:p>
    <w:p w14:paraId="42830498" w14:textId="77777777" w:rsidR="00333FCB" w:rsidRPr="00F64648" w:rsidRDefault="00333FCB" w:rsidP="004F08DE">
      <w:pPr>
        <w:pStyle w:val="SingleTxtG"/>
        <w:tabs>
          <w:tab w:val="left" w:pos="2268"/>
        </w:tabs>
        <w:ind w:left="2259" w:hanging="1125"/>
      </w:pPr>
      <w:r>
        <w:t>1.8.6.4.1</w:t>
      </w:r>
      <w:r>
        <w:tab/>
        <w:t xml:space="preserve">Remplacer « EN ISO/CEI 17025:2005 » par « EN ISO/CEI 17025:2017 (sauf article 8.1.3) ». </w:t>
      </w:r>
    </w:p>
    <w:p w14:paraId="37541655" w14:textId="77777777" w:rsidR="00333FCB" w:rsidRPr="00172D84" w:rsidRDefault="00333FCB" w:rsidP="00333FCB">
      <w:pPr>
        <w:pStyle w:val="SingleTxtG"/>
        <w:rPr>
          <w:i/>
          <w:iCs/>
        </w:rPr>
      </w:pPr>
      <w:r w:rsidRPr="00F64648">
        <w:rPr>
          <w:i/>
          <w:iCs/>
        </w:rPr>
        <w:t>(Document</w:t>
      </w:r>
      <w:r>
        <w:rPr>
          <w:i/>
          <w:iCs/>
        </w:rPr>
        <w:t>s</w:t>
      </w:r>
      <w:r w:rsidRPr="00F64648">
        <w:rPr>
          <w:i/>
          <w:iCs/>
        </w:rPr>
        <w:t xml:space="preserve"> de référence : </w:t>
      </w:r>
      <w:r>
        <w:rPr>
          <w:i/>
          <w:iCs/>
        </w:rPr>
        <w:t>ECE/TRANS/WP.15/AC.1/2019/35, proposition 3 et ECE/TRANS/WP.15/AC.1/2019/36, proposition 2 telle que modifiée</w:t>
      </w:r>
      <w:r w:rsidRPr="00F64648">
        <w:rPr>
          <w:i/>
          <w:iCs/>
        </w:rPr>
        <w:t>)</w:t>
      </w:r>
    </w:p>
    <w:p w14:paraId="2FE98FEC" w14:textId="77777777" w:rsidR="00333FCB" w:rsidRDefault="00333FCB" w:rsidP="00333FCB">
      <w:pPr>
        <w:pStyle w:val="H23G"/>
      </w:pPr>
      <w:r>
        <w:tab/>
      </w:r>
      <w:r>
        <w:tab/>
        <w:t>Chapitre 2.1</w:t>
      </w:r>
    </w:p>
    <w:p w14:paraId="2E4330CB" w14:textId="7389FE4C" w:rsidR="00333FCB" w:rsidRDefault="00333FCB" w:rsidP="004F08DE">
      <w:pPr>
        <w:pStyle w:val="SingleTxtG"/>
        <w:tabs>
          <w:tab w:val="left" w:pos="2268"/>
        </w:tabs>
        <w:ind w:left="2259" w:hanging="1125"/>
      </w:pPr>
      <w:r>
        <w:t>2.1.3.8</w:t>
      </w:r>
      <w:r>
        <w:tab/>
        <w:t>Dans la deuxième phrase, après « </w:t>
      </w:r>
      <w:r w:rsidRPr="00B30B66">
        <w:t>Les autres matières qui ne satisfont aux critères d</w:t>
      </w:r>
      <w:r>
        <w:t>’</w:t>
      </w:r>
      <w:r w:rsidRPr="00B30B66">
        <w:t>aucune autre classe » ajouter « ou d</w:t>
      </w:r>
      <w:r>
        <w:t>’</w:t>
      </w:r>
      <w:r w:rsidRPr="00B30B66">
        <w:t>aucune autre matière de la classe 9 ».</w:t>
      </w:r>
    </w:p>
    <w:p w14:paraId="62B3B057" w14:textId="77777777" w:rsidR="00333FCB" w:rsidRDefault="00333FCB" w:rsidP="00333FCB">
      <w:pPr>
        <w:pStyle w:val="SingleTxtG"/>
        <w:rPr>
          <w:i/>
          <w:iCs/>
        </w:rPr>
      </w:pPr>
      <w:r w:rsidRPr="0063230C">
        <w:rPr>
          <w:i/>
          <w:iCs/>
        </w:rPr>
        <w:t xml:space="preserve">(Document de référence : </w:t>
      </w:r>
      <w:r>
        <w:rPr>
          <w:i/>
          <w:iCs/>
        </w:rPr>
        <w:t>ECE/TRANS/WP.15/AC.1/2019/47</w:t>
      </w:r>
      <w:r w:rsidRPr="0063230C">
        <w:rPr>
          <w:i/>
          <w:iCs/>
        </w:rPr>
        <w:t>)</w:t>
      </w:r>
    </w:p>
    <w:p w14:paraId="2280D638" w14:textId="77777777" w:rsidR="00333FCB" w:rsidRDefault="00333FCB" w:rsidP="00333FCB">
      <w:pPr>
        <w:pStyle w:val="H23G"/>
      </w:pPr>
      <w:bookmarkStart w:id="7" w:name="_Hlk19865555"/>
      <w:r>
        <w:tab/>
      </w:r>
      <w:r>
        <w:tab/>
        <w:t>Chapitre 2.2</w:t>
      </w:r>
    </w:p>
    <w:bookmarkEnd w:id="7"/>
    <w:p w14:paraId="43A6E94D" w14:textId="12B94576" w:rsidR="00333FCB" w:rsidRDefault="00333FCB" w:rsidP="004F08DE">
      <w:pPr>
        <w:pStyle w:val="SingleTxtG"/>
        <w:tabs>
          <w:tab w:val="left" w:pos="2268"/>
        </w:tabs>
        <w:ind w:left="2259" w:hanging="1125"/>
      </w:pPr>
      <w:r>
        <w:t>2.2.2.3</w:t>
      </w:r>
      <w:r>
        <w:tab/>
        <w:t>Dans le tableau pour « </w:t>
      </w:r>
      <w:r w:rsidRPr="00D201E7">
        <w:t>Autres objets contenant du gaz sous pression</w:t>
      </w:r>
      <w:r>
        <w:t> », pour le code de classification 6F, ajouter la nouvelle rubrique suivante après celle pour le No ONU 3150 :</w:t>
      </w:r>
    </w:p>
    <w:p w14:paraId="75510955" w14:textId="77777777" w:rsidR="00333FCB" w:rsidRDefault="00333FCB" w:rsidP="00333FCB">
      <w:pPr>
        <w:pStyle w:val="SingleTxtG"/>
      </w:pPr>
      <w:r>
        <w:t xml:space="preserve">« 3358 </w:t>
      </w:r>
      <w:r w:rsidRPr="004248E4">
        <w:t>MACHINES FRIGORIFIQUES contenant un gaz liquéfié inflammable et non toxique</w:t>
      </w:r>
      <w:r>
        <w:t>».</w:t>
      </w:r>
    </w:p>
    <w:p w14:paraId="40E00454" w14:textId="77777777" w:rsidR="00333FCB" w:rsidRDefault="00333FCB" w:rsidP="00333FCB">
      <w:pPr>
        <w:pStyle w:val="SingleTxtG"/>
        <w:rPr>
          <w:i/>
          <w:iCs/>
        </w:rPr>
      </w:pPr>
      <w:r w:rsidRPr="0063230C">
        <w:rPr>
          <w:i/>
          <w:iCs/>
        </w:rPr>
        <w:t xml:space="preserve">(Document de référence : </w:t>
      </w:r>
      <w:r>
        <w:rPr>
          <w:i/>
          <w:iCs/>
        </w:rPr>
        <w:t>document informel INF.12</w:t>
      </w:r>
      <w:r w:rsidRPr="0063230C">
        <w:rPr>
          <w:i/>
          <w:iCs/>
        </w:rPr>
        <w:t>)</w:t>
      </w:r>
    </w:p>
    <w:p w14:paraId="6D12ED7E" w14:textId="23DA913B" w:rsidR="00333FCB" w:rsidRDefault="00333FCB" w:rsidP="00333FCB">
      <w:pPr>
        <w:pStyle w:val="SingleTxtG"/>
      </w:pPr>
      <w:r>
        <w:t>(RID/ADR :) 2.2.9.1.10.6</w:t>
      </w:r>
      <w:r>
        <w:tab/>
        <w:t>Remplacer « </w:t>
      </w:r>
      <w:r w:rsidRPr="003E158E">
        <w:t>non classés ailleurs dans l</w:t>
      </w:r>
      <w:r>
        <w:t>’</w:t>
      </w:r>
      <w:r w:rsidRPr="003E158E">
        <w:t>ADR</w:t>
      </w:r>
      <w:r>
        <w:t> » par « </w:t>
      </w:r>
      <w:r w:rsidRPr="003E158E">
        <w:t>ne satisfaisant aux critères de classement d</w:t>
      </w:r>
      <w:r>
        <w:t>’</w:t>
      </w:r>
      <w:r w:rsidRPr="003E158E">
        <w:t>aucune autre classe ou d</w:t>
      </w:r>
      <w:r>
        <w:t>’</w:t>
      </w:r>
      <w:r w:rsidRPr="003E158E">
        <w:t>aucune autre matière de la classe 9</w:t>
      </w:r>
      <w:r>
        <w:t> ».</w:t>
      </w:r>
    </w:p>
    <w:p w14:paraId="0A2DF8F5" w14:textId="77777777" w:rsidR="00333FCB" w:rsidRDefault="00333FCB" w:rsidP="00333FCB">
      <w:pPr>
        <w:pStyle w:val="SingleTxtG"/>
        <w:rPr>
          <w:i/>
          <w:iCs/>
        </w:rPr>
      </w:pPr>
      <w:r w:rsidRPr="0063230C">
        <w:rPr>
          <w:i/>
          <w:iCs/>
        </w:rPr>
        <w:t xml:space="preserve">(Document de référence : </w:t>
      </w:r>
      <w:r>
        <w:rPr>
          <w:i/>
          <w:iCs/>
        </w:rPr>
        <w:t>ECE/TRANS/WP.15/AC.1/2019/47</w:t>
      </w:r>
      <w:r w:rsidRPr="0063230C">
        <w:rPr>
          <w:i/>
          <w:iCs/>
        </w:rPr>
        <w:t>)</w:t>
      </w:r>
    </w:p>
    <w:p w14:paraId="20B47DFC" w14:textId="57FF4D9E" w:rsidR="00333FCB" w:rsidRPr="0069446C" w:rsidRDefault="00333FCB" w:rsidP="004F08DE">
      <w:pPr>
        <w:pStyle w:val="SingleTxtG"/>
        <w:tabs>
          <w:tab w:val="left" w:pos="2268"/>
        </w:tabs>
        <w:ind w:left="2259" w:hanging="1125"/>
        <w:rPr>
          <w:i/>
          <w:iCs/>
          <w:lang w:val="fr-FR"/>
        </w:rPr>
      </w:pPr>
      <w:r w:rsidRPr="0069446C">
        <w:rPr>
          <w:lang w:val="fr-FR"/>
        </w:rPr>
        <w:t>2.2.9.1.14 Nota</w:t>
      </w:r>
      <w:r w:rsidRPr="0069446C">
        <w:rPr>
          <w:lang w:val="fr-FR"/>
        </w:rPr>
        <w:tab/>
        <w:t>Dans la note de bas de page 18/15/11, supprimer « </w:t>
      </w:r>
      <w:r w:rsidRPr="0069446C">
        <w:rPr>
          <w:i/>
          <w:iCs/>
          <w:lang w:val="fr-FR"/>
        </w:rPr>
        <w:t>utilisé en tant qu</w:t>
      </w:r>
      <w:r>
        <w:rPr>
          <w:i/>
          <w:iCs/>
          <w:lang w:val="fr-FR"/>
        </w:rPr>
        <w:t>’</w:t>
      </w:r>
      <w:r w:rsidRPr="0069446C">
        <w:rPr>
          <w:i/>
          <w:iCs/>
          <w:lang w:val="fr-FR"/>
        </w:rPr>
        <w:t>agent de réfrigération</w:t>
      </w:r>
      <w:r w:rsidRPr="0069446C">
        <w:rPr>
          <w:lang w:val="fr-FR"/>
        </w:rPr>
        <w:t> ».</w:t>
      </w:r>
    </w:p>
    <w:p w14:paraId="4752021D" w14:textId="77777777" w:rsidR="00333FCB" w:rsidRPr="0069446C" w:rsidRDefault="00333FCB" w:rsidP="00333FCB">
      <w:pPr>
        <w:pStyle w:val="SingleTxtG"/>
        <w:rPr>
          <w:i/>
          <w:iCs/>
          <w:lang w:val="fr-FR"/>
        </w:rPr>
      </w:pPr>
      <w:r w:rsidRPr="0069446C">
        <w:rPr>
          <w:i/>
          <w:iCs/>
          <w:lang w:val="fr-FR"/>
        </w:rPr>
        <w:t xml:space="preserve">(Document de référence : </w:t>
      </w:r>
      <w:bookmarkStart w:id="8" w:name="_Hlk20294886"/>
      <w:r w:rsidRPr="0069446C">
        <w:rPr>
          <w:i/>
          <w:iCs/>
          <w:lang w:val="fr-FR"/>
        </w:rPr>
        <w:t>ECE/TRANS/WP.15/AC.1/2019/45</w:t>
      </w:r>
      <w:bookmarkEnd w:id="8"/>
      <w:r w:rsidRPr="0069446C">
        <w:rPr>
          <w:i/>
          <w:iCs/>
          <w:lang w:val="fr-FR"/>
        </w:rPr>
        <w:t>, proposition 2, telle que modifiée)</w:t>
      </w:r>
    </w:p>
    <w:p w14:paraId="3027FD02" w14:textId="77777777" w:rsidR="00333FCB" w:rsidRDefault="00333FCB" w:rsidP="00333FCB">
      <w:pPr>
        <w:pStyle w:val="H23G"/>
      </w:pPr>
      <w:r>
        <w:tab/>
      </w:r>
      <w:r>
        <w:tab/>
        <w:t>Chapitre 2.3</w:t>
      </w:r>
    </w:p>
    <w:p w14:paraId="092213D7" w14:textId="6F8D1760" w:rsidR="00333FCB" w:rsidRDefault="00333FCB" w:rsidP="00333FCB">
      <w:pPr>
        <w:pStyle w:val="SingleTxtG"/>
      </w:pPr>
      <w:r>
        <w:t>2.3.2</w:t>
      </w:r>
      <w:r>
        <w:tab/>
      </w:r>
      <w:r>
        <w:tab/>
      </w:r>
      <w:r w:rsidRPr="00F47E6B">
        <w:t>Dans le titre, remplacer «</w:t>
      </w:r>
      <w:r w:rsidR="002610B2">
        <w:t> </w:t>
      </w:r>
      <w:r w:rsidRPr="00F47E6B">
        <w:t>classe 4.1</w:t>
      </w:r>
      <w:r w:rsidR="002610B2">
        <w:t> </w:t>
      </w:r>
      <w:r w:rsidRPr="00F47E6B">
        <w:t>» par «</w:t>
      </w:r>
      <w:r w:rsidR="004F08DE">
        <w:t> </w:t>
      </w:r>
      <w:r w:rsidRPr="00F47E6B">
        <w:t>classe 1 et classe 4.1</w:t>
      </w:r>
      <w:r w:rsidR="004F08DE">
        <w:t> </w:t>
      </w:r>
      <w:r w:rsidRPr="00F47E6B">
        <w:t>».</w:t>
      </w:r>
    </w:p>
    <w:p w14:paraId="7B5FD7F9" w14:textId="322F46B7" w:rsidR="00333FCB" w:rsidRDefault="00333FCB" w:rsidP="00333FCB">
      <w:pPr>
        <w:pStyle w:val="SingleTxtG"/>
      </w:pPr>
      <w:r>
        <w:t>2.3.2.1</w:t>
      </w:r>
      <w:r>
        <w:tab/>
      </w:r>
      <w:r>
        <w:tab/>
        <w:t>Remplacer le texte actuel du 2.3.2.1 par</w:t>
      </w:r>
      <w:r w:rsidR="004F08DE">
        <w:t> </w:t>
      </w:r>
      <w:r>
        <w:t>:</w:t>
      </w:r>
    </w:p>
    <w:p w14:paraId="26ED667E" w14:textId="64A1D672" w:rsidR="00333FCB" w:rsidRDefault="00333FCB" w:rsidP="004F08DE">
      <w:pPr>
        <w:pStyle w:val="SingleTxtG"/>
        <w:tabs>
          <w:tab w:val="left" w:pos="2268"/>
        </w:tabs>
        <w:ind w:left="2259" w:hanging="1125"/>
      </w:pPr>
      <w:r>
        <w:t>«</w:t>
      </w:r>
      <w:r w:rsidR="004F08DE">
        <w:t> </w:t>
      </w:r>
      <w:r>
        <w:t>2.3.2.1</w:t>
      </w:r>
      <w:r>
        <w:tab/>
        <w:t>Afin de déterminer les caractéristiques de la nitrocellulose, l’épreuve de Bergmann-Junk ou l’épreuve au violet de méthyle figurant à l’appendice 10 du Manuel d’épreuves et de critères doivent être effectuées (voir dispositions spéciales 393 et 394, chap.</w:t>
      </w:r>
      <w:r w:rsidR="004F08DE">
        <w:t> </w:t>
      </w:r>
      <w:r>
        <w:t>3.3). En cas de doute quant au fait que la température d’inflammation de la nitrocellulose soit nettement supérieure à 132</w:t>
      </w:r>
      <w:r w:rsidR="004F08DE">
        <w:t> </w:t>
      </w:r>
      <w:r>
        <w:t>°C, dans le cas de l’épreuve de Bergmann-Junk, ou supérieure à 134,5</w:t>
      </w:r>
      <w:r w:rsidR="004F08DE">
        <w:t> </w:t>
      </w:r>
      <w:r>
        <w:t>°C, dans le cas de l’épreuve au violet de méthyle, il convient de soumettre, au préalable, la matière à l’épreuve visant à déterminer la température d’inflammation spontanée décrite au 2.3.2.5. Si la température d’inflammation est supérieure à 180</w:t>
      </w:r>
      <w:r w:rsidR="004F08DE">
        <w:t> </w:t>
      </w:r>
      <w:r>
        <w:t>°C pour les mélanges de nitrocellulose ou à 170</w:t>
      </w:r>
      <w:r w:rsidR="004F08DE">
        <w:t> </w:t>
      </w:r>
      <w:r>
        <w:t>°C pour la nitrocellulose plastifiée, l’épreuve de Bergmann-Junk ou l’épreuve violet de méthyle peuvent être effectuées en toute sécurité.</w:t>
      </w:r>
      <w:r w:rsidR="004F08DE">
        <w:t> </w:t>
      </w:r>
      <w:r>
        <w:t>».</w:t>
      </w:r>
    </w:p>
    <w:p w14:paraId="7C81AD23" w14:textId="77777777" w:rsidR="00333FCB" w:rsidRDefault="00333FCB" w:rsidP="00333FCB">
      <w:pPr>
        <w:pStyle w:val="SingleTxtG"/>
      </w:pPr>
      <w:r>
        <w:t>2.3.2.2</w:t>
      </w:r>
      <w:r>
        <w:tab/>
      </w:r>
      <w:r>
        <w:tab/>
      </w:r>
      <w:r w:rsidRPr="00E61F78">
        <w:rPr>
          <w:lang w:val="fr-FR"/>
        </w:rPr>
        <w:t>Supprimer</w:t>
      </w:r>
      <w:r>
        <w:t>.</w:t>
      </w:r>
    </w:p>
    <w:p w14:paraId="15DC0EDB" w14:textId="77777777" w:rsidR="00333FCB" w:rsidRDefault="00333FCB" w:rsidP="00333FCB">
      <w:pPr>
        <w:pStyle w:val="SingleTxtG"/>
      </w:pPr>
      <w:r>
        <w:t>2.3.2.3</w:t>
      </w:r>
      <w:r>
        <w:tab/>
      </w:r>
      <w:r>
        <w:tab/>
      </w:r>
      <w:r w:rsidRPr="00E61F78">
        <w:rPr>
          <w:lang w:val="fr-FR"/>
        </w:rPr>
        <w:t>Supprimer</w:t>
      </w:r>
      <w:r>
        <w:t>.</w:t>
      </w:r>
    </w:p>
    <w:p w14:paraId="363293D8" w14:textId="77777777" w:rsidR="00333FCB" w:rsidRDefault="00333FCB" w:rsidP="00333FCB">
      <w:pPr>
        <w:pStyle w:val="SingleTxtG"/>
      </w:pPr>
      <w:r>
        <w:t>2.3.2.4</w:t>
      </w:r>
      <w:r>
        <w:tab/>
      </w:r>
      <w:r>
        <w:tab/>
      </w:r>
      <w:r w:rsidRPr="00E61F78">
        <w:rPr>
          <w:lang w:val="fr-FR"/>
        </w:rPr>
        <w:t>Supprimer</w:t>
      </w:r>
      <w:r>
        <w:t>.</w:t>
      </w:r>
    </w:p>
    <w:p w14:paraId="4D5E865B" w14:textId="77777777" w:rsidR="00333FCB" w:rsidRDefault="00333FCB" w:rsidP="00333FCB">
      <w:pPr>
        <w:pStyle w:val="SingleTxtG"/>
      </w:pPr>
      <w:r>
        <w:t>2.3.2.5</w:t>
      </w:r>
      <w:r>
        <w:tab/>
      </w:r>
      <w:r>
        <w:tab/>
      </w:r>
      <w:r w:rsidRPr="00E61F78">
        <w:rPr>
          <w:lang w:val="fr-FR"/>
        </w:rPr>
        <w:t>Supprimer</w:t>
      </w:r>
      <w:r>
        <w:t>.</w:t>
      </w:r>
    </w:p>
    <w:p w14:paraId="3E553670" w14:textId="6CC51EC4" w:rsidR="00333FCB" w:rsidRDefault="00333FCB" w:rsidP="004F08DE">
      <w:pPr>
        <w:pStyle w:val="SingleTxtG"/>
        <w:tabs>
          <w:tab w:val="left" w:pos="2268"/>
        </w:tabs>
        <w:ind w:left="2259" w:hanging="1125"/>
      </w:pPr>
      <w:r>
        <w:t>2.3.2.6</w:t>
      </w:r>
      <w:r>
        <w:tab/>
        <w:t>Le 2.3.2.6 devient le 2.3.2.2. Dans le texte, remplacer «</w:t>
      </w:r>
      <w:r w:rsidR="004F08DE">
        <w:t> </w:t>
      </w:r>
      <w:r>
        <w:t>2.3.2.9 et 2.3.2.10</w:t>
      </w:r>
      <w:r w:rsidR="004F08DE">
        <w:t> </w:t>
      </w:r>
      <w:r>
        <w:t>» par «</w:t>
      </w:r>
      <w:r w:rsidR="004F08DE">
        <w:t> </w:t>
      </w:r>
      <w:r>
        <w:t>2.3.2.5</w:t>
      </w:r>
      <w:r w:rsidR="004F08DE">
        <w:t> </w:t>
      </w:r>
      <w:r>
        <w:t>».</w:t>
      </w:r>
    </w:p>
    <w:p w14:paraId="6616374F" w14:textId="6B41D29F" w:rsidR="00333FCB" w:rsidRDefault="00333FCB" w:rsidP="004F08DE">
      <w:pPr>
        <w:pStyle w:val="SingleTxtG"/>
        <w:tabs>
          <w:tab w:val="left" w:pos="2268"/>
        </w:tabs>
        <w:ind w:left="2259" w:hanging="1125"/>
      </w:pPr>
      <w:r>
        <w:t>2.3.2.7</w:t>
      </w:r>
      <w:r>
        <w:tab/>
      </w:r>
      <w:r w:rsidR="004F08DE">
        <w:t>Le</w:t>
      </w:r>
      <w:r>
        <w:t xml:space="preserve"> 2.3.2.7 devient le 2.3.2.3. Remplacer «</w:t>
      </w:r>
      <w:r w:rsidR="004F08DE">
        <w:t> </w:t>
      </w:r>
      <w:r>
        <w:t>Avant d’être séchées dans les conditions indiquées au 2.3.2.6 ci-dessus, les matières conformes au 2.3.2.2 ci-dessus sont [...]</w:t>
      </w:r>
      <w:r w:rsidR="004F08DE">
        <w:t> </w:t>
      </w:r>
      <w:r>
        <w:t>» par «</w:t>
      </w:r>
      <w:r w:rsidR="004F08DE">
        <w:t> </w:t>
      </w:r>
      <w:r>
        <w:t>Avant d’être séchée dans les conditions indiquées au 2.3.2.2 ci-dessus, la nitrocellulose plastifiée est [...]</w:t>
      </w:r>
      <w:r w:rsidR="004F08DE">
        <w:t> </w:t>
      </w:r>
      <w:r>
        <w:t>».</w:t>
      </w:r>
    </w:p>
    <w:p w14:paraId="7D54BC9E" w14:textId="778FCF2C" w:rsidR="00333FCB" w:rsidRDefault="00333FCB" w:rsidP="004F08DE">
      <w:pPr>
        <w:pStyle w:val="SingleTxtG"/>
        <w:tabs>
          <w:tab w:val="left" w:pos="2268"/>
        </w:tabs>
        <w:ind w:left="2259" w:hanging="1125"/>
      </w:pPr>
      <w:r>
        <w:t>2.3.2.8</w:t>
      </w:r>
      <w:r>
        <w:tab/>
        <w:t>Le 2.3.2.8 devient le 2.3.2.4. Remplacer «</w:t>
      </w:r>
      <w:r w:rsidR="004F08DE">
        <w:t> </w:t>
      </w:r>
      <w:r>
        <w:t>La nitrocellulose faiblement nitrée conforme au 2.3.2.1 ci</w:t>
      </w:r>
      <w:r w:rsidR="004F08DE">
        <w:t>-</w:t>
      </w:r>
      <w:r>
        <w:t xml:space="preserve">dessus, subit d’abord un séchage préalable dans les conditions indiquées au 2.3.2.7 </w:t>
      </w:r>
      <w:r w:rsidR="004F08DE">
        <w:t>ci-dessus </w:t>
      </w:r>
      <w:r>
        <w:t>;</w:t>
      </w:r>
      <w:r w:rsidR="004F08DE">
        <w:t> </w:t>
      </w:r>
      <w:r>
        <w:t>» par «</w:t>
      </w:r>
      <w:r w:rsidR="004F08DE">
        <w:t> </w:t>
      </w:r>
      <w:r>
        <w:t>La nitrocellulose faiblement nitrée subit d’abord un séchage préalable dans les conditions indiquées au 2.3.2.3 ci-dessus</w:t>
      </w:r>
      <w:r w:rsidR="004F08DE">
        <w:t> </w:t>
      </w:r>
      <w:r>
        <w:t>».</w:t>
      </w:r>
    </w:p>
    <w:p w14:paraId="36D50152" w14:textId="630BB6BB" w:rsidR="00333FCB" w:rsidRDefault="00333FCB" w:rsidP="004F08DE">
      <w:pPr>
        <w:pStyle w:val="SingleTxtG"/>
        <w:tabs>
          <w:tab w:val="left" w:pos="2268"/>
        </w:tabs>
        <w:ind w:left="2259" w:hanging="1125"/>
      </w:pPr>
      <w:r>
        <w:t>2.3.2.9</w:t>
      </w:r>
      <w:r>
        <w:tab/>
      </w:r>
      <w:r w:rsidRPr="00E61F78">
        <w:rPr>
          <w:lang w:val="fr-FR"/>
        </w:rPr>
        <w:t>Supprimer</w:t>
      </w:r>
      <w:r>
        <w:t>.</w:t>
      </w:r>
    </w:p>
    <w:p w14:paraId="24A06D73" w14:textId="77777777" w:rsidR="00333FCB" w:rsidRPr="00F47E6B" w:rsidRDefault="00333FCB" w:rsidP="00333FCB">
      <w:pPr>
        <w:pStyle w:val="SingleTxtG"/>
      </w:pPr>
      <w:r>
        <w:t>2.3.2.10</w:t>
      </w:r>
      <w:r>
        <w:tab/>
        <w:t>Le 2.3.2.10 devient le 2.3.2.5.</w:t>
      </w:r>
    </w:p>
    <w:p w14:paraId="39939345" w14:textId="77777777" w:rsidR="00333FCB" w:rsidRDefault="00333FCB" w:rsidP="00333FCB">
      <w:pPr>
        <w:pStyle w:val="SingleTxtG"/>
        <w:rPr>
          <w:i/>
          <w:iCs/>
        </w:rPr>
      </w:pPr>
      <w:r w:rsidRPr="0063230C">
        <w:rPr>
          <w:i/>
          <w:iCs/>
        </w:rPr>
        <w:t>(Document</w:t>
      </w:r>
      <w:r>
        <w:rPr>
          <w:i/>
          <w:iCs/>
        </w:rPr>
        <w:t>s</w:t>
      </w:r>
      <w:r w:rsidRPr="0063230C">
        <w:rPr>
          <w:i/>
          <w:iCs/>
        </w:rPr>
        <w:t xml:space="preserve"> de référence : </w:t>
      </w:r>
      <w:r>
        <w:rPr>
          <w:i/>
          <w:iCs/>
        </w:rPr>
        <w:t>ECE/TRANS/WP.15/AC.1/2019/28</w:t>
      </w:r>
      <w:r w:rsidRPr="0063230C">
        <w:rPr>
          <w:i/>
          <w:iCs/>
        </w:rPr>
        <w:t>)</w:t>
      </w:r>
    </w:p>
    <w:p w14:paraId="6D858446" w14:textId="77777777" w:rsidR="00333FCB" w:rsidRDefault="00333FCB" w:rsidP="00333FCB">
      <w:pPr>
        <w:pStyle w:val="H23G"/>
      </w:pPr>
      <w:r>
        <w:tab/>
      </w:r>
      <w:r>
        <w:tab/>
        <w:t>Chapitre 3.2, tableau A</w:t>
      </w:r>
    </w:p>
    <w:p w14:paraId="363052D6" w14:textId="77777777" w:rsidR="00333FCB" w:rsidRPr="00623EA7" w:rsidRDefault="00333FCB" w:rsidP="00333FCB">
      <w:pPr>
        <w:pStyle w:val="SingleTxtG"/>
      </w:pPr>
      <w:r>
        <w:t xml:space="preserve">(ADR :) Pour le No ONU 2383, </w:t>
      </w:r>
      <w:bookmarkStart w:id="9" w:name="_Hlk19638144"/>
      <w:r>
        <w:t>dans la colonne (16), supprimer « V8 » et dans la colonne (19) supprimer « S4 »</w:t>
      </w:r>
      <w:bookmarkEnd w:id="9"/>
      <w:r>
        <w:t>.</w:t>
      </w:r>
    </w:p>
    <w:p w14:paraId="76E6BAAC" w14:textId="77777777" w:rsidR="00333FCB" w:rsidRDefault="00333FCB" w:rsidP="00333FCB">
      <w:pPr>
        <w:pStyle w:val="SingleTxtG"/>
        <w:rPr>
          <w:i/>
          <w:iCs/>
        </w:rPr>
      </w:pPr>
      <w:r w:rsidRPr="0063230C">
        <w:rPr>
          <w:i/>
          <w:iCs/>
        </w:rPr>
        <w:t>(Document de référence : document informel INF.20)</w:t>
      </w:r>
    </w:p>
    <w:p w14:paraId="0C945E03" w14:textId="77777777" w:rsidR="00333FCB" w:rsidRDefault="00333FCB" w:rsidP="00333FCB">
      <w:pPr>
        <w:pStyle w:val="SingleTxtG"/>
      </w:pPr>
      <w:r>
        <w:t xml:space="preserve">(ADR :) Pour le No ONU 2522, </w:t>
      </w:r>
      <w:bookmarkStart w:id="10" w:name="_Hlk19638217"/>
      <w:r>
        <w:t>dans la colonne (16), insérer « V8 » et dans la colonne (19) insérer « S4 ».</w:t>
      </w:r>
      <w:bookmarkEnd w:id="10"/>
    </w:p>
    <w:p w14:paraId="32E74094" w14:textId="77777777" w:rsidR="00333FCB" w:rsidRDefault="00333FCB" w:rsidP="00333FCB">
      <w:pPr>
        <w:pStyle w:val="SingleTxtG"/>
        <w:rPr>
          <w:i/>
          <w:iCs/>
        </w:rPr>
      </w:pPr>
      <w:r w:rsidRPr="0063230C">
        <w:rPr>
          <w:i/>
          <w:iCs/>
        </w:rPr>
        <w:t>(Document de référence : document informel INF.20)</w:t>
      </w:r>
    </w:p>
    <w:p w14:paraId="6CA53D0A" w14:textId="33DE467F" w:rsidR="00333FCB" w:rsidRDefault="00333FCB" w:rsidP="00333FCB">
      <w:pPr>
        <w:pStyle w:val="SingleTxtG"/>
        <w:rPr>
          <w:lang w:val="fr-FR"/>
        </w:rPr>
      </w:pPr>
      <w:r>
        <w:rPr>
          <w:lang w:val="fr-FR"/>
        </w:rPr>
        <w:t>Pour le No ONU 2913, remplacer « (SCO-I ou SCO-II) » par « (SCO-I, SCO-II ou SCO</w:t>
      </w:r>
      <w:r w:rsidR="00CB6140">
        <w:rPr>
          <w:lang w:val="fr-FR"/>
        </w:rPr>
        <w:noBreakHyphen/>
      </w:r>
      <w:r>
        <w:rPr>
          <w:lang w:val="fr-FR"/>
        </w:rPr>
        <w:t xml:space="preserve">III) » </w:t>
      </w:r>
      <w:r w:rsidRPr="00070297">
        <w:t>dans la colonne (</w:t>
      </w:r>
      <w:r>
        <w:t>2</w:t>
      </w:r>
      <w:r w:rsidRPr="00070297">
        <w:t>)</w:t>
      </w:r>
      <w:r>
        <w:rPr>
          <w:lang w:val="fr-FR"/>
        </w:rPr>
        <w:t>.</w:t>
      </w:r>
    </w:p>
    <w:p w14:paraId="1A238938" w14:textId="77777777" w:rsidR="00333FCB" w:rsidRDefault="00333FCB" w:rsidP="00333FCB">
      <w:pPr>
        <w:pStyle w:val="SingleTxtG"/>
        <w:rPr>
          <w:i/>
          <w:iCs/>
        </w:rPr>
      </w:pPr>
      <w:r w:rsidRPr="0063230C">
        <w:rPr>
          <w:i/>
          <w:iCs/>
        </w:rPr>
        <w:t>(Document de référence : document informel INF.20)</w:t>
      </w:r>
    </w:p>
    <w:p w14:paraId="6053E210" w14:textId="77777777" w:rsidR="00333FCB" w:rsidRDefault="00333FCB" w:rsidP="00333FCB">
      <w:pPr>
        <w:pStyle w:val="H23G"/>
      </w:pPr>
      <w:r>
        <w:tab/>
      </w:r>
      <w:r>
        <w:tab/>
        <w:t>Chapitre 3.2, tableau B</w:t>
      </w:r>
    </w:p>
    <w:p w14:paraId="0D146CE9" w14:textId="77777777" w:rsidR="00333FCB" w:rsidRDefault="00333FCB" w:rsidP="00333FCB">
      <w:pPr>
        <w:pStyle w:val="SingleTxtG"/>
        <w:rPr>
          <w:lang w:val="fr-FR"/>
        </w:rPr>
      </w:pPr>
      <w:r>
        <w:rPr>
          <w:lang w:val="fr-FR"/>
        </w:rPr>
        <w:t xml:space="preserve">Pour </w:t>
      </w:r>
      <w:r w:rsidRPr="00ED3BAE">
        <w:rPr>
          <w:lang w:val="fr-FR"/>
        </w:rPr>
        <w:t>«</w:t>
      </w:r>
      <w:r>
        <w:rPr>
          <w:lang w:val="fr-FR"/>
        </w:rPr>
        <w:t> </w:t>
      </w:r>
      <w:r w:rsidRPr="00ED3BAE">
        <w:rPr>
          <w:lang w:val="fr-FR"/>
        </w:rPr>
        <w:t>MATIÈRES RADIOACTIVES, OBJETS CONTAMINÉS SUPERFICIELLEMENT (SCO-I ou SCO-II) non fissiles ou fissiles exceptés</w:t>
      </w:r>
      <w:r>
        <w:rPr>
          <w:lang w:val="fr-FR"/>
        </w:rPr>
        <w:t> </w:t>
      </w:r>
      <w:r w:rsidRPr="00ED3BAE">
        <w:rPr>
          <w:lang w:val="fr-FR"/>
        </w:rPr>
        <w:t>»</w:t>
      </w:r>
      <w:r>
        <w:rPr>
          <w:lang w:val="fr-FR"/>
        </w:rPr>
        <w:t>, remplacer « (SCO-I ou SCO-II) » par « (SCO-I, SCO-II ou SCO-III) ».</w:t>
      </w:r>
    </w:p>
    <w:p w14:paraId="63A2EC1A" w14:textId="77777777" w:rsidR="00333FCB" w:rsidRDefault="00333FCB" w:rsidP="00333FCB">
      <w:pPr>
        <w:pStyle w:val="SingleTxtG"/>
        <w:rPr>
          <w:i/>
          <w:iCs/>
        </w:rPr>
      </w:pPr>
      <w:r w:rsidRPr="0063230C">
        <w:rPr>
          <w:i/>
          <w:iCs/>
        </w:rPr>
        <w:t>(Document de référence : document informel INF.20)</w:t>
      </w:r>
    </w:p>
    <w:p w14:paraId="7C4889E4" w14:textId="77777777" w:rsidR="00333FCB" w:rsidRPr="001B58DC" w:rsidRDefault="00333FCB" w:rsidP="00333FCB">
      <w:pPr>
        <w:pStyle w:val="H23G"/>
      </w:pPr>
      <w:r>
        <w:tab/>
      </w:r>
      <w:r>
        <w:tab/>
      </w:r>
      <w:r w:rsidRPr="001B58DC">
        <w:t>Chapitre 4.1</w:t>
      </w:r>
    </w:p>
    <w:p w14:paraId="05DEF7FA" w14:textId="77777777" w:rsidR="00333FCB" w:rsidRPr="00A65E0D" w:rsidRDefault="00333FCB" w:rsidP="00333FCB">
      <w:pPr>
        <w:pStyle w:val="SingleTxtG"/>
        <w:tabs>
          <w:tab w:val="left" w:pos="2268"/>
        </w:tabs>
        <w:rPr>
          <w:lang w:val="fr-FR"/>
        </w:rPr>
      </w:pPr>
      <w:r w:rsidRPr="00A65E0D">
        <w:rPr>
          <w:lang w:val="fr-FR"/>
        </w:rPr>
        <w:t>4.1.4.1, P200 13) 2.4</w:t>
      </w:r>
      <w:r w:rsidRPr="00A65E0D">
        <w:rPr>
          <w:lang w:val="fr-FR"/>
        </w:rPr>
        <w:tab/>
        <w:t xml:space="preserve"> Remplacer « EN 11114-2:2013 » par « EN ISO 11114-2:2013 ».</w:t>
      </w:r>
    </w:p>
    <w:p w14:paraId="55DBE6F2" w14:textId="77777777" w:rsidR="00333FCB" w:rsidRPr="00A65E0D" w:rsidRDefault="00333FCB" w:rsidP="00333FCB">
      <w:pPr>
        <w:pStyle w:val="SingleTxtG"/>
        <w:spacing w:before="120"/>
        <w:rPr>
          <w:i/>
          <w:iCs/>
          <w:lang w:val="fr-FR"/>
        </w:rPr>
      </w:pPr>
      <w:r w:rsidRPr="00A65E0D">
        <w:rPr>
          <w:i/>
          <w:iCs/>
          <w:lang w:val="fr-FR"/>
        </w:rPr>
        <w:t>(Document de référence : document informel INF.50)</w:t>
      </w:r>
    </w:p>
    <w:p w14:paraId="7037A36F" w14:textId="77777777" w:rsidR="00333FCB" w:rsidRPr="00A65E0D" w:rsidRDefault="00333FCB" w:rsidP="00CB6140">
      <w:pPr>
        <w:pStyle w:val="SingleTxtG"/>
        <w:keepNext/>
        <w:tabs>
          <w:tab w:val="left" w:pos="2268"/>
        </w:tabs>
        <w:rPr>
          <w:lang w:val="fr-FR"/>
        </w:rPr>
      </w:pPr>
      <w:r w:rsidRPr="00A65E0D">
        <w:rPr>
          <w:lang w:val="fr-FR"/>
        </w:rPr>
        <w:t>4.1.6.15, dans le tableau :</w:t>
      </w:r>
    </w:p>
    <w:p w14:paraId="2185CB24" w14:textId="77777777" w:rsidR="00333FCB" w:rsidRPr="00A65E0D" w:rsidRDefault="00333FCB" w:rsidP="00CB6140">
      <w:pPr>
        <w:pStyle w:val="Bullet1G"/>
        <w:keepNext/>
        <w:numPr>
          <w:ilvl w:val="0"/>
          <w:numId w:val="1"/>
        </w:numPr>
        <w:rPr>
          <w:lang w:val="fr-FR"/>
        </w:rPr>
      </w:pPr>
      <w:r w:rsidRPr="00A65E0D">
        <w:rPr>
          <w:lang w:val="fr-FR"/>
        </w:rPr>
        <w:t>Pour « 4.1.6.2 », dans la deuxième colonne, remplacer « ISO 11114-2:2013 » par « EN ISO 11114-2:2013 ».</w:t>
      </w:r>
    </w:p>
    <w:p w14:paraId="24CEFA9F" w14:textId="77777777" w:rsidR="00333FCB" w:rsidRPr="00A65E0D" w:rsidRDefault="00333FCB" w:rsidP="00002171">
      <w:pPr>
        <w:pStyle w:val="Bullet1G"/>
        <w:rPr>
          <w:lang w:val="fr-FR"/>
        </w:rPr>
      </w:pPr>
      <w:r w:rsidRPr="00A65E0D">
        <w:rPr>
          <w:lang w:val="fr-FR"/>
        </w:rPr>
        <w:t>Pour « 4.1.6.4 », dans la deuxième colonne, remplacer « ISO 11621:1997 » par « ISO 11621:1997 ou EN ISO 11621:2005 ». Supprimer le Nota dans la troisième colonne.</w:t>
      </w:r>
    </w:p>
    <w:p w14:paraId="337177BC" w14:textId="1E3A9C99" w:rsidR="00333FCB" w:rsidRPr="00A65E0D" w:rsidRDefault="00333FCB" w:rsidP="00333FCB">
      <w:pPr>
        <w:pStyle w:val="Bullet1G"/>
        <w:numPr>
          <w:ilvl w:val="0"/>
          <w:numId w:val="1"/>
        </w:numPr>
        <w:rPr>
          <w:lang w:val="fr-FR"/>
        </w:rPr>
      </w:pPr>
      <w:r w:rsidRPr="00A65E0D">
        <w:rPr>
          <w:lang w:val="fr-FR"/>
        </w:rPr>
        <w:t>Pour « 4.1.6.8 Robinets munis d</w:t>
      </w:r>
      <w:r>
        <w:rPr>
          <w:lang w:val="fr-FR"/>
        </w:rPr>
        <w:t>’</w:t>
      </w:r>
      <w:r w:rsidRPr="00A65E0D">
        <w:rPr>
          <w:lang w:val="fr-FR"/>
        </w:rPr>
        <w:t>une protection intégrée » : Dans la première ligne, supprimer le Nota dans la troisième colonne. Dans la dernière ligne, dans la deuxième colonne, remplacer « EN ISO 17879:2017 » par « Annexe A de EN ISO 17879:2017 ».</w:t>
      </w:r>
    </w:p>
    <w:p w14:paraId="230B3633" w14:textId="77777777" w:rsidR="00333FCB" w:rsidRPr="00A65E0D" w:rsidRDefault="00333FCB" w:rsidP="00333FCB">
      <w:pPr>
        <w:pStyle w:val="Bullet1G"/>
        <w:numPr>
          <w:ilvl w:val="0"/>
          <w:numId w:val="1"/>
        </w:numPr>
        <w:rPr>
          <w:lang w:val="fr-FR"/>
        </w:rPr>
      </w:pPr>
      <w:r w:rsidRPr="00A65E0D">
        <w:rPr>
          <w:lang w:val="fr-FR"/>
        </w:rPr>
        <w:t>Pour « 4.1.6.8 b) et c) », Remplacer « ISO 11117:1998 ou ISO 11117:2008 + Cor 1:2009 » par « </w:t>
      </w:r>
      <w:r w:rsidRPr="00A65E0D">
        <w:rPr>
          <w:bCs/>
          <w:lang w:val="fr-FR"/>
        </w:rPr>
        <w:t xml:space="preserve">ISO 11117:1998 ou </w:t>
      </w:r>
      <w:r w:rsidRPr="00A65E0D">
        <w:rPr>
          <w:lang w:val="fr-FR"/>
        </w:rPr>
        <w:t>EN</w:t>
      </w:r>
      <w:r w:rsidRPr="00A65E0D">
        <w:rPr>
          <w:b/>
          <w:bCs/>
          <w:lang w:val="fr-FR"/>
        </w:rPr>
        <w:t xml:space="preserve"> </w:t>
      </w:r>
      <w:r w:rsidRPr="00A65E0D">
        <w:rPr>
          <w:bCs/>
          <w:lang w:val="fr-FR"/>
        </w:rPr>
        <w:t>ISO 11117:2008 + Cor 1:2009 ».</w:t>
      </w:r>
      <w:r w:rsidRPr="00A65E0D">
        <w:rPr>
          <w:lang w:val="fr-FR"/>
        </w:rPr>
        <w:t xml:space="preserve"> </w:t>
      </w:r>
    </w:p>
    <w:p w14:paraId="002B0046" w14:textId="77777777" w:rsidR="00333FCB" w:rsidRPr="00A65E0D" w:rsidRDefault="00333FCB" w:rsidP="00333FCB">
      <w:pPr>
        <w:pStyle w:val="SingleTxtG"/>
        <w:spacing w:before="120"/>
        <w:rPr>
          <w:i/>
          <w:iCs/>
          <w:lang w:val="fr-FR"/>
        </w:rPr>
      </w:pPr>
      <w:r w:rsidRPr="00A65E0D">
        <w:rPr>
          <w:i/>
          <w:iCs/>
          <w:lang w:val="fr-FR"/>
        </w:rPr>
        <w:t>(Document de référence : document informel INF.50, tel que modifié)</w:t>
      </w:r>
    </w:p>
    <w:p w14:paraId="0CB62452" w14:textId="71433440" w:rsidR="00333FCB" w:rsidRPr="001B58DC" w:rsidRDefault="00333FCB" w:rsidP="00333FCB">
      <w:pPr>
        <w:pStyle w:val="SingleTxtG"/>
        <w:tabs>
          <w:tab w:val="left" w:pos="2268"/>
        </w:tabs>
        <w:ind w:left="2259" w:hanging="1125"/>
      </w:pPr>
      <w:r w:rsidRPr="001B58DC">
        <w:t>4.1.8.6</w:t>
      </w:r>
      <w:r w:rsidRPr="001B58DC">
        <w:tab/>
        <w:t>À la fin de la phrase, ajouter « , ni au No ONU 3549 DÉCHETS MÉDICAUX INFECTIEUX POUR L</w:t>
      </w:r>
      <w:r>
        <w:t>’</w:t>
      </w:r>
      <w:r w:rsidRPr="001B58DC">
        <w:t>HOMME, CATÉGORIE A ou DÉCHETS MÉDICAUX INFECTIEUX POUR LES ANIMAUX, CATÉGORIE A ».</w:t>
      </w:r>
    </w:p>
    <w:p w14:paraId="429C1BAE" w14:textId="77777777" w:rsidR="00333FCB" w:rsidRDefault="00333FCB" w:rsidP="00333FCB">
      <w:pPr>
        <w:pStyle w:val="SingleTxtG"/>
        <w:rPr>
          <w:i/>
          <w:iCs/>
        </w:rPr>
      </w:pPr>
      <w:r w:rsidRPr="001B58DC">
        <w:rPr>
          <w:i/>
          <w:iCs/>
        </w:rPr>
        <w:t>(Document de référence : document informel INF.30, proposition 1)</w:t>
      </w:r>
    </w:p>
    <w:p w14:paraId="79DECBC6" w14:textId="77777777" w:rsidR="00333FCB" w:rsidRPr="0069446C" w:rsidRDefault="00333FCB" w:rsidP="00333FCB">
      <w:pPr>
        <w:pStyle w:val="H23G"/>
        <w:rPr>
          <w:lang w:val="fr-FR"/>
        </w:rPr>
      </w:pPr>
      <w:r>
        <w:rPr>
          <w:lang w:val="fr-FR"/>
        </w:rPr>
        <w:tab/>
      </w:r>
      <w:r>
        <w:rPr>
          <w:lang w:val="fr-FR"/>
        </w:rPr>
        <w:tab/>
      </w:r>
      <w:r w:rsidRPr="0069446C">
        <w:rPr>
          <w:lang w:val="fr-FR"/>
        </w:rPr>
        <w:t>Chapitre 5.5</w:t>
      </w:r>
    </w:p>
    <w:p w14:paraId="733C5939" w14:textId="3A386B58" w:rsidR="00333FCB" w:rsidRPr="0069446C" w:rsidRDefault="00333FCB" w:rsidP="004F08DE">
      <w:pPr>
        <w:pStyle w:val="SingleTxtG"/>
        <w:tabs>
          <w:tab w:val="left" w:pos="2268"/>
        </w:tabs>
        <w:ind w:left="2259" w:hanging="1125"/>
        <w:rPr>
          <w:lang w:val="fr-FR"/>
        </w:rPr>
      </w:pPr>
      <w:r w:rsidRPr="0069446C">
        <w:rPr>
          <w:lang w:val="fr-FR"/>
        </w:rPr>
        <w:t>5.5.3</w:t>
      </w:r>
      <w:r w:rsidRPr="0069446C">
        <w:rPr>
          <w:lang w:val="fr-FR"/>
        </w:rPr>
        <w:tab/>
        <w:t>Dans le titre, remplacer « applicables aux colis » par « applicables au transport de neige carbonique (No ONU 1845) ainsi qu</w:t>
      </w:r>
      <w:r>
        <w:rPr>
          <w:lang w:val="fr-FR"/>
        </w:rPr>
        <w:t>’</w:t>
      </w:r>
      <w:r w:rsidRPr="0069446C">
        <w:rPr>
          <w:lang w:val="fr-FR"/>
        </w:rPr>
        <w:t>aux colis ».</w:t>
      </w:r>
    </w:p>
    <w:p w14:paraId="6D37C7EE" w14:textId="77777777" w:rsidR="00333FCB" w:rsidRPr="0069446C" w:rsidRDefault="00333FCB" w:rsidP="004F08DE">
      <w:pPr>
        <w:pStyle w:val="SingleTxtG"/>
        <w:tabs>
          <w:tab w:val="left" w:pos="2268"/>
        </w:tabs>
        <w:ind w:left="2259" w:hanging="1125"/>
        <w:rPr>
          <w:lang w:val="fr-FR"/>
        </w:rPr>
      </w:pPr>
      <w:r w:rsidRPr="0069446C">
        <w:rPr>
          <w:lang w:val="fr-FR"/>
        </w:rPr>
        <w:t>5.5.3.2.1</w:t>
      </w:r>
      <w:r w:rsidRPr="0069446C">
        <w:rPr>
          <w:lang w:val="fr-FR"/>
        </w:rPr>
        <w:tab/>
        <w:t>Au début, après « conteneurs » insérer « dans lesquels est transportée de la neige carbonique (No ONU 1845) ou ».</w:t>
      </w:r>
    </w:p>
    <w:p w14:paraId="0FFDE8C7" w14:textId="77777777" w:rsidR="00333FCB" w:rsidRPr="0069446C" w:rsidRDefault="00333FCB" w:rsidP="004F08DE">
      <w:pPr>
        <w:pStyle w:val="SingleTxtG"/>
        <w:tabs>
          <w:tab w:val="left" w:pos="2268"/>
        </w:tabs>
        <w:ind w:left="2259" w:hanging="1125"/>
        <w:rPr>
          <w:lang w:val="fr-FR"/>
        </w:rPr>
      </w:pPr>
      <w:r w:rsidRPr="0069446C">
        <w:rPr>
          <w:lang w:val="fr-FR"/>
        </w:rPr>
        <w:t>5.5.3.2.4</w:t>
      </w:r>
      <w:r w:rsidRPr="0069446C">
        <w:rPr>
          <w:lang w:val="fr-FR"/>
        </w:rPr>
        <w:tab/>
        <w:t>Après « conteneurs » insérer « dans lesquels est transportée de la neige carbonique (No ONU 1845) ou ».</w:t>
      </w:r>
    </w:p>
    <w:p w14:paraId="1AD7E2C0" w14:textId="01BB3077" w:rsidR="00333FCB" w:rsidRPr="0069446C" w:rsidRDefault="00333FCB" w:rsidP="004F08DE">
      <w:pPr>
        <w:pStyle w:val="SingleTxtG"/>
        <w:tabs>
          <w:tab w:val="left" w:pos="2268"/>
        </w:tabs>
        <w:ind w:left="2259" w:hanging="1125"/>
        <w:rPr>
          <w:lang w:val="fr-FR"/>
        </w:rPr>
      </w:pPr>
      <w:r w:rsidRPr="0069446C">
        <w:rPr>
          <w:lang w:val="fr-FR"/>
        </w:rPr>
        <w:t>5.5.3.3</w:t>
      </w:r>
      <w:r w:rsidRPr="0069446C">
        <w:rPr>
          <w:lang w:val="fr-FR"/>
        </w:rPr>
        <w:tab/>
      </w:r>
      <w:r w:rsidRPr="0069446C">
        <w:rPr>
          <w:lang w:val="fr-FR"/>
        </w:rPr>
        <w:tab/>
        <w:t>Dans le titre, après « colis contenant » insérer « de la neige carbonique (No</w:t>
      </w:r>
      <w:r w:rsidR="00CB6140">
        <w:rPr>
          <w:lang w:val="fr-FR"/>
        </w:rPr>
        <w:t> </w:t>
      </w:r>
      <w:r w:rsidRPr="0069446C">
        <w:rPr>
          <w:lang w:val="fr-FR"/>
        </w:rPr>
        <w:t>ONU 1845) ou ».</w:t>
      </w:r>
    </w:p>
    <w:p w14:paraId="6722AC06" w14:textId="77777777" w:rsidR="00333FCB" w:rsidRPr="0069446C" w:rsidRDefault="00333FCB" w:rsidP="004F08DE">
      <w:pPr>
        <w:pStyle w:val="SingleTxtG"/>
        <w:tabs>
          <w:tab w:val="left" w:pos="2268"/>
        </w:tabs>
        <w:ind w:left="2259" w:hanging="1125"/>
        <w:rPr>
          <w:lang w:val="fr-FR"/>
        </w:rPr>
      </w:pPr>
      <w:r w:rsidRPr="0069446C">
        <w:rPr>
          <w:lang w:val="fr-FR"/>
        </w:rPr>
        <w:t>5.5.3.3.3</w:t>
      </w:r>
      <w:r w:rsidRPr="0069446C">
        <w:rPr>
          <w:lang w:val="fr-FR"/>
        </w:rPr>
        <w:tab/>
        <w:t xml:space="preserve">Après « Les </w:t>
      </w:r>
      <w:r w:rsidRPr="00CB6140">
        <w:rPr>
          <w:spacing w:val="-2"/>
          <w:lang w:val="fr-FR"/>
        </w:rPr>
        <w:t>colis contenant » insérer « de la neige carbonique (No ONU</w:t>
      </w:r>
      <w:r w:rsidRPr="0069446C">
        <w:rPr>
          <w:lang w:val="fr-FR"/>
        </w:rPr>
        <w:t xml:space="preserve"> 1845) ou ».</w:t>
      </w:r>
    </w:p>
    <w:p w14:paraId="382E5EF0" w14:textId="5987E411" w:rsidR="00333FCB" w:rsidRPr="0069446C" w:rsidRDefault="00333FCB" w:rsidP="004F08DE">
      <w:pPr>
        <w:pStyle w:val="SingleTxtG"/>
        <w:tabs>
          <w:tab w:val="left" w:pos="2268"/>
        </w:tabs>
        <w:ind w:left="2259" w:hanging="1125"/>
        <w:rPr>
          <w:lang w:val="fr-FR"/>
        </w:rPr>
      </w:pPr>
      <w:r w:rsidRPr="0069446C">
        <w:rPr>
          <w:lang w:val="fr-FR"/>
        </w:rPr>
        <w:t>5.5.3.4</w:t>
      </w:r>
      <w:r w:rsidRPr="0069446C">
        <w:rPr>
          <w:lang w:val="fr-FR"/>
        </w:rPr>
        <w:tab/>
      </w:r>
      <w:r w:rsidRPr="0069446C">
        <w:rPr>
          <w:lang w:val="fr-FR"/>
        </w:rPr>
        <w:tab/>
        <w:t>Dans le titre, après « colis contenant » insérer « de la neige carbonique (No</w:t>
      </w:r>
      <w:r w:rsidR="00CB6140">
        <w:rPr>
          <w:lang w:val="fr-FR"/>
        </w:rPr>
        <w:t> </w:t>
      </w:r>
      <w:r w:rsidRPr="0069446C">
        <w:rPr>
          <w:lang w:val="fr-FR"/>
        </w:rPr>
        <w:t>ONU 1845) ou ».</w:t>
      </w:r>
    </w:p>
    <w:p w14:paraId="65FCE138" w14:textId="20C1B1A7" w:rsidR="00333FCB" w:rsidRPr="0069446C" w:rsidRDefault="00333FCB" w:rsidP="004F08DE">
      <w:pPr>
        <w:pStyle w:val="SingleTxtG"/>
        <w:tabs>
          <w:tab w:val="left" w:pos="2268"/>
        </w:tabs>
        <w:ind w:left="2259" w:hanging="1125"/>
        <w:rPr>
          <w:lang w:val="fr-FR"/>
        </w:rPr>
      </w:pPr>
      <w:r w:rsidRPr="0069446C">
        <w:rPr>
          <w:lang w:val="fr-FR"/>
        </w:rPr>
        <w:t>5.5.3.4.1</w:t>
      </w:r>
      <w:r w:rsidRPr="0069446C">
        <w:rPr>
          <w:lang w:val="fr-FR"/>
        </w:rPr>
        <w:tab/>
        <w:t xml:space="preserve">Au début de la première phrase, </w:t>
      </w:r>
      <w:r>
        <w:rPr>
          <w:lang w:val="fr-FR"/>
        </w:rPr>
        <w:t>remplacer « Les colis » par</w:t>
      </w:r>
      <w:r w:rsidRPr="0069446C">
        <w:rPr>
          <w:lang w:val="fr-FR"/>
        </w:rPr>
        <w:t xml:space="preserve"> « Les colis contenant de la neige carbonique (No ONU 1845) en tant qu</w:t>
      </w:r>
      <w:r>
        <w:rPr>
          <w:lang w:val="fr-FR"/>
        </w:rPr>
        <w:t>’</w:t>
      </w:r>
      <w:r w:rsidRPr="0069446C">
        <w:rPr>
          <w:lang w:val="fr-FR"/>
        </w:rPr>
        <w:t xml:space="preserve">envoi doivent porter la mention </w:t>
      </w:r>
      <w:r w:rsidR="00CB6140">
        <w:rPr>
          <w:lang w:val="fr-FR"/>
        </w:rPr>
        <w:t>“</w:t>
      </w:r>
      <w:r w:rsidRPr="0069446C">
        <w:rPr>
          <w:lang w:val="fr-FR"/>
        </w:rPr>
        <w:t>DIOXYDE DE CARBONE SOLIDE</w:t>
      </w:r>
      <w:r w:rsidR="00CB6140">
        <w:rPr>
          <w:lang w:val="fr-FR"/>
        </w:rPr>
        <w:t>”</w:t>
      </w:r>
      <w:r w:rsidRPr="0069446C">
        <w:rPr>
          <w:lang w:val="fr-FR"/>
        </w:rPr>
        <w:t xml:space="preserve"> ou </w:t>
      </w:r>
      <w:r w:rsidR="00CB6140">
        <w:rPr>
          <w:lang w:val="fr-FR"/>
        </w:rPr>
        <w:t>“</w:t>
      </w:r>
      <w:r w:rsidRPr="0069446C">
        <w:rPr>
          <w:lang w:val="fr-FR"/>
        </w:rPr>
        <w:t>NEIGE CARBONIQUE</w:t>
      </w:r>
      <w:r w:rsidR="00CB6140">
        <w:rPr>
          <w:lang w:val="fr-FR"/>
        </w:rPr>
        <w:t>”</w:t>
      </w:r>
      <w:r w:rsidRPr="0069446C">
        <w:rPr>
          <w:lang w:val="fr-FR"/>
        </w:rPr>
        <w:t> ;</w:t>
      </w:r>
      <w:r>
        <w:rPr>
          <w:lang w:val="fr-FR"/>
        </w:rPr>
        <w:t xml:space="preserve"> les colis</w:t>
      </w:r>
      <w:r w:rsidRPr="0069446C">
        <w:rPr>
          <w:lang w:val="fr-FR"/>
        </w:rPr>
        <w:t> ».</w:t>
      </w:r>
    </w:p>
    <w:p w14:paraId="31591EDA" w14:textId="77777777" w:rsidR="00333FCB" w:rsidRPr="0069446C" w:rsidRDefault="00333FCB" w:rsidP="004F08DE">
      <w:pPr>
        <w:pStyle w:val="SingleTxtG"/>
        <w:tabs>
          <w:tab w:val="left" w:pos="2268"/>
        </w:tabs>
        <w:ind w:left="2259" w:hanging="1125"/>
        <w:rPr>
          <w:lang w:val="fr-FR"/>
        </w:rPr>
      </w:pPr>
      <w:r w:rsidRPr="0069446C">
        <w:rPr>
          <w:lang w:val="fr-FR"/>
        </w:rPr>
        <w:t>5.5.3.6.1</w:t>
      </w:r>
      <w:r w:rsidRPr="0069446C">
        <w:rPr>
          <w:lang w:val="fr-FR"/>
        </w:rPr>
        <w:tab/>
        <w:t>Au début, après « contenant », insérer « de la neige carbonique (No ONU 1845) ou ».</w:t>
      </w:r>
    </w:p>
    <w:p w14:paraId="43014E30" w14:textId="77777777" w:rsidR="00333FCB" w:rsidRPr="0069446C" w:rsidRDefault="00333FCB" w:rsidP="004F08DE">
      <w:pPr>
        <w:pStyle w:val="SingleTxtG"/>
        <w:tabs>
          <w:tab w:val="left" w:pos="2268"/>
        </w:tabs>
        <w:ind w:left="2259" w:hanging="1125"/>
        <w:rPr>
          <w:lang w:val="fr-FR"/>
        </w:rPr>
      </w:pPr>
      <w:r w:rsidRPr="0069446C">
        <w:rPr>
          <w:lang w:val="fr-FR"/>
        </w:rPr>
        <w:t>5.5.3.6.1 a)</w:t>
      </w:r>
      <w:r w:rsidRPr="0069446C">
        <w:rPr>
          <w:lang w:val="fr-FR"/>
        </w:rPr>
        <w:tab/>
        <w:t>Après « concentrations nocives » insérer « de neige carbonique, ».</w:t>
      </w:r>
    </w:p>
    <w:p w14:paraId="24215BBC" w14:textId="77777777" w:rsidR="00333FCB" w:rsidRPr="0069446C" w:rsidRDefault="00333FCB" w:rsidP="004F08DE">
      <w:pPr>
        <w:pStyle w:val="SingleTxtG"/>
        <w:tabs>
          <w:tab w:val="left" w:pos="2268"/>
        </w:tabs>
        <w:ind w:left="2259" w:hanging="1125"/>
        <w:rPr>
          <w:lang w:val="fr-FR"/>
        </w:rPr>
      </w:pPr>
      <w:r w:rsidRPr="0069446C">
        <w:rPr>
          <w:lang w:val="fr-FR"/>
        </w:rPr>
        <w:t>5.5.3.6.1 b)</w:t>
      </w:r>
      <w:r w:rsidRPr="0069446C">
        <w:rPr>
          <w:lang w:val="fr-FR"/>
        </w:rPr>
        <w:tab/>
        <w:t>Au début, ajouter « La neige carbonique, ».</w:t>
      </w:r>
    </w:p>
    <w:p w14:paraId="2EC8FC09" w14:textId="56BFC12A" w:rsidR="00333FCB" w:rsidRPr="0069446C" w:rsidRDefault="00333FCB" w:rsidP="004F08DE">
      <w:pPr>
        <w:pStyle w:val="SingleTxtG"/>
        <w:tabs>
          <w:tab w:val="left" w:pos="2268"/>
        </w:tabs>
        <w:ind w:left="2259" w:hanging="1125"/>
        <w:rPr>
          <w:lang w:val="fr-FR"/>
        </w:rPr>
      </w:pPr>
      <w:r w:rsidRPr="0069446C">
        <w:rPr>
          <w:lang w:val="fr-FR"/>
        </w:rPr>
        <w:t>5.5.3.7.1</w:t>
      </w:r>
      <w:r w:rsidRPr="0069446C">
        <w:rPr>
          <w:lang w:val="fr-FR"/>
        </w:rPr>
        <w:tab/>
        <w:t>Au début, après « ayant contenu », insérer « de la neige carbonique (No</w:t>
      </w:r>
      <w:r w:rsidR="00CB6140">
        <w:rPr>
          <w:lang w:val="fr-FR"/>
        </w:rPr>
        <w:t> </w:t>
      </w:r>
      <w:r w:rsidRPr="0069446C">
        <w:rPr>
          <w:lang w:val="fr-FR"/>
        </w:rPr>
        <w:t>ONU</w:t>
      </w:r>
      <w:r w:rsidR="00CB6140">
        <w:rPr>
          <w:lang w:val="fr-FR"/>
        </w:rPr>
        <w:t> </w:t>
      </w:r>
      <w:r w:rsidRPr="0069446C">
        <w:rPr>
          <w:lang w:val="fr-FR"/>
        </w:rPr>
        <w:t>1845) ou ».</w:t>
      </w:r>
    </w:p>
    <w:p w14:paraId="76A6208B" w14:textId="211086F0" w:rsidR="00CB6140" w:rsidRDefault="00333FCB" w:rsidP="00CB6140">
      <w:pPr>
        <w:pStyle w:val="SingleTxtG"/>
        <w:tabs>
          <w:tab w:val="left" w:pos="2268"/>
        </w:tabs>
        <w:ind w:left="2259" w:hanging="1125"/>
        <w:rPr>
          <w:lang w:val="fr-FR"/>
        </w:rPr>
      </w:pPr>
      <w:r w:rsidRPr="0069446C">
        <w:rPr>
          <w:lang w:val="fr-FR"/>
        </w:rPr>
        <w:t xml:space="preserve">5.5.3.7.1 b) </w:t>
      </w:r>
      <w:r w:rsidRPr="0069446C">
        <w:rPr>
          <w:lang w:val="fr-FR"/>
        </w:rPr>
        <w:tab/>
        <w:t xml:space="preserve">Avant « des mots </w:t>
      </w:r>
      <w:r w:rsidR="002610B2">
        <w:rPr>
          <w:lang w:val="fr-FR"/>
        </w:rPr>
        <w:t>“</w:t>
      </w:r>
      <w:r w:rsidRPr="0069446C">
        <w:rPr>
          <w:lang w:val="fr-FR"/>
        </w:rPr>
        <w:t>AGENT DE REFRIGERATION</w:t>
      </w:r>
      <w:r w:rsidR="002610B2">
        <w:rPr>
          <w:lang w:val="fr-FR"/>
        </w:rPr>
        <w:t>”</w:t>
      </w:r>
      <w:r w:rsidRPr="0069446C">
        <w:rPr>
          <w:lang w:val="fr-FR"/>
        </w:rPr>
        <w:t xml:space="preserve">, insérer </w:t>
      </w:r>
      <w:r w:rsidR="002610B2">
        <w:rPr>
          <w:lang w:val="fr-FR"/>
        </w:rPr>
        <w:t>“</w:t>
      </w:r>
      <w:r w:rsidRPr="0069446C">
        <w:rPr>
          <w:lang w:val="fr-FR"/>
        </w:rPr>
        <w:t>, le cas échéant,</w:t>
      </w:r>
      <w:r w:rsidR="002610B2">
        <w:rPr>
          <w:lang w:val="fr-FR"/>
        </w:rPr>
        <w:t>”</w:t>
      </w:r>
      <w:r w:rsidRPr="0069446C">
        <w:rPr>
          <w:lang w:val="fr-FR"/>
        </w:rPr>
        <w:t xml:space="preserve">. Supprimer </w:t>
      </w:r>
      <w:r w:rsidR="002610B2">
        <w:rPr>
          <w:lang w:val="fr-FR"/>
        </w:rPr>
        <w:t>“</w:t>
      </w:r>
      <w:r w:rsidRPr="0069446C">
        <w:rPr>
          <w:lang w:val="fr-FR"/>
        </w:rPr>
        <w:t>selon le cas</w:t>
      </w:r>
      <w:r w:rsidR="002610B2">
        <w:rPr>
          <w:lang w:val="fr-FR"/>
        </w:rPr>
        <w:t>”</w:t>
      </w:r>
      <w:r w:rsidRPr="0069446C">
        <w:rPr>
          <w:lang w:val="fr-FR"/>
        </w:rPr>
        <w:t xml:space="preserve"> avant </w:t>
      </w:r>
      <w:r w:rsidR="002610B2">
        <w:rPr>
          <w:lang w:val="fr-FR"/>
        </w:rPr>
        <w:t>“</w:t>
      </w:r>
      <w:r w:rsidRPr="0069446C">
        <w:rPr>
          <w:lang w:val="fr-FR"/>
        </w:rPr>
        <w:t>dans une langue officielle</w:t>
      </w:r>
      <w:r w:rsidR="002610B2">
        <w:rPr>
          <w:lang w:val="fr-FR"/>
        </w:rPr>
        <w:t>”</w:t>
      </w:r>
      <w:r w:rsidR="002610B2" w:rsidRPr="0069446C">
        <w:rPr>
          <w:lang w:val="fr-FR"/>
        </w:rPr>
        <w:t> »</w:t>
      </w:r>
      <w:r w:rsidR="002610B2">
        <w:rPr>
          <w:lang w:val="fr-FR"/>
        </w:rPr>
        <w:t>.</w:t>
      </w:r>
    </w:p>
    <w:p w14:paraId="2C496AFC" w14:textId="746C37D0" w:rsidR="00333FCB" w:rsidRPr="0069446C" w:rsidRDefault="00333FCB" w:rsidP="00CB6140">
      <w:pPr>
        <w:pStyle w:val="SingleTxtG"/>
        <w:tabs>
          <w:tab w:val="left" w:pos="2268"/>
        </w:tabs>
        <w:ind w:left="2259" w:hanging="1125"/>
        <w:rPr>
          <w:i/>
          <w:iCs/>
          <w:lang w:val="fr-FR"/>
        </w:rPr>
      </w:pPr>
      <w:r w:rsidRPr="00480A04">
        <w:rPr>
          <w:i/>
          <w:iCs/>
          <w:lang w:val="fr-FR"/>
        </w:rPr>
        <w:t>(Document de référence : document informel INF.48</w:t>
      </w:r>
      <w:r>
        <w:rPr>
          <w:i/>
          <w:iCs/>
          <w:lang w:val="fr-FR"/>
        </w:rPr>
        <w:t xml:space="preserve"> tel que modifié</w:t>
      </w:r>
      <w:r w:rsidRPr="00480A04">
        <w:rPr>
          <w:i/>
          <w:iCs/>
          <w:lang w:val="fr-FR"/>
        </w:rPr>
        <w:t>)</w:t>
      </w:r>
    </w:p>
    <w:p w14:paraId="179A0982" w14:textId="77777777" w:rsidR="00333FCB" w:rsidRDefault="00333FCB" w:rsidP="00CB6140">
      <w:pPr>
        <w:pStyle w:val="H23G"/>
      </w:pPr>
      <w:r>
        <w:tab/>
      </w:r>
      <w:r>
        <w:tab/>
        <w:t>Chapitre 6.2</w:t>
      </w:r>
    </w:p>
    <w:p w14:paraId="0B6B9067" w14:textId="6EC8CE99" w:rsidR="00333FCB" w:rsidRDefault="00333FCB" w:rsidP="00CB6140">
      <w:pPr>
        <w:pStyle w:val="SingleTxtG"/>
        <w:keepNext/>
      </w:pPr>
      <w:r w:rsidRPr="00ED4AAE">
        <w:t>(RID/ADR</w:t>
      </w:r>
      <w:r w:rsidR="00CB6140">
        <w:t> </w:t>
      </w:r>
      <w:r w:rsidRPr="00ED4AAE">
        <w:t xml:space="preserve">:) </w:t>
      </w:r>
      <w:r>
        <w:t>6.2.2.11</w:t>
      </w:r>
      <w:r>
        <w:tab/>
        <w:t>Ajouter la phrase suivante après le tableau :</w:t>
      </w:r>
    </w:p>
    <w:p w14:paraId="388F8088" w14:textId="54DCD0CB" w:rsidR="00333FCB" w:rsidRDefault="00333FCB" w:rsidP="00CB6140">
      <w:pPr>
        <w:pStyle w:val="SingleTxtG"/>
        <w:keepNext/>
      </w:pPr>
      <w:r>
        <w:t>« Pour les récipients à pression rechargeables, l’évaluation de la conformité des robinets et autres accessoires démontables ayant une fonction directe de sécurité peut être effectuée séparément de celle des récipients à pression. ».</w:t>
      </w:r>
    </w:p>
    <w:p w14:paraId="7442B553" w14:textId="77777777" w:rsidR="00333FCB" w:rsidRDefault="00333FCB" w:rsidP="00333FCB">
      <w:pPr>
        <w:pStyle w:val="SingleTxtG"/>
        <w:rPr>
          <w:i/>
          <w:iCs/>
        </w:rPr>
      </w:pPr>
      <w:r w:rsidRPr="00F64648">
        <w:rPr>
          <w:i/>
          <w:iCs/>
        </w:rPr>
        <w:t>(Document</w:t>
      </w:r>
      <w:r>
        <w:rPr>
          <w:i/>
          <w:iCs/>
        </w:rPr>
        <w:t xml:space="preserve"> </w:t>
      </w:r>
      <w:r w:rsidRPr="00F64648">
        <w:rPr>
          <w:i/>
          <w:iCs/>
        </w:rPr>
        <w:t xml:space="preserve">de référence : </w:t>
      </w:r>
      <w:r>
        <w:rPr>
          <w:i/>
          <w:iCs/>
        </w:rPr>
        <w:t>ECE/TRANS/WP.15/AC.1/2019/29</w:t>
      </w:r>
      <w:r w:rsidRPr="00F64648">
        <w:rPr>
          <w:i/>
          <w:iCs/>
        </w:rPr>
        <w:t>)</w:t>
      </w:r>
    </w:p>
    <w:p w14:paraId="3E331BC7" w14:textId="77777777" w:rsidR="00333FCB" w:rsidRPr="00A65E0D" w:rsidRDefault="00333FCB" w:rsidP="00333FCB">
      <w:pPr>
        <w:pStyle w:val="SingleTxtG"/>
        <w:tabs>
          <w:tab w:val="left" w:pos="2268"/>
        </w:tabs>
        <w:rPr>
          <w:lang w:val="fr-FR"/>
        </w:rPr>
      </w:pPr>
      <w:r w:rsidRPr="00A65E0D">
        <w:rPr>
          <w:lang w:val="fr-FR"/>
        </w:rPr>
        <w:t>6.2.4.1</w:t>
      </w:r>
      <w:r w:rsidRPr="00A65E0D">
        <w:rPr>
          <w:lang w:val="fr-FR"/>
        </w:rPr>
        <w:tab/>
        <w:t>Dans le tableau, sous « Pour la conception et la fabrication » :</w:t>
      </w:r>
    </w:p>
    <w:p w14:paraId="49BD670D" w14:textId="696DBFAB" w:rsidR="00333FCB" w:rsidRPr="00A65E0D" w:rsidRDefault="00333FCB" w:rsidP="00333FCB">
      <w:pPr>
        <w:pStyle w:val="Bullet1G"/>
        <w:numPr>
          <w:ilvl w:val="0"/>
          <w:numId w:val="1"/>
        </w:numPr>
        <w:rPr>
          <w:lang w:val="fr-FR"/>
        </w:rPr>
      </w:pPr>
      <w:r w:rsidRPr="00A65E0D">
        <w:rPr>
          <w:lang w:val="fr-FR"/>
        </w:rPr>
        <w:t>Pour « </w:t>
      </w:r>
      <w:r w:rsidRPr="00A65E0D">
        <w:rPr>
          <w:bCs/>
          <w:lang w:val="fr-FR"/>
        </w:rPr>
        <w:t>EN ISO 9809-1:2010</w:t>
      </w:r>
      <w:r w:rsidRPr="00A65E0D">
        <w:rPr>
          <w:lang w:val="fr-FR"/>
        </w:rPr>
        <w:t> », dans la colonne (4), remplacer « Jusqu</w:t>
      </w:r>
      <w:r>
        <w:rPr>
          <w:lang w:val="fr-FR"/>
        </w:rPr>
        <w:t>’</w:t>
      </w:r>
      <w:r w:rsidRPr="00A65E0D">
        <w:rPr>
          <w:lang w:val="fr-FR"/>
        </w:rPr>
        <w:t>à nouvel ordre » par « Entre le 1</w:t>
      </w:r>
      <w:r w:rsidRPr="00F76DA4">
        <w:rPr>
          <w:vertAlign w:val="superscript"/>
          <w:lang w:val="fr-FR"/>
        </w:rPr>
        <w:t>er</w:t>
      </w:r>
      <w:r w:rsidR="00F76DA4">
        <w:rPr>
          <w:lang w:val="fr-FR"/>
        </w:rPr>
        <w:t> </w:t>
      </w:r>
      <w:r w:rsidRPr="00A65E0D">
        <w:rPr>
          <w:lang w:val="fr-FR"/>
        </w:rPr>
        <w:t>janvier 2013 et le 31</w:t>
      </w:r>
      <w:r w:rsidR="00F76DA4">
        <w:rPr>
          <w:lang w:val="fr-FR"/>
        </w:rPr>
        <w:t> </w:t>
      </w:r>
      <w:r w:rsidRPr="00A65E0D">
        <w:rPr>
          <w:lang w:val="fr-FR"/>
        </w:rPr>
        <w:t>décembre 2022 ». Après la ligne pour « </w:t>
      </w:r>
      <w:r w:rsidRPr="00A65E0D">
        <w:rPr>
          <w:bCs/>
          <w:lang w:val="fr-FR"/>
        </w:rPr>
        <w:t>EN ISO 9809-1:2010</w:t>
      </w:r>
      <w:r w:rsidRPr="00A65E0D">
        <w:rPr>
          <w:lang w:val="fr-FR"/>
        </w:rPr>
        <w:t> », ajouter la nouvelle ligne suivante :</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558"/>
        <w:gridCol w:w="4254"/>
        <w:gridCol w:w="1186"/>
        <w:gridCol w:w="1507"/>
      </w:tblGrid>
      <w:tr w:rsidR="00333FCB" w:rsidRPr="00A65E0D" w14:paraId="53B45900" w14:textId="77777777" w:rsidTr="00333FCB">
        <w:tc>
          <w:tcPr>
            <w:tcW w:w="1558" w:type="dxa"/>
            <w:shd w:val="clear" w:color="auto" w:fill="auto"/>
          </w:tcPr>
          <w:p w14:paraId="02273BB0" w14:textId="77777777" w:rsidR="00333FCB" w:rsidRPr="00A65E0D" w:rsidRDefault="00333FCB" w:rsidP="00333FCB">
            <w:pPr>
              <w:keepNext/>
              <w:spacing w:line="240" w:lineRule="auto"/>
              <w:ind w:hanging="22"/>
              <w:rPr>
                <w:bCs/>
                <w:lang w:val="fr-FR"/>
              </w:rPr>
            </w:pPr>
            <w:r w:rsidRPr="00A65E0D">
              <w:rPr>
                <w:bCs/>
                <w:lang w:val="fr-FR"/>
              </w:rPr>
              <w:t>EN ISO 9809-1:2019</w:t>
            </w:r>
          </w:p>
        </w:tc>
        <w:tc>
          <w:tcPr>
            <w:tcW w:w="4254" w:type="dxa"/>
            <w:shd w:val="clear" w:color="auto" w:fill="auto"/>
          </w:tcPr>
          <w:p w14:paraId="362979DF" w14:textId="3CFAC45A" w:rsidR="00333FCB" w:rsidRPr="00A65E0D" w:rsidRDefault="00333FCB" w:rsidP="00333FCB">
            <w:pPr>
              <w:keepNext/>
              <w:spacing w:line="240" w:lineRule="auto"/>
              <w:ind w:hanging="22"/>
              <w:rPr>
                <w:bCs/>
                <w:lang w:val="fr-FR"/>
              </w:rPr>
            </w:pPr>
            <w:r w:rsidRPr="00A65E0D">
              <w:rPr>
                <w:lang w:val="fr-FR"/>
              </w:rPr>
              <w:t xml:space="preserve">Bouteilles à gaz </w:t>
            </w:r>
            <w:r w:rsidR="00F76DA4">
              <w:rPr>
                <w:lang w:val="fr-FR"/>
              </w:rPr>
              <w:t>−</w:t>
            </w:r>
            <w:r w:rsidRPr="00A65E0D">
              <w:rPr>
                <w:lang w:val="fr-FR"/>
              </w:rPr>
              <w:t xml:space="preserve"> Bouteilles à gaz rechargeables en acier sans soudure </w:t>
            </w:r>
            <w:r w:rsidR="00F76DA4">
              <w:rPr>
                <w:lang w:val="fr-FR"/>
              </w:rPr>
              <w:t>−</w:t>
            </w:r>
            <w:r w:rsidRPr="00A65E0D">
              <w:rPr>
                <w:lang w:val="fr-FR"/>
              </w:rPr>
              <w:t xml:space="preserve"> Conception, construction et essais – Partie 1 : Bouteilles en acier trempé et revenu ayant une résistance à la traction inférieure à 1 100 MPa</w:t>
            </w:r>
          </w:p>
        </w:tc>
        <w:tc>
          <w:tcPr>
            <w:tcW w:w="1186" w:type="dxa"/>
            <w:shd w:val="clear" w:color="auto" w:fill="auto"/>
          </w:tcPr>
          <w:p w14:paraId="70353CEC" w14:textId="77777777" w:rsidR="00333FCB" w:rsidRPr="00A65E0D" w:rsidRDefault="00333FCB" w:rsidP="00333FCB">
            <w:pPr>
              <w:spacing w:line="240" w:lineRule="auto"/>
              <w:jc w:val="center"/>
              <w:rPr>
                <w:bCs/>
                <w:lang w:val="fr-FR"/>
              </w:rPr>
            </w:pPr>
            <w:r w:rsidRPr="00A65E0D">
              <w:rPr>
                <w:bCs/>
                <w:lang w:val="fr-FR"/>
              </w:rPr>
              <w:t>6.2.3.1 et 6.2.3.4</w:t>
            </w:r>
          </w:p>
        </w:tc>
        <w:tc>
          <w:tcPr>
            <w:tcW w:w="1507" w:type="dxa"/>
            <w:shd w:val="clear" w:color="auto" w:fill="auto"/>
          </w:tcPr>
          <w:p w14:paraId="456F2391" w14:textId="36FEE06A" w:rsidR="00333FCB" w:rsidRPr="00A65E0D" w:rsidRDefault="00333FCB" w:rsidP="00333FCB">
            <w:pPr>
              <w:spacing w:line="240" w:lineRule="auto"/>
              <w:jc w:val="center"/>
              <w:rPr>
                <w:lang w:val="fr-FR"/>
              </w:rPr>
            </w:pPr>
            <w:r w:rsidRPr="00A65E0D">
              <w:rPr>
                <w:lang w:val="fr-FR"/>
              </w:rPr>
              <w:t>Jusqu</w:t>
            </w:r>
            <w:r>
              <w:rPr>
                <w:lang w:val="fr-FR"/>
              </w:rPr>
              <w:t>’</w:t>
            </w:r>
            <w:r w:rsidRPr="00A65E0D">
              <w:rPr>
                <w:lang w:val="fr-FR"/>
              </w:rPr>
              <w:t>à nouvel ordre</w:t>
            </w:r>
          </w:p>
        </w:tc>
      </w:tr>
    </w:tbl>
    <w:p w14:paraId="48C74159" w14:textId="211AB158" w:rsidR="00333FCB" w:rsidRPr="00A65E0D" w:rsidRDefault="00333FCB" w:rsidP="00333FCB">
      <w:pPr>
        <w:pStyle w:val="Bullet1G"/>
        <w:numPr>
          <w:ilvl w:val="0"/>
          <w:numId w:val="1"/>
        </w:numPr>
        <w:spacing w:before="120"/>
        <w:rPr>
          <w:lang w:val="fr-FR"/>
        </w:rPr>
      </w:pPr>
      <w:bookmarkStart w:id="11" w:name="_Hlk20298360"/>
      <w:r w:rsidRPr="00A65E0D">
        <w:rPr>
          <w:lang w:val="fr-FR"/>
        </w:rPr>
        <w:t>Pour « E</w:t>
      </w:r>
      <w:r w:rsidRPr="00A65E0D">
        <w:rPr>
          <w:bCs/>
          <w:lang w:val="fr-FR"/>
        </w:rPr>
        <w:t>N ISO 9809-2:2010</w:t>
      </w:r>
      <w:r w:rsidRPr="00A65E0D">
        <w:rPr>
          <w:lang w:val="fr-FR"/>
        </w:rPr>
        <w:t> », dans la colonne (4), remplacer « Jusqu</w:t>
      </w:r>
      <w:r>
        <w:rPr>
          <w:lang w:val="fr-FR"/>
        </w:rPr>
        <w:t>’</w:t>
      </w:r>
      <w:r w:rsidRPr="00A65E0D">
        <w:rPr>
          <w:lang w:val="fr-FR"/>
        </w:rPr>
        <w:t>à nouvel ordre » par « Entre le 1</w:t>
      </w:r>
      <w:r w:rsidRPr="00F76DA4">
        <w:rPr>
          <w:vertAlign w:val="superscript"/>
          <w:lang w:val="fr-FR"/>
        </w:rPr>
        <w:t>er</w:t>
      </w:r>
      <w:r w:rsidR="00F76DA4">
        <w:rPr>
          <w:lang w:val="fr-FR"/>
        </w:rPr>
        <w:t> </w:t>
      </w:r>
      <w:r w:rsidRPr="00A65E0D">
        <w:rPr>
          <w:lang w:val="fr-FR"/>
        </w:rPr>
        <w:t>janvier 2013 et le 31</w:t>
      </w:r>
      <w:r w:rsidR="00F76DA4">
        <w:rPr>
          <w:lang w:val="fr-FR"/>
        </w:rPr>
        <w:t> </w:t>
      </w:r>
      <w:r w:rsidRPr="00A65E0D">
        <w:rPr>
          <w:lang w:val="fr-FR"/>
        </w:rPr>
        <w:t>décembre 2022 ». Après la ligne pour « </w:t>
      </w:r>
      <w:r w:rsidRPr="00A65E0D">
        <w:rPr>
          <w:bCs/>
          <w:lang w:val="fr-FR"/>
        </w:rPr>
        <w:t>EN ISO 9809-2:2010</w:t>
      </w:r>
      <w:r w:rsidRPr="00A65E0D">
        <w:rPr>
          <w:lang w:val="fr-FR"/>
        </w:rPr>
        <w:t> », ajouter la nouvelle ligne suivante :</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558"/>
        <w:gridCol w:w="4254"/>
        <w:gridCol w:w="1186"/>
        <w:gridCol w:w="1507"/>
      </w:tblGrid>
      <w:tr w:rsidR="00333FCB" w:rsidRPr="00A65E0D" w14:paraId="4BF4C3F0" w14:textId="77777777" w:rsidTr="00333FCB">
        <w:tc>
          <w:tcPr>
            <w:tcW w:w="1558" w:type="dxa"/>
            <w:shd w:val="clear" w:color="auto" w:fill="auto"/>
          </w:tcPr>
          <w:p w14:paraId="1F22BFD6" w14:textId="77777777" w:rsidR="00333FCB" w:rsidRPr="00A65E0D" w:rsidRDefault="00333FCB" w:rsidP="00333FCB">
            <w:pPr>
              <w:keepNext/>
              <w:spacing w:line="240" w:lineRule="auto"/>
              <w:ind w:hanging="22"/>
              <w:rPr>
                <w:bCs/>
                <w:lang w:val="fr-FR"/>
              </w:rPr>
            </w:pPr>
            <w:r w:rsidRPr="00A65E0D">
              <w:rPr>
                <w:bCs/>
                <w:lang w:val="fr-FR"/>
              </w:rPr>
              <w:t>EN ISO 9809-2:2019</w:t>
            </w:r>
          </w:p>
        </w:tc>
        <w:tc>
          <w:tcPr>
            <w:tcW w:w="4254" w:type="dxa"/>
            <w:shd w:val="clear" w:color="auto" w:fill="auto"/>
          </w:tcPr>
          <w:p w14:paraId="132639AE" w14:textId="1F5068D5" w:rsidR="00333FCB" w:rsidRPr="00A65E0D" w:rsidRDefault="00333FCB" w:rsidP="00333FCB">
            <w:pPr>
              <w:keepNext/>
              <w:spacing w:line="240" w:lineRule="auto"/>
              <w:ind w:hanging="22"/>
              <w:rPr>
                <w:bCs/>
                <w:lang w:val="fr-FR"/>
              </w:rPr>
            </w:pPr>
            <w:r w:rsidRPr="00A65E0D">
              <w:rPr>
                <w:lang w:val="fr-FR"/>
              </w:rPr>
              <w:t xml:space="preserve">Bouteilles à gaz </w:t>
            </w:r>
            <w:r w:rsidR="00F76DA4">
              <w:rPr>
                <w:lang w:val="fr-FR"/>
              </w:rPr>
              <w:t>−</w:t>
            </w:r>
            <w:r w:rsidRPr="00A65E0D">
              <w:rPr>
                <w:lang w:val="fr-FR"/>
              </w:rPr>
              <w:t xml:space="preserve"> Bouteilles à gaz rechargeables en acier sans soudure </w:t>
            </w:r>
            <w:r w:rsidR="00F76DA4">
              <w:rPr>
                <w:lang w:val="fr-FR"/>
              </w:rPr>
              <w:t>−</w:t>
            </w:r>
            <w:r w:rsidRPr="00A65E0D">
              <w:rPr>
                <w:lang w:val="fr-FR"/>
              </w:rPr>
              <w:t xml:space="preserve"> Conception, construction et essais </w:t>
            </w:r>
            <w:r w:rsidR="00F76DA4">
              <w:rPr>
                <w:lang w:val="fr-FR"/>
              </w:rPr>
              <w:t>−</w:t>
            </w:r>
            <w:r w:rsidRPr="00A65E0D">
              <w:rPr>
                <w:lang w:val="fr-FR"/>
              </w:rPr>
              <w:t xml:space="preserve"> Partie 2 : Bouteilles en acier trempé et revenu ayant une résistance à la traction supérieure ou égale à 1 100 MPa</w:t>
            </w:r>
          </w:p>
        </w:tc>
        <w:tc>
          <w:tcPr>
            <w:tcW w:w="1186" w:type="dxa"/>
            <w:shd w:val="clear" w:color="auto" w:fill="auto"/>
          </w:tcPr>
          <w:p w14:paraId="3C7F7FE2" w14:textId="77777777" w:rsidR="00333FCB" w:rsidRPr="00A65E0D" w:rsidRDefault="00333FCB" w:rsidP="00333FCB">
            <w:pPr>
              <w:spacing w:line="240" w:lineRule="auto"/>
              <w:jc w:val="center"/>
              <w:rPr>
                <w:bCs/>
                <w:lang w:val="fr-FR"/>
              </w:rPr>
            </w:pPr>
            <w:r w:rsidRPr="00A65E0D">
              <w:rPr>
                <w:bCs/>
                <w:lang w:val="fr-FR"/>
              </w:rPr>
              <w:t>6.2.3.1 et 6.2.3.4</w:t>
            </w:r>
          </w:p>
        </w:tc>
        <w:tc>
          <w:tcPr>
            <w:tcW w:w="1507" w:type="dxa"/>
            <w:shd w:val="clear" w:color="auto" w:fill="auto"/>
          </w:tcPr>
          <w:p w14:paraId="0259D95F" w14:textId="57F85B9F" w:rsidR="00333FCB" w:rsidRPr="00A65E0D" w:rsidRDefault="00333FCB" w:rsidP="00333FCB">
            <w:pPr>
              <w:spacing w:line="240" w:lineRule="auto"/>
              <w:jc w:val="center"/>
              <w:rPr>
                <w:lang w:val="fr-FR"/>
              </w:rPr>
            </w:pPr>
            <w:r w:rsidRPr="00A65E0D">
              <w:rPr>
                <w:lang w:val="fr-FR"/>
              </w:rPr>
              <w:t>Jusqu</w:t>
            </w:r>
            <w:r>
              <w:rPr>
                <w:lang w:val="fr-FR"/>
              </w:rPr>
              <w:t>’</w:t>
            </w:r>
            <w:r w:rsidRPr="00A65E0D">
              <w:rPr>
                <w:lang w:val="fr-FR"/>
              </w:rPr>
              <w:t>à nouvel ordre</w:t>
            </w:r>
          </w:p>
        </w:tc>
      </w:tr>
    </w:tbl>
    <w:bookmarkEnd w:id="11"/>
    <w:p w14:paraId="080DB166" w14:textId="254B6EAB" w:rsidR="00333FCB" w:rsidRPr="00A65E0D" w:rsidRDefault="00333FCB" w:rsidP="00333FCB">
      <w:pPr>
        <w:pStyle w:val="Bullet1G"/>
        <w:numPr>
          <w:ilvl w:val="0"/>
          <w:numId w:val="1"/>
        </w:numPr>
        <w:spacing w:before="120"/>
        <w:rPr>
          <w:lang w:val="fr-FR"/>
        </w:rPr>
      </w:pPr>
      <w:r w:rsidRPr="00A65E0D">
        <w:rPr>
          <w:lang w:val="fr-FR"/>
        </w:rPr>
        <w:t>Pour « EN ISO 9809-3:2010 », dans la colonne (4), remplacer « Jusqu</w:t>
      </w:r>
      <w:r>
        <w:rPr>
          <w:lang w:val="fr-FR"/>
        </w:rPr>
        <w:t>’</w:t>
      </w:r>
      <w:r w:rsidRPr="00A65E0D">
        <w:rPr>
          <w:lang w:val="fr-FR"/>
        </w:rPr>
        <w:t>à nouvel ordre » par « Entre le 1</w:t>
      </w:r>
      <w:r w:rsidRPr="00F76DA4">
        <w:rPr>
          <w:vertAlign w:val="superscript"/>
          <w:lang w:val="fr-FR"/>
        </w:rPr>
        <w:t>er</w:t>
      </w:r>
      <w:r w:rsidR="00F76DA4">
        <w:rPr>
          <w:lang w:val="fr-FR"/>
        </w:rPr>
        <w:t> </w:t>
      </w:r>
      <w:r w:rsidRPr="00A65E0D">
        <w:rPr>
          <w:lang w:val="fr-FR"/>
        </w:rPr>
        <w:t>janvier 2013 et le 31</w:t>
      </w:r>
      <w:r w:rsidR="00F76DA4">
        <w:rPr>
          <w:lang w:val="fr-FR"/>
        </w:rPr>
        <w:t> </w:t>
      </w:r>
      <w:r w:rsidRPr="00A65E0D">
        <w:rPr>
          <w:lang w:val="fr-FR"/>
        </w:rPr>
        <w:t>décembre 2022 ». Après la ligne pour « EN ISO 9809-3:2010 », ajouter la nouvelle ligne suivante :</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558"/>
        <w:gridCol w:w="4254"/>
        <w:gridCol w:w="1186"/>
        <w:gridCol w:w="1507"/>
      </w:tblGrid>
      <w:tr w:rsidR="00333FCB" w:rsidRPr="00A65E0D" w14:paraId="21F89913" w14:textId="77777777" w:rsidTr="00333FCB">
        <w:tc>
          <w:tcPr>
            <w:tcW w:w="1558" w:type="dxa"/>
            <w:shd w:val="clear" w:color="auto" w:fill="auto"/>
          </w:tcPr>
          <w:p w14:paraId="105B4D0E" w14:textId="77777777" w:rsidR="00333FCB" w:rsidRPr="00A65E0D" w:rsidRDefault="00333FCB" w:rsidP="00333FCB">
            <w:pPr>
              <w:keepNext/>
              <w:spacing w:line="240" w:lineRule="auto"/>
              <w:ind w:hanging="22"/>
              <w:rPr>
                <w:bCs/>
                <w:lang w:val="fr-FR"/>
              </w:rPr>
            </w:pPr>
            <w:r w:rsidRPr="00A65E0D">
              <w:rPr>
                <w:bCs/>
                <w:lang w:val="fr-FR"/>
              </w:rPr>
              <w:t>EN ISO 9809-3:2019</w:t>
            </w:r>
          </w:p>
        </w:tc>
        <w:tc>
          <w:tcPr>
            <w:tcW w:w="4254" w:type="dxa"/>
            <w:shd w:val="clear" w:color="auto" w:fill="auto"/>
          </w:tcPr>
          <w:p w14:paraId="19A7D201" w14:textId="2A19153F" w:rsidR="00333FCB" w:rsidRPr="00A65E0D" w:rsidRDefault="00333FCB" w:rsidP="00333FCB">
            <w:pPr>
              <w:keepNext/>
              <w:spacing w:line="240" w:lineRule="auto"/>
              <w:ind w:hanging="22"/>
              <w:rPr>
                <w:bCs/>
                <w:lang w:val="fr-FR"/>
              </w:rPr>
            </w:pPr>
            <w:r w:rsidRPr="00A65E0D">
              <w:rPr>
                <w:lang w:val="fr-FR"/>
              </w:rPr>
              <w:t xml:space="preserve">Bouteilles à gaz </w:t>
            </w:r>
            <w:r w:rsidR="00F76DA4">
              <w:rPr>
                <w:lang w:val="fr-FR"/>
              </w:rPr>
              <w:t>−</w:t>
            </w:r>
            <w:r w:rsidRPr="00A65E0D">
              <w:rPr>
                <w:lang w:val="fr-FR"/>
              </w:rPr>
              <w:t xml:space="preserve"> Bouteilles à gaz rechargeables en acier sans soudure </w:t>
            </w:r>
            <w:r w:rsidR="00F76DA4">
              <w:rPr>
                <w:lang w:val="fr-FR"/>
              </w:rPr>
              <w:t>−</w:t>
            </w:r>
            <w:r w:rsidRPr="00A65E0D">
              <w:rPr>
                <w:lang w:val="fr-FR"/>
              </w:rPr>
              <w:t xml:space="preserve"> Conception, construction et essais </w:t>
            </w:r>
            <w:r w:rsidR="00F76DA4">
              <w:rPr>
                <w:lang w:val="fr-FR"/>
              </w:rPr>
              <w:t>−</w:t>
            </w:r>
            <w:r w:rsidRPr="00A65E0D">
              <w:rPr>
                <w:lang w:val="fr-FR"/>
              </w:rPr>
              <w:t xml:space="preserve"> Partie 3 : Bouteilles en acier normalisé</w:t>
            </w:r>
          </w:p>
        </w:tc>
        <w:tc>
          <w:tcPr>
            <w:tcW w:w="1186" w:type="dxa"/>
            <w:shd w:val="clear" w:color="auto" w:fill="auto"/>
          </w:tcPr>
          <w:p w14:paraId="56302184" w14:textId="77777777" w:rsidR="00333FCB" w:rsidRPr="00A65E0D" w:rsidRDefault="00333FCB" w:rsidP="00333FCB">
            <w:pPr>
              <w:spacing w:line="240" w:lineRule="auto"/>
              <w:jc w:val="center"/>
              <w:rPr>
                <w:bCs/>
                <w:lang w:val="fr-FR"/>
              </w:rPr>
            </w:pPr>
            <w:r w:rsidRPr="00A65E0D">
              <w:rPr>
                <w:bCs/>
                <w:lang w:val="fr-FR"/>
              </w:rPr>
              <w:t>6.2.3.1 et 6.2.3.4</w:t>
            </w:r>
          </w:p>
        </w:tc>
        <w:tc>
          <w:tcPr>
            <w:tcW w:w="1507" w:type="dxa"/>
            <w:shd w:val="clear" w:color="auto" w:fill="auto"/>
          </w:tcPr>
          <w:p w14:paraId="0F82A4CA" w14:textId="0CAB4642" w:rsidR="00333FCB" w:rsidRPr="00A65E0D" w:rsidRDefault="00333FCB" w:rsidP="00333FCB">
            <w:pPr>
              <w:spacing w:line="240" w:lineRule="auto"/>
              <w:jc w:val="center"/>
              <w:rPr>
                <w:lang w:val="fr-FR"/>
              </w:rPr>
            </w:pPr>
            <w:r w:rsidRPr="00A65E0D">
              <w:rPr>
                <w:lang w:val="fr-FR"/>
              </w:rPr>
              <w:t>Jusqu</w:t>
            </w:r>
            <w:r>
              <w:rPr>
                <w:lang w:val="fr-FR"/>
              </w:rPr>
              <w:t>’</w:t>
            </w:r>
            <w:r w:rsidRPr="00A65E0D">
              <w:rPr>
                <w:lang w:val="fr-FR"/>
              </w:rPr>
              <w:t>à nouvel ordre</w:t>
            </w:r>
          </w:p>
        </w:tc>
      </w:tr>
    </w:tbl>
    <w:p w14:paraId="59153083" w14:textId="77777777" w:rsidR="00333FCB" w:rsidRPr="00A65E0D" w:rsidRDefault="00333FCB" w:rsidP="00333FCB">
      <w:pPr>
        <w:pStyle w:val="SingleTxtG"/>
        <w:spacing w:before="120"/>
        <w:rPr>
          <w:i/>
          <w:iCs/>
          <w:lang w:val="fr-FR"/>
        </w:rPr>
      </w:pPr>
      <w:r w:rsidRPr="00A65E0D">
        <w:rPr>
          <w:i/>
          <w:iCs/>
          <w:lang w:val="fr-FR"/>
        </w:rPr>
        <w:t>(Document de référence : document informel INF.50, tel que modifié)</w:t>
      </w:r>
    </w:p>
    <w:p w14:paraId="1CF2FDCA" w14:textId="77777777" w:rsidR="00333FCB" w:rsidRPr="00A65E0D" w:rsidRDefault="00333FCB" w:rsidP="00333FCB">
      <w:pPr>
        <w:tabs>
          <w:tab w:val="left" w:pos="426"/>
        </w:tabs>
        <w:spacing w:before="120" w:after="120"/>
        <w:ind w:left="1134"/>
        <w:rPr>
          <w:bCs/>
          <w:lang w:val="fr-FR"/>
        </w:rPr>
      </w:pPr>
      <w:r w:rsidRPr="00A65E0D">
        <w:rPr>
          <w:bCs/>
          <w:lang w:val="fr-FR"/>
        </w:rPr>
        <w:t>6.2.4.2</w:t>
      </w:r>
      <w:r w:rsidRPr="00A65E0D">
        <w:rPr>
          <w:bCs/>
          <w:lang w:val="fr-FR"/>
        </w:rPr>
        <w:tab/>
      </w:r>
      <w:r w:rsidRPr="00A65E0D">
        <w:rPr>
          <w:bCs/>
          <w:lang w:val="fr-FR"/>
        </w:rPr>
        <w:tab/>
        <w:t>Dans le tableau, sous « Pour les contrôles et épreuves périodiques » :</w:t>
      </w:r>
    </w:p>
    <w:p w14:paraId="30FEECF3" w14:textId="3C014843" w:rsidR="00333FCB" w:rsidRPr="00A65E0D" w:rsidRDefault="00333FCB" w:rsidP="00333FCB">
      <w:pPr>
        <w:pStyle w:val="Bullet1G"/>
        <w:numPr>
          <w:ilvl w:val="0"/>
          <w:numId w:val="1"/>
        </w:numPr>
        <w:spacing w:before="120"/>
        <w:rPr>
          <w:lang w:val="fr-FR"/>
        </w:rPr>
      </w:pPr>
      <w:r w:rsidRPr="00A65E0D">
        <w:rPr>
          <w:lang w:val="fr-FR"/>
        </w:rPr>
        <w:t>Pour « EN ISO 10462:2013 », dans la colonne 3), remplacer « Jusqu</w:t>
      </w:r>
      <w:r>
        <w:rPr>
          <w:lang w:val="fr-FR"/>
        </w:rPr>
        <w:t>’</w:t>
      </w:r>
      <w:r w:rsidRPr="00A65E0D">
        <w:rPr>
          <w:lang w:val="fr-FR"/>
        </w:rPr>
        <w:t>à nouvel ordre » par « Jusqu</w:t>
      </w:r>
      <w:r>
        <w:rPr>
          <w:lang w:val="fr-FR"/>
        </w:rPr>
        <w:t>’</w:t>
      </w:r>
      <w:r w:rsidRPr="00A65E0D">
        <w:rPr>
          <w:lang w:val="fr-FR"/>
        </w:rPr>
        <w:t>au 31</w:t>
      </w:r>
      <w:r w:rsidR="00F76DA4">
        <w:rPr>
          <w:lang w:val="fr-FR"/>
        </w:rPr>
        <w:t> </w:t>
      </w:r>
      <w:r w:rsidRPr="00A65E0D">
        <w:rPr>
          <w:lang w:val="fr-FR"/>
        </w:rPr>
        <w:t>décembre 2022 ». Après la ligne pour « </w:t>
      </w:r>
      <w:r w:rsidRPr="00A65E0D">
        <w:rPr>
          <w:bCs/>
          <w:lang w:val="fr-FR"/>
        </w:rPr>
        <w:t>EN</w:t>
      </w:r>
      <w:r w:rsidR="00F76DA4">
        <w:rPr>
          <w:bCs/>
          <w:lang w:val="fr-FR"/>
        </w:rPr>
        <w:t xml:space="preserve"> </w:t>
      </w:r>
      <w:r w:rsidRPr="00A65E0D">
        <w:rPr>
          <w:bCs/>
          <w:lang w:val="fr-FR"/>
        </w:rPr>
        <w:t>ISO 10462:2013</w:t>
      </w:r>
      <w:r w:rsidRPr="00A65E0D">
        <w:rPr>
          <w:lang w:val="fr-FR"/>
        </w:rPr>
        <w:t> », ajouter la nouvelle ligne suivante :</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843"/>
        <w:gridCol w:w="3827"/>
        <w:gridCol w:w="2835"/>
      </w:tblGrid>
      <w:tr w:rsidR="00333FCB" w:rsidRPr="00A65E0D" w14:paraId="4BC6B9EB" w14:textId="77777777" w:rsidTr="00333FCB">
        <w:tc>
          <w:tcPr>
            <w:tcW w:w="1843" w:type="dxa"/>
            <w:shd w:val="clear" w:color="auto" w:fill="auto"/>
          </w:tcPr>
          <w:p w14:paraId="3ED4F374" w14:textId="77777777" w:rsidR="00333FCB" w:rsidRPr="00A65E0D" w:rsidRDefault="00333FCB" w:rsidP="00333FCB">
            <w:pPr>
              <w:keepNext/>
              <w:spacing w:line="240" w:lineRule="auto"/>
              <w:ind w:hanging="22"/>
              <w:rPr>
                <w:bCs/>
                <w:lang w:val="fr-FR"/>
              </w:rPr>
            </w:pPr>
            <w:r w:rsidRPr="00A65E0D">
              <w:rPr>
                <w:bCs/>
                <w:lang w:val="fr-FR"/>
              </w:rPr>
              <w:t>EN ISO 10462:2013 + A1:2019</w:t>
            </w:r>
          </w:p>
        </w:tc>
        <w:tc>
          <w:tcPr>
            <w:tcW w:w="3827" w:type="dxa"/>
            <w:shd w:val="clear" w:color="auto" w:fill="auto"/>
          </w:tcPr>
          <w:p w14:paraId="0A8C866E" w14:textId="59360E90" w:rsidR="00333FCB" w:rsidRPr="00A65E0D" w:rsidRDefault="00333FCB" w:rsidP="00333FCB">
            <w:pPr>
              <w:keepNext/>
              <w:spacing w:line="240" w:lineRule="auto"/>
              <w:ind w:hanging="22"/>
              <w:rPr>
                <w:bCs/>
                <w:lang w:val="fr-FR"/>
              </w:rPr>
            </w:pPr>
            <w:r w:rsidRPr="00A65E0D">
              <w:rPr>
                <w:lang w:val="fr-FR"/>
              </w:rPr>
              <w:t xml:space="preserve">Bouteilles à gaz </w:t>
            </w:r>
            <w:r w:rsidR="00F76DA4">
              <w:rPr>
                <w:lang w:val="fr-FR"/>
              </w:rPr>
              <w:t>−</w:t>
            </w:r>
            <w:r w:rsidRPr="00A65E0D">
              <w:rPr>
                <w:lang w:val="fr-FR"/>
              </w:rPr>
              <w:t xml:space="preserve"> Bouteilles d</w:t>
            </w:r>
            <w:r>
              <w:rPr>
                <w:lang w:val="fr-FR"/>
              </w:rPr>
              <w:t>’</w:t>
            </w:r>
            <w:r w:rsidRPr="00A65E0D">
              <w:rPr>
                <w:lang w:val="fr-FR"/>
              </w:rPr>
              <w:t xml:space="preserve">acétylène - Contrôle et entretien périodiques </w:t>
            </w:r>
            <w:r w:rsidR="00F76DA4">
              <w:rPr>
                <w:lang w:val="fr-FR"/>
              </w:rPr>
              <w:t>−</w:t>
            </w:r>
            <w:r w:rsidRPr="00A65E0D">
              <w:rPr>
                <w:lang w:val="fr-FR"/>
              </w:rPr>
              <w:t xml:space="preserve"> Amendement 1 (ISO 10462:2013 + A1:2019)  </w:t>
            </w:r>
          </w:p>
        </w:tc>
        <w:tc>
          <w:tcPr>
            <w:tcW w:w="2835" w:type="dxa"/>
            <w:shd w:val="clear" w:color="auto" w:fill="auto"/>
          </w:tcPr>
          <w:p w14:paraId="4C0DE2E8" w14:textId="13C945F3" w:rsidR="00333FCB" w:rsidRPr="00A65E0D" w:rsidRDefault="00333FCB" w:rsidP="00333FCB">
            <w:pPr>
              <w:spacing w:line="240" w:lineRule="auto"/>
              <w:jc w:val="center"/>
              <w:rPr>
                <w:lang w:val="fr-FR"/>
              </w:rPr>
            </w:pPr>
            <w:r w:rsidRPr="00A65E0D">
              <w:rPr>
                <w:lang w:val="fr-FR"/>
              </w:rPr>
              <w:t>Obligatoirement à partir du 1</w:t>
            </w:r>
            <w:r w:rsidRPr="00F76DA4">
              <w:rPr>
                <w:vertAlign w:val="superscript"/>
                <w:lang w:val="fr-FR"/>
              </w:rPr>
              <w:t>er</w:t>
            </w:r>
            <w:r w:rsidR="00F76DA4">
              <w:rPr>
                <w:lang w:val="fr-FR"/>
              </w:rPr>
              <w:t> </w:t>
            </w:r>
            <w:r w:rsidRPr="00A65E0D">
              <w:rPr>
                <w:lang w:val="fr-FR"/>
              </w:rPr>
              <w:t>janvier 2023</w:t>
            </w:r>
          </w:p>
        </w:tc>
      </w:tr>
    </w:tbl>
    <w:p w14:paraId="21D74BD5" w14:textId="402A4F74" w:rsidR="00333FCB" w:rsidRPr="00A65E0D" w:rsidRDefault="00333FCB" w:rsidP="00333FCB">
      <w:pPr>
        <w:pStyle w:val="Bullet1G"/>
        <w:numPr>
          <w:ilvl w:val="0"/>
          <w:numId w:val="1"/>
        </w:numPr>
        <w:spacing w:before="120"/>
        <w:rPr>
          <w:lang w:val="fr-FR"/>
        </w:rPr>
      </w:pPr>
      <w:r w:rsidRPr="00A65E0D">
        <w:rPr>
          <w:lang w:val="fr-FR"/>
        </w:rPr>
        <w:t>Pour « EN 1803:2002 (sauf annexe B) », dans la colonne 3), remplacer « Jusqu</w:t>
      </w:r>
      <w:r>
        <w:rPr>
          <w:lang w:val="fr-FR"/>
        </w:rPr>
        <w:t>’</w:t>
      </w:r>
      <w:r w:rsidRPr="00A65E0D">
        <w:rPr>
          <w:lang w:val="fr-FR"/>
        </w:rPr>
        <w:t>à nouvel ordre » par « Jusqu</w:t>
      </w:r>
      <w:r>
        <w:rPr>
          <w:lang w:val="fr-FR"/>
        </w:rPr>
        <w:t>’</w:t>
      </w:r>
      <w:r w:rsidRPr="00A65E0D">
        <w:rPr>
          <w:lang w:val="fr-FR"/>
        </w:rPr>
        <w:t>au 31</w:t>
      </w:r>
      <w:r w:rsidR="00F76DA4">
        <w:rPr>
          <w:lang w:val="fr-FR"/>
        </w:rPr>
        <w:t> </w:t>
      </w:r>
      <w:r w:rsidRPr="00A65E0D">
        <w:rPr>
          <w:lang w:val="fr-FR"/>
        </w:rPr>
        <w:t>décembre 2022 ». Après la ligne pour « EN 1803:2002 (sauf annexe B) », ajouter la nouvelle ligne suivante :</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843"/>
        <w:gridCol w:w="3827"/>
        <w:gridCol w:w="2835"/>
      </w:tblGrid>
      <w:tr w:rsidR="00333FCB" w:rsidRPr="00A65E0D" w14:paraId="41337375" w14:textId="77777777" w:rsidTr="00333FCB">
        <w:tc>
          <w:tcPr>
            <w:tcW w:w="1843" w:type="dxa"/>
            <w:shd w:val="clear" w:color="auto" w:fill="auto"/>
          </w:tcPr>
          <w:p w14:paraId="5B84ED97" w14:textId="77777777" w:rsidR="00333FCB" w:rsidRPr="00A65E0D" w:rsidRDefault="00333FCB" w:rsidP="00333FCB">
            <w:pPr>
              <w:keepNext/>
              <w:spacing w:line="240" w:lineRule="auto"/>
              <w:ind w:hanging="22"/>
              <w:rPr>
                <w:bCs/>
                <w:lang w:val="fr-FR"/>
              </w:rPr>
            </w:pPr>
            <w:r w:rsidRPr="00A65E0D">
              <w:rPr>
                <w:bCs/>
                <w:lang w:val="fr-FR"/>
              </w:rPr>
              <w:t>EN ISO 10460:2018</w:t>
            </w:r>
          </w:p>
        </w:tc>
        <w:tc>
          <w:tcPr>
            <w:tcW w:w="3827" w:type="dxa"/>
            <w:shd w:val="clear" w:color="auto" w:fill="auto"/>
          </w:tcPr>
          <w:p w14:paraId="159B9113" w14:textId="003E8793" w:rsidR="00333FCB" w:rsidRPr="00A65E0D" w:rsidRDefault="00333FCB" w:rsidP="00333FCB">
            <w:pPr>
              <w:keepNext/>
              <w:spacing w:line="240" w:lineRule="auto"/>
              <w:ind w:hanging="22"/>
              <w:rPr>
                <w:bCs/>
                <w:lang w:val="fr-FR"/>
              </w:rPr>
            </w:pPr>
            <w:r w:rsidRPr="00A65E0D">
              <w:rPr>
                <w:lang w:val="fr-FR"/>
              </w:rPr>
              <w:t xml:space="preserve">Bouteilles à gaz </w:t>
            </w:r>
            <w:r w:rsidR="00F76DA4">
              <w:rPr>
                <w:lang w:val="fr-FR"/>
              </w:rPr>
              <w:t>−</w:t>
            </w:r>
            <w:r w:rsidRPr="00A65E0D">
              <w:rPr>
                <w:lang w:val="fr-FR"/>
              </w:rPr>
              <w:t xml:space="preserve"> Bouteilles à gaz soudées en alliage d</w:t>
            </w:r>
            <w:r>
              <w:rPr>
                <w:lang w:val="fr-FR"/>
              </w:rPr>
              <w:t>’</w:t>
            </w:r>
            <w:r w:rsidRPr="00A65E0D">
              <w:rPr>
                <w:lang w:val="fr-FR"/>
              </w:rPr>
              <w:t>aluminium, carbone et acier inoxydable - Contrôles et essais périodiques</w:t>
            </w:r>
          </w:p>
        </w:tc>
        <w:tc>
          <w:tcPr>
            <w:tcW w:w="2835" w:type="dxa"/>
            <w:shd w:val="clear" w:color="auto" w:fill="auto"/>
          </w:tcPr>
          <w:p w14:paraId="0C1949DE" w14:textId="650D73D7" w:rsidR="00333FCB" w:rsidRPr="00A65E0D" w:rsidRDefault="00333FCB" w:rsidP="00333FCB">
            <w:pPr>
              <w:spacing w:line="240" w:lineRule="auto"/>
              <w:jc w:val="center"/>
              <w:rPr>
                <w:lang w:val="fr-FR"/>
              </w:rPr>
            </w:pPr>
            <w:r w:rsidRPr="00A65E0D">
              <w:rPr>
                <w:lang w:val="fr-FR"/>
              </w:rPr>
              <w:t>Obligatoirement à partir du 1</w:t>
            </w:r>
            <w:r w:rsidRPr="00F76DA4">
              <w:rPr>
                <w:vertAlign w:val="superscript"/>
                <w:lang w:val="fr-FR"/>
              </w:rPr>
              <w:t>er</w:t>
            </w:r>
            <w:r w:rsidR="00F76DA4">
              <w:rPr>
                <w:lang w:val="fr-FR"/>
              </w:rPr>
              <w:t> </w:t>
            </w:r>
            <w:r w:rsidRPr="00A65E0D">
              <w:rPr>
                <w:lang w:val="fr-FR"/>
              </w:rPr>
              <w:t>janvier 2023</w:t>
            </w:r>
          </w:p>
        </w:tc>
      </w:tr>
    </w:tbl>
    <w:p w14:paraId="6DE136FA" w14:textId="77777777" w:rsidR="00333FCB" w:rsidRPr="00A65E0D" w:rsidRDefault="00333FCB" w:rsidP="00333FCB">
      <w:pPr>
        <w:pStyle w:val="SingleTxtG"/>
        <w:spacing w:before="120"/>
        <w:rPr>
          <w:i/>
          <w:iCs/>
          <w:lang w:val="fr-FR"/>
        </w:rPr>
      </w:pPr>
      <w:r w:rsidRPr="00A65E0D">
        <w:rPr>
          <w:i/>
          <w:iCs/>
          <w:lang w:val="fr-FR"/>
        </w:rPr>
        <w:t>(Document de référence : document informel INF.50 tel que modifié)</w:t>
      </w:r>
    </w:p>
    <w:p w14:paraId="74070F1A" w14:textId="77777777" w:rsidR="00333FCB" w:rsidRDefault="00333FCB" w:rsidP="00333FCB">
      <w:pPr>
        <w:pStyle w:val="H23G"/>
      </w:pPr>
      <w:r>
        <w:tab/>
      </w:r>
      <w:r>
        <w:tab/>
      </w:r>
      <w:r w:rsidRPr="001B58DC">
        <w:t xml:space="preserve">Chapitre </w:t>
      </w:r>
      <w:r>
        <w:t>6.7</w:t>
      </w:r>
    </w:p>
    <w:p w14:paraId="4DDB4311" w14:textId="77777777" w:rsidR="00333FCB" w:rsidRDefault="00333FCB" w:rsidP="00333FCB">
      <w:pPr>
        <w:pStyle w:val="SingleTxtG"/>
        <w:tabs>
          <w:tab w:val="left" w:pos="2268"/>
        </w:tabs>
        <w:ind w:left="2259" w:hanging="1125"/>
      </w:pPr>
      <w:r>
        <w:t>6.7.3.2.12 b)</w:t>
      </w:r>
      <w:r>
        <w:tab/>
        <w:t>Remplacer « une conductivité thermique maximale » par « un coefficient de transfert thermique maximal ».</w:t>
      </w:r>
    </w:p>
    <w:p w14:paraId="6FA8CF4B" w14:textId="77777777" w:rsidR="00333FCB" w:rsidRDefault="00333FCB" w:rsidP="00333FCB">
      <w:pPr>
        <w:pStyle w:val="SingleTxtG"/>
        <w:rPr>
          <w:i/>
          <w:iCs/>
        </w:rPr>
      </w:pPr>
      <w:r w:rsidRPr="0063230C">
        <w:rPr>
          <w:i/>
          <w:iCs/>
        </w:rPr>
        <w:t>(Document de référence : document informel INF.</w:t>
      </w:r>
      <w:r>
        <w:rPr>
          <w:i/>
          <w:iCs/>
        </w:rPr>
        <w:t>20</w:t>
      </w:r>
      <w:r w:rsidRPr="0063230C">
        <w:rPr>
          <w:i/>
          <w:iCs/>
        </w:rPr>
        <w:t>)</w:t>
      </w:r>
    </w:p>
    <w:p w14:paraId="3A257492" w14:textId="77777777" w:rsidR="00333FCB" w:rsidRDefault="00333FCB" w:rsidP="00333FCB">
      <w:pPr>
        <w:pStyle w:val="H23G"/>
      </w:pPr>
      <w:r>
        <w:tab/>
      </w:r>
      <w:r>
        <w:tab/>
        <w:t>Chapitre 6.8</w:t>
      </w:r>
    </w:p>
    <w:p w14:paraId="49F5D67C" w14:textId="1BBBD3AE" w:rsidR="00333FCB" w:rsidRPr="00F64648" w:rsidRDefault="00333FCB" w:rsidP="00333FCB">
      <w:pPr>
        <w:pStyle w:val="SingleTxtG"/>
      </w:pPr>
      <w:r>
        <w:t xml:space="preserve">(RID/ADR :) 6.8.2.1.11 </w:t>
      </w:r>
      <w:r w:rsidRPr="00F64648">
        <w:tab/>
      </w:r>
      <w:r>
        <w:t>La modification ne s’applique pas au texte Français.</w:t>
      </w:r>
    </w:p>
    <w:p w14:paraId="77323DE4" w14:textId="77777777" w:rsidR="00333FCB" w:rsidRDefault="00333FCB" w:rsidP="00333FCB">
      <w:pPr>
        <w:pStyle w:val="SingleTxtG"/>
        <w:rPr>
          <w:i/>
          <w:iCs/>
        </w:rPr>
      </w:pPr>
      <w:r w:rsidRPr="00F64648">
        <w:rPr>
          <w:i/>
          <w:iCs/>
        </w:rPr>
        <w:t>(Document</w:t>
      </w:r>
      <w:r>
        <w:rPr>
          <w:i/>
          <w:iCs/>
        </w:rPr>
        <w:t>s</w:t>
      </w:r>
      <w:r w:rsidRPr="00F64648">
        <w:rPr>
          <w:i/>
          <w:iCs/>
        </w:rPr>
        <w:t xml:space="preserve"> de référence : </w:t>
      </w:r>
      <w:r>
        <w:rPr>
          <w:i/>
          <w:iCs/>
        </w:rPr>
        <w:t>documents informels INF.4 et INF.45, proposition 3</w:t>
      </w:r>
      <w:r w:rsidRPr="00F64648">
        <w:rPr>
          <w:i/>
          <w:iCs/>
        </w:rPr>
        <w:t>)</w:t>
      </w:r>
    </w:p>
    <w:p w14:paraId="5D7D54C7" w14:textId="77777777" w:rsidR="00333FCB" w:rsidRDefault="00333FCB" w:rsidP="00333FCB">
      <w:pPr>
        <w:pStyle w:val="SingleTxtG"/>
      </w:pPr>
      <w:r w:rsidRPr="00AE22FE">
        <w:t>(ADR :)</w:t>
      </w:r>
      <w:r>
        <w:t xml:space="preserve"> 6.8.2.1.20 b) 1.</w:t>
      </w:r>
      <w:r>
        <w:tab/>
        <w:t>Au deuxième tiret, remplacer « volume compris » par « capacité ».</w:t>
      </w:r>
    </w:p>
    <w:p w14:paraId="2C2A475C" w14:textId="77777777" w:rsidR="00333FCB" w:rsidRDefault="00333FCB" w:rsidP="00333FCB">
      <w:pPr>
        <w:pStyle w:val="SingleTxtG"/>
        <w:rPr>
          <w:i/>
          <w:iCs/>
        </w:rPr>
      </w:pPr>
      <w:r w:rsidRPr="00F64648">
        <w:rPr>
          <w:i/>
          <w:iCs/>
        </w:rPr>
        <w:t>(Document</w:t>
      </w:r>
      <w:r>
        <w:rPr>
          <w:i/>
          <w:iCs/>
        </w:rPr>
        <w:t>s</w:t>
      </w:r>
      <w:r w:rsidRPr="00F64648">
        <w:rPr>
          <w:i/>
          <w:iCs/>
        </w:rPr>
        <w:t xml:space="preserve"> de référence : </w:t>
      </w:r>
      <w:r>
        <w:rPr>
          <w:i/>
          <w:iCs/>
        </w:rPr>
        <w:t>documents informels INF.38 et INF.45, proposition 5</w:t>
      </w:r>
      <w:r w:rsidRPr="00F64648">
        <w:rPr>
          <w:i/>
          <w:iCs/>
        </w:rPr>
        <w:t>)</w:t>
      </w:r>
    </w:p>
    <w:p w14:paraId="6D0071EE" w14:textId="77777777" w:rsidR="00333FCB" w:rsidRDefault="00333FCB" w:rsidP="00333FCB">
      <w:pPr>
        <w:pStyle w:val="SingleTxtG"/>
      </w:pPr>
      <w:r>
        <w:t xml:space="preserve">(RID :) 6.8.2.2.2 </w:t>
      </w:r>
      <w:r>
        <w:tab/>
        <w:t>Version allemande uniquement.</w:t>
      </w:r>
    </w:p>
    <w:p w14:paraId="451FABAD" w14:textId="77777777" w:rsidR="00333FCB" w:rsidRDefault="00333FCB" w:rsidP="00333FCB">
      <w:pPr>
        <w:pStyle w:val="SingleTxtG"/>
        <w:rPr>
          <w:i/>
          <w:iCs/>
        </w:rPr>
      </w:pPr>
      <w:r w:rsidRPr="00F64648">
        <w:rPr>
          <w:i/>
          <w:iCs/>
        </w:rPr>
        <w:t>(Document</w:t>
      </w:r>
      <w:r>
        <w:rPr>
          <w:i/>
          <w:iCs/>
        </w:rPr>
        <w:t>s</w:t>
      </w:r>
      <w:r w:rsidRPr="00F64648">
        <w:rPr>
          <w:i/>
          <w:iCs/>
        </w:rPr>
        <w:t xml:space="preserve"> de référence : </w:t>
      </w:r>
      <w:r>
        <w:rPr>
          <w:i/>
          <w:iCs/>
        </w:rPr>
        <w:t>documents informels INF.4 et INF.45, proposition 4</w:t>
      </w:r>
      <w:r w:rsidRPr="00F64648">
        <w:rPr>
          <w:i/>
          <w:iCs/>
        </w:rPr>
        <w:t>)</w:t>
      </w:r>
    </w:p>
    <w:p w14:paraId="6B09DB32" w14:textId="77777777" w:rsidR="00333FCB" w:rsidRDefault="00333FCB" w:rsidP="00333FCB">
      <w:pPr>
        <w:pStyle w:val="H23G"/>
      </w:pPr>
      <w:r>
        <w:tab/>
      </w:r>
      <w:r>
        <w:tab/>
        <w:t>Chapitre 6.10</w:t>
      </w:r>
    </w:p>
    <w:p w14:paraId="742AF4B6" w14:textId="33926A3F" w:rsidR="00333FCB" w:rsidRDefault="00333FCB" w:rsidP="00333FCB">
      <w:pPr>
        <w:pStyle w:val="SingleTxtG"/>
      </w:pPr>
      <w:r w:rsidRPr="00ED4AAE">
        <w:t>(RID/ADR</w:t>
      </w:r>
      <w:r w:rsidR="00F76DA4">
        <w:t> </w:t>
      </w:r>
      <w:r w:rsidRPr="00ED4AAE">
        <w:t xml:space="preserve">:) </w:t>
      </w:r>
      <w:r>
        <w:t>6.10.3.8 a)</w:t>
      </w:r>
      <w:r w:rsidRPr="00F64648">
        <w:tab/>
      </w:r>
      <w:r>
        <w:t>Ajouter le nouveau Nota suivant sous cet alinéa :</w:t>
      </w:r>
    </w:p>
    <w:p w14:paraId="2EFAEB85" w14:textId="4FEFE76E" w:rsidR="00333FCB" w:rsidRDefault="00333FCB" w:rsidP="00333FCB">
      <w:pPr>
        <w:pStyle w:val="SingleTxtG"/>
      </w:pPr>
      <w:r>
        <w:t>« </w:t>
      </w:r>
      <w:r w:rsidRPr="001E01D8">
        <w:rPr>
          <w:b/>
          <w:bCs/>
          <w:i/>
          <w:iCs/>
        </w:rPr>
        <w:t>NOTA :</w:t>
      </w:r>
      <w:r w:rsidRPr="001E01D8">
        <w:rPr>
          <w:i/>
          <w:iCs/>
        </w:rPr>
        <w:t xml:space="preserve"> </w:t>
      </w:r>
      <w:r w:rsidRPr="001E01D8">
        <w:rPr>
          <w:i/>
          <w:iCs/>
        </w:rPr>
        <w:tab/>
      </w:r>
      <w:r w:rsidRPr="002F08B6">
        <w:rPr>
          <w:i/>
          <w:iCs/>
        </w:rPr>
        <w:t>Cette prescription peut</w:t>
      </w:r>
      <w:r>
        <w:rPr>
          <w:i/>
          <w:iCs/>
        </w:rPr>
        <w:t>, par exemple,</w:t>
      </w:r>
      <w:r w:rsidRPr="002F08B6">
        <w:rPr>
          <w:i/>
          <w:iCs/>
        </w:rPr>
        <w:t xml:space="preserve"> être satisfaite en utilisant </w:t>
      </w:r>
      <w:r>
        <w:rPr>
          <w:i/>
          <w:iCs/>
        </w:rPr>
        <w:t xml:space="preserve">une tubulure verticale ou </w:t>
      </w:r>
      <w:r w:rsidRPr="002F08B6">
        <w:rPr>
          <w:i/>
          <w:iCs/>
        </w:rPr>
        <w:t xml:space="preserve">une </w:t>
      </w:r>
      <w:r>
        <w:rPr>
          <w:i/>
          <w:iCs/>
        </w:rPr>
        <w:t>sortie</w:t>
      </w:r>
      <w:r w:rsidRPr="002F08B6">
        <w:rPr>
          <w:i/>
          <w:iCs/>
        </w:rPr>
        <w:t xml:space="preserve"> en partie basse</w:t>
      </w:r>
      <w:r>
        <w:rPr>
          <w:i/>
          <w:iCs/>
        </w:rPr>
        <w:t>,</w:t>
      </w:r>
      <w:r w:rsidRPr="002F08B6">
        <w:rPr>
          <w:i/>
          <w:iCs/>
        </w:rPr>
        <w:t xml:space="preserve"> munie d</w:t>
      </w:r>
      <w:r>
        <w:rPr>
          <w:i/>
          <w:iCs/>
        </w:rPr>
        <w:t>’</w:t>
      </w:r>
      <w:r w:rsidRPr="002F08B6">
        <w:rPr>
          <w:i/>
          <w:iCs/>
        </w:rPr>
        <w:t>un raccord permettant, le cas échéant, la fixation d</w:t>
      </w:r>
      <w:r>
        <w:rPr>
          <w:i/>
          <w:iCs/>
        </w:rPr>
        <w:t>’</w:t>
      </w:r>
      <w:r w:rsidRPr="002F08B6">
        <w:rPr>
          <w:i/>
          <w:iCs/>
        </w:rPr>
        <w:t>un flexible.</w:t>
      </w:r>
      <w:r>
        <w:t> ».</w:t>
      </w:r>
    </w:p>
    <w:p w14:paraId="6B2A1B77" w14:textId="77777777" w:rsidR="00333FCB" w:rsidRDefault="00333FCB" w:rsidP="00333FCB">
      <w:pPr>
        <w:pStyle w:val="SingleTxtG"/>
        <w:rPr>
          <w:i/>
          <w:iCs/>
        </w:rPr>
      </w:pPr>
      <w:r w:rsidRPr="00F64648">
        <w:rPr>
          <w:i/>
          <w:iCs/>
        </w:rPr>
        <w:t>(Document</w:t>
      </w:r>
      <w:r>
        <w:rPr>
          <w:i/>
          <w:iCs/>
        </w:rPr>
        <w:t>s</w:t>
      </w:r>
      <w:r w:rsidRPr="00F64648">
        <w:rPr>
          <w:i/>
          <w:iCs/>
        </w:rPr>
        <w:t xml:space="preserve"> de référence : </w:t>
      </w:r>
      <w:r>
        <w:rPr>
          <w:i/>
          <w:iCs/>
        </w:rPr>
        <w:t>ECE/TRANS/WP.15/AC.1/2019/26 et document informel INF.45, proposition 1 tel que modifié</w:t>
      </w:r>
      <w:r w:rsidRPr="00F64648">
        <w:rPr>
          <w:i/>
          <w:iCs/>
        </w:rPr>
        <w:t>)</w:t>
      </w:r>
    </w:p>
    <w:p w14:paraId="496C8F61" w14:textId="77777777" w:rsidR="00333FCB" w:rsidRDefault="00333FCB" w:rsidP="00333FCB">
      <w:pPr>
        <w:pStyle w:val="H23G"/>
      </w:pPr>
      <w:r>
        <w:tab/>
      </w:r>
      <w:r>
        <w:tab/>
        <w:t>Chapitre 6.11</w:t>
      </w:r>
    </w:p>
    <w:p w14:paraId="64C54C7C" w14:textId="70F084D1" w:rsidR="00333FCB" w:rsidRDefault="00333FCB" w:rsidP="00333FCB">
      <w:pPr>
        <w:pStyle w:val="SingleTxtG"/>
      </w:pPr>
      <w:r>
        <w:t>(RID/ADR :) 6.11.4.1</w:t>
      </w:r>
      <w:r>
        <w:tab/>
        <w:t>Dans le Nota, remplacer « </w:t>
      </w:r>
      <w:r w:rsidRPr="00906244">
        <w:t>des Fiches UIC 591, 592 et 592-2 à 592-4</w:t>
      </w:r>
      <w:r>
        <w:t xml:space="preserve"> » par « des IRS </w:t>
      </w:r>
      <w:r w:rsidRPr="00906244">
        <w:t xml:space="preserve">50591 (Caisses amovibles pour transbordement horizontal </w:t>
      </w:r>
      <w:r w:rsidR="00F76DA4">
        <w:t>−</w:t>
      </w:r>
      <w:r w:rsidRPr="00906244">
        <w:t xml:space="preserve"> Conditions techniques à remplir pour l</w:t>
      </w:r>
      <w:r>
        <w:t>’</w:t>
      </w:r>
      <w:r w:rsidRPr="00906244">
        <w:t xml:space="preserve">utilisation en trafic international)* et 50592 (Unités de Transport Intermodal à transbordement vertical, autres que semi-remorques, aptes au transport sur wagons </w:t>
      </w:r>
      <w:r w:rsidR="00F76DA4">
        <w:t>−</w:t>
      </w:r>
      <w:r w:rsidRPr="00906244">
        <w:t xml:space="preserve"> Exigences minimales)** publiés par l</w:t>
      </w:r>
      <w:r>
        <w:t>’</w:t>
      </w:r>
      <w:r w:rsidRPr="00906244">
        <w:t>UIC</w:t>
      </w:r>
      <w:r>
        <w:t> ».</w:t>
      </w:r>
    </w:p>
    <w:p w14:paraId="00141F7F" w14:textId="77777777" w:rsidR="00333FCB" w:rsidRDefault="00333FCB" w:rsidP="00333FCB">
      <w:pPr>
        <w:pStyle w:val="SingleTxtG"/>
      </w:pPr>
      <w:r>
        <w:t xml:space="preserve">Les notes de bas de page </w:t>
      </w:r>
      <w:r w:rsidRPr="00906244">
        <w:t>*</w:t>
      </w:r>
      <w:r>
        <w:t xml:space="preserve"> et </w:t>
      </w:r>
      <w:r w:rsidRPr="00906244">
        <w:t>**</w:t>
      </w:r>
      <w:r>
        <w:t xml:space="preserve"> se lisent comme suit (numérotation à adapter) :</w:t>
      </w:r>
    </w:p>
    <w:p w14:paraId="1F08F493" w14:textId="47390208" w:rsidR="00333FCB" w:rsidRDefault="00333FCB" w:rsidP="00333FCB">
      <w:pPr>
        <w:pStyle w:val="SingleTxtG"/>
      </w:pPr>
      <w:r>
        <w:t>« *</w:t>
      </w:r>
      <w:r>
        <w:tab/>
        <w:t>Première édition de l’IRS (International Railway Solution) applicable à partir du 1</w:t>
      </w:r>
      <w:r w:rsidRPr="00F76DA4">
        <w:rPr>
          <w:vertAlign w:val="superscript"/>
        </w:rPr>
        <w:t>er</w:t>
      </w:r>
      <w:r w:rsidR="00F76DA4">
        <w:t> </w:t>
      </w:r>
      <w:r>
        <w:t>janvier 2020.</w:t>
      </w:r>
    </w:p>
    <w:p w14:paraId="359B700A" w14:textId="03965297" w:rsidR="00333FCB" w:rsidRDefault="00333FCB" w:rsidP="00333FCB">
      <w:pPr>
        <w:pStyle w:val="SingleTxtG"/>
      </w:pPr>
      <w:r>
        <w:t>**</w:t>
      </w:r>
      <w:r>
        <w:tab/>
        <w:t>Première édition de l’IRS (International Railway Solution) applicable à partir du 1</w:t>
      </w:r>
      <w:r w:rsidRPr="00F76DA4">
        <w:rPr>
          <w:vertAlign w:val="superscript"/>
        </w:rPr>
        <w:t>er</w:t>
      </w:r>
      <w:r w:rsidR="00F76DA4">
        <w:t> </w:t>
      </w:r>
      <w:r>
        <w:t>janvier 2019. ».</w:t>
      </w:r>
    </w:p>
    <w:p w14:paraId="2725FF6F" w14:textId="77777777" w:rsidR="00333FCB" w:rsidRDefault="00333FCB" w:rsidP="00333FCB">
      <w:pPr>
        <w:pStyle w:val="SingleTxtG"/>
        <w:rPr>
          <w:i/>
          <w:iCs/>
        </w:rPr>
      </w:pPr>
      <w:r w:rsidRPr="0063230C">
        <w:rPr>
          <w:i/>
          <w:iCs/>
        </w:rPr>
        <w:t xml:space="preserve">(Document de référence : </w:t>
      </w:r>
      <w:r>
        <w:rPr>
          <w:i/>
          <w:iCs/>
        </w:rPr>
        <w:t>ECE/TRANS/WP.15/AC.1/2019/48</w:t>
      </w:r>
      <w:r w:rsidRPr="0063230C">
        <w:rPr>
          <w:i/>
          <w:iCs/>
        </w:rPr>
        <w:t>)</w:t>
      </w:r>
    </w:p>
    <w:p w14:paraId="77C509F5" w14:textId="77777777" w:rsidR="00333FCB" w:rsidRDefault="00333FCB" w:rsidP="00333FCB">
      <w:pPr>
        <w:pStyle w:val="H23G"/>
      </w:pPr>
      <w:r>
        <w:tab/>
      </w:r>
      <w:r>
        <w:tab/>
        <w:t>Chapitre 7.1</w:t>
      </w:r>
    </w:p>
    <w:p w14:paraId="5D1BE487" w14:textId="0A61B4C1" w:rsidR="00333FCB" w:rsidRDefault="00333FCB" w:rsidP="00F76DA4">
      <w:pPr>
        <w:pStyle w:val="SingleTxtG"/>
        <w:ind w:left="2268" w:hanging="1134"/>
      </w:pPr>
      <w:r>
        <w:t xml:space="preserve">(RID/ADR :) </w:t>
      </w:r>
      <w:r w:rsidR="00F76DA4">
        <w:tab/>
      </w:r>
      <w:r>
        <w:t>7.1.3</w:t>
      </w:r>
      <w:r>
        <w:tab/>
        <w:t>Remplacer « </w:t>
      </w:r>
      <w:r w:rsidRPr="00D81121">
        <w:t>les Fiches UIC 591 (état au 01.10.2007, 3ème édition), 592 (état au 01.10.2013, 2ème édition), 592-2 (état au 01.10.2004, 6ème édition), 592-3 (état au 01.01.1998, 2ème édition) et 592-4 (état au 01.05.2007, 3ème édition)</w:t>
      </w:r>
      <w:r>
        <w:t> » par « </w:t>
      </w:r>
      <w:r w:rsidRPr="00D81121">
        <w:t xml:space="preserve">les IRS 50591 (Caisses amovibles pour transbordement horizontal </w:t>
      </w:r>
      <w:r w:rsidR="00F76DA4">
        <w:t>−</w:t>
      </w:r>
      <w:r w:rsidRPr="00D81121">
        <w:t xml:space="preserve"> Conditions techniques à remplir pour l</w:t>
      </w:r>
      <w:r>
        <w:t>’</w:t>
      </w:r>
      <w:r w:rsidRPr="00D81121">
        <w:t xml:space="preserve">utilisation en trafic international)* et 50592 (Unités de Transport Intermodal à transbordement vertical, autres que semi-remorques, aptes au transport sur wagons </w:t>
      </w:r>
      <w:r w:rsidR="00F76DA4">
        <w:t>−</w:t>
      </w:r>
      <w:r w:rsidRPr="00D81121">
        <w:t xml:space="preserve"> Exigences minimales)** publiés par l</w:t>
      </w:r>
      <w:r>
        <w:t>’</w:t>
      </w:r>
      <w:r w:rsidRPr="00D81121">
        <w:t>UIC</w:t>
      </w:r>
      <w:r>
        <w:t> ». À la fin, remplacer « </w:t>
      </w:r>
      <w:r w:rsidRPr="00D81121">
        <w:t>des Fiches UIC 591, 592 et 592-2 à 592-4</w:t>
      </w:r>
      <w:r>
        <w:t> » par « </w:t>
      </w:r>
      <w:r w:rsidRPr="00D81121">
        <w:t>des IRS 50591 et 50592 de l</w:t>
      </w:r>
      <w:r>
        <w:t>’</w:t>
      </w:r>
      <w:r w:rsidRPr="00D81121">
        <w:t>UIC</w:t>
      </w:r>
      <w:r>
        <w:t> ».</w:t>
      </w:r>
    </w:p>
    <w:p w14:paraId="121AF7DF" w14:textId="77777777" w:rsidR="00333FCB" w:rsidRDefault="00333FCB" w:rsidP="00F76DA4">
      <w:pPr>
        <w:pStyle w:val="SingleTxtG"/>
        <w:ind w:left="2268"/>
      </w:pPr>
      <w:r>
        <w:t xml:space="preserve">Les notes de bas de page </w:t>
      </w:r>
      <w:r w:rsidRPr="00906244">
        <w:t>*</w:t>
      </w:r>
      <w:r>
        <w:t xml:space="preserve"> et </w:t>
      </w:r>
      <w:r w:rsidRPr="00906244">
        <w:t>**</w:t>
      </w:r>
      <w:r>
        <w:t xml:space="preserve"> se lisent comme suit (numérotation à adapter) :</w:t>
      </w:r>
    </w:p>
    <w:p w14:paraId="2FA3DDE9" w14:textId="515839F5" w:rsidR="00333FCB" w:rsidRDefault="00333FCB" w:rsidP="00333FCB">
      <w:pPr>
        <w:pStyle w:val="SingleTxtG"/>
      </w:pPr>
      <w:r>
        <w:t>« *</w:t>
      </w:r>
      <w:r>
        <w:tab/>
        <w:t>Première édition de l’IRS (International Railway Solution) applicable à partir du 1er janvier 2020.</w:t>
      </w:r>
    </w:p>
    <w:p w14:paraId="3C84FA74" w14:textId="62497A36" w:rsidR="00333FCB" w:rsidRDefault="00333FCB" w:rsidP="00333FCB">
      <w:pPr>
        <w:pStyle w:val="SingleTxtG"/>
      </w:pPr>
      <w:r>
        <w:t>**</w:t>
      </w:r>
      <w:r>
        <w:tab/>
        <w:t>Première édition de l’IRS (International Railway Solution) applicable à partir du 1er janvier 2019. ».</w:t>
      </w:r>
    </w:p>
    <w:p w14:paraId="54890091" w14:textId="77777777" w:rsidR="00333FCB" w:rsidRDefault="00333FCB" w:rsidP="00333FCB">
      <w:pPr>
        <w:pStyle w:val="SingleTxtG"/>
        <w:rPr>
          <w:i/>
          <w:iCs/>
        </w:rPr>
      </w:pPr>
      <w:r w:rsidRPr="0063230C">
        <w:rPr>
          <w:i/>
          <w:iCs/>
        </w:rPr>
        <w:t xml:space="preserve">(Document de référence : </w:t>
      </w:r>
      <w:r>
        <w:rPr>
          <w:i/>
          <w:iCs/>
        </w:rPr>
        <w:t>ECE/TRANS/WP.15/AC.1/2019/48</w:t>
      </w:r>
      <w:r w:rsidRPr="0063230C">
        <w:rPr>
          <w:i/>
          <w:iCs/>
        </w:rPr>
        <w:t>)</w:t>
      </w:r>
    </w:p>
    <w:p w14:paraId="26E79F02" w14:textId="29FF3ABD" w:rsidR="00333FCB" w:rsidRPr="00F76DA4" w:rsidRDefault="00F76DA4" w:rsidP="00F76DA4">
      <w:pPr>
        <w:pStyle w:val="H23G"/>
      </w:pPr>
      <w:r>
        <w:rPr>
          <w:rStyle w:val="H1GChar"/>
          <w:b/>
          <w:sz w:val="20"/>
        </w:rPr>
        <w:tab/>
      </w:r>
      <w:r>
        <w:rPr>
          <w:rStyle w:val="H1GChar"/>
          <w:b/>
          <w:sz w:val="20"/>
        </w:rPr>
        <w:tab/>
      </w:r>
      <w:r w:rsidR="00333FCB" w:rsidRPr="00F76DA4">
        <w:rPr>
          <w:rStyle w:val="H1GChar"/>
          <w:b/>
          <w:sz w:val="20"/>
        </w:rPr>
        <w:t>Document ECE/TRANS/WP.15/AC.1/2019/22/Add.1</w:t>
      </w:r>
      <w:r w:rsidR="00333FCB" w:rsidRPr="00F76DA4">
        <w:t xml:space="preserve"> adopté avec les modifications suivantes :</w:t>
      </w:r>
    </w:p>
    <w:p w14:paraId="1ECBCB86" w14:textId="77777777" w:rsidR="00333FCB" w:rsidRDefault="00333FCB" w:rsidP="00333FCB">
      <w:pPr>
        <w:pStyle w:val="SingleTxtG"/>
        <w:rPr>
          <w:lang w:val="fr-FR"/>
        </w:rPr>
      </w:pPr>
      <w:r>
        <w:t>Chapitre 1.2, 1.2.1, dans la définition de « </w:t>
      </w:r>
      <w:bookmarkStart w:id="12" w:name="_Hlk10038968"/>
      <w:r w:rsidRPr="0069237A">
        <w:rPr>
          <w:i/>
          <w:iCs/>
          <w:lang w:val="fr-FR"/>
        </w:rPr>
        <w:t>Température de décomposition auto-accélérée</w:t>
      </w:r>
      <w:r>
        <w:rPr>
          <w:i/>
          <w:iCs/>
          <w:lang w:val="fr-FR"/>
        </w:rPr>
        <w:t xml:space="preserve"> (TDAA)</w:t>
      </w:r>
      <w:bookmarkEnd w:id="12"/>
      <w:r>
        <w:rPr>
          <w:lang w:val="fr-FR"/>
        </w:rPr>
        <w:t> » :</w:t>
      </w:r>
    </w:p>
    <w:p w14:paraId="0B4B8536" w14:textId="77777777" w:rsidR="00333FCB" w:rsidRPr="0063230C" w:rsidRDefault="00333FCB" w:rsidP="00F76DA4">
      <w:pPr>
        <w:pStyle w:val="Bullet1G"/>
      </w:pPr>
      <w:r>
        <w:rPr>
          <w:lang w:val="fr-FR"/>
        </w:rPr>
        <w:t>Dans le texte français, remplacer « peut se produire pour une matière » par « peut se produire dans une matière ».</w:t>
      </w:r>
    </w:p>
    <w:p w14:paraId="6B421E90" w14:textId="77777777" w:rsidR="00333FCB" w:rsidRDefault="00333FCB" w:rsidP="00F76DA4">
      <w:pPr>
        <w:pStyle w:val="Bullet1G"/>
      </w:pPr>
      <w:r>
        <w:t>Remplacer « , la citerne ou la citerne mobile » par « ou la citerne ».</w:t>
      </w:r>
    </w:p>
    <w:p w14:paraId="629B721F" w14:textId="77777777" w:rsidR="00333FCB" w:rsidRDefault="00333FCB" w:rsidP="00333FCB">
      <w:pPr>
        <w:pStyle w:val="SingleTxtG"/>
        <w:rPr>
          <w:i/>
          <w:iCs/>
        </w:rPr>
      </w:pPr>
      <w:r w:rsidRPr="0063230C">
        <w:rPr>
          <w:i/>
          <w:iCs/>
        </w:rPr>
        <w:t>(Documents de référence : documents informels INF.20 et INF.31)</w:t>
      </w:r>
    </w:p>
    <w:p w14:paraId="0075FA30" w14:textId="13285A47" w:rsidR="00333FCB" w:rsidRPr="00C21533" w:rsidRDefault="00333FCB" w:rsidP="004F08DE">
      <w:pPr>
        <w:pStyle w:val="SingleTxtG"/>
        <w:tabs>
          <w:tab w:val="left" w:pos="2268"/>
        </w:tabs>
        <w:ind w:left="2259" w:hanging="1125"/>
        <w:rPr>
          <w:i/>
          <w:iCs/>
          <w:lang w:val="fr-FR"/>
        </w:rPr>
      </w:pPr>
      <w:r w:rsidRPr="004C5B83">
        <w:t>1.6.6.1</w:t>
      </w:r>
      <w:r>
        <w:tab/>
      </w:r>
      <w:r w:rsidRPr="004C5B83">
        <w:tab/>
        <w:t>Modifier le titre pour lire « Colis dont le modèle n</w:t>
      </w:r>
      <w:r>
        <w:t>’</w:t>
      </w:r>
      <w:r w:rsidRPr="004C5B83">
        <w:t>a pas à être agréé par l</w:t>
      </w:r>
      <w:r>
        <w:t>’</w:t>
      </w:r>
      <w:r w:rsidRPr="004C5B83">
        <w:t>autorité compétente en vertu des éditions de 1985, de 1985 (telle que modifiée en 1990), de 1996, de 1996 (révisée), de 1996 (telle que modifiée en 2003), de 2005 et de 2009 du Règlement de transport des matières radioactives de l</w:t>
      </w:r>
      <w:r>
        <w:t>’</w:t>
      </w:r>
      <w:r w:rsidRPr="004C5B83">
        <w:t xml:space="preserve">AIEA ». </w:t>
      </w:r>
    </w:p>
    <w:p w14:paraId="490BBEA1" w14:textId="77777777" w:rsidR="00333FCB" w:rsidRPr="0069446C" w:rsidRDefault="00333FCB" w:rsidP="00333FCB">
      <w:pPr>
        <w:pStyle w:val="SingleTxtG"/>
        <w:rPr>
          <w:i/>
          <w:iCs/>
          <w:lang w:val="fr-FR"/>
        </w:rPr>
      </w:pPr>
      <w:r w:rsidRPr="0069446C">
        <w:rPr>
          <w:i/>
          <w:iCs/>
          <w:lang w:val="fr-FR"/>
        </w:rPr>
        <w:t>(Document de référence : document informel INF.4</w:t>
      </w:r>
      <w:r>
        <w:rPr>
          <w:i/>
          <w:iCs/>
          <w:lang w:val="fr-FR"/>
        </w:rPr>
        <w:t>9</w:t>
      </w:r>
      <w:r w:rsidRPr="0069446C">
        <w:rPr>
          <w:i/>
          <w:iCs/>
          <w:lang w:val="fr-FR"/>
        </w:rPr>
        <w:t>)</w:t>
      </w:r>
    </w:p>
    <w:p w14:paraId="629D135C" w14:textId="67D8487E" w:rsidR="00333FCB" w:rsidRPr="004C5B83" w:rsidRDefault="00333FCB" w:rsidP="004F08DE">
      <w:pPr>
        <w:pStyle w:val="SingleTxtG"/>
        <w:tabs>
          <w:tab w:val="left" w:pos="2268"/>
        </w:tabs>
        <w:ind w:left="2259" w:hanging="1125"/>
      </w:pPr>
      <w:r w:rsidRPr="004C5B83">
        <w:t>1.6.6.1 a)</w:t>
      </w:r>
      <w:r w:rsidRPr="004C5B83">
        <w:tab/>
        <w:t>Modifier pour lire : « a)</w:t>
      </w:r>
      <w:r w:rsidRPr="004C5B83">
        <w:tab/>
        <w:t>Les colis qui satisfont aux prescriptions des éditions de 1985 ou de 1985 (telle que modifiée en 1990) du Règlement de transport des matières radioactives de l</w:t>
      </w:r>
      <w:r>
        <w:t>’</w:t>
      </w:r>
      <w:r w:rsidRPr="004C5B83">
        <w:t>AIEA : ».</w:t>
      </w:r>
    </w:p>
    <w:p w14:paraId="3EFC92CE" w14:textId="77777777" w:rsidR="00333FCB" w:rsidRPr="0069446C" w:rsidRDefault="00333FCB" w:rsidP="00333FCB">
      <w:pPr>
        <w:pStyle w:val="SingleTxtG"/>
        <w:rPr>
          <w:i/>
          <w:iCs/>
          <w:lang w:val="fr-FR"/>
        </w:rPr>
      </w:pPr>
      <w:r w:rsidRPr="0069446C">
        <w:rPr>
          <w:i/>
          <w:iCs/>
          <w:lang w:val="fr-FR"/>
        </w:rPr>
        <w:t>(Document de référence : document informel INF.4</w:t>
      </w:r>
      <w:r>
        <w:rPr>
          <w:i/>
          <w:iCs/>
          <w:lang w:val="fr-FR"/>
        </w:rPr>
        <w:t>9</w:t>
      </w:r>
      <w:r w:rsidRPr="0069446C">
        <w:rPr>
          <w:i/>
          <w:iCs/>
          <w:lang w:val="fr-FR"/>
        </w:rPr>
        <w:t>)</w:t>
      </w:r>
    </w:p>
    <w:p w14:paraId="7A98AF44" w14:textId="19B08C59" w:rsidR="00333FCB" w:rsidRPr="004C5B83" w:rsidRDefault="00333FCB" w:rsidP="004F08DE">
      <w:pPr>
        <w:pStyle w:val="SingleTxtG"/>
        <w:tabs>
          <w:tab w:val="left" w:pos="2268"/>
        </w:tabs>
        <w:ind w:left="2259" w:hanging="1125"/>
      </w:pPr>
      <w:r w:rsidRPr="004C5B83">
        <w:t>1.6.6.1 b)</w:t>
      </w:r>
      <w:r w:rsidRPr="004C5B83">
        <w:tab/>
        <w:t>Modifier pour lire : « b)</w:t>
      </w:r>
      <w:r w:rsidRPr="004C5B83">
        <w:tab/>
        <w:t>Les colis qui satisfont aux dispositions des éditions de 1996, de 1996 (révisée), de 1996 (telle que modifiée en 2003), de 2005, de 2009 ou de 2012 du Règlement de transport des matières radioactives de l</w:t>
      </w:r>
      <w:r>
        <w:t>’</w:t>
      </w:r>
      <w:r w:rsidRPr="004C5B83">
        <w:t>AIEA : ».</w:t>
      </w:r>
    </w:p>
    <w:p w14:paraId="4E88BA04" w14:textId="77777777" w:rsidR="00333FCB" w:rsidRPr="0069446C" w:rsidRDefault="00333FCB" w:rsidP="00333FCB">
      <w:pPr>
        <w:pStyle w:val="SingleTxtG"/>
        <w:rPr>
          <w:i/>
          <w:iCs/>
          <w:lang w:val="fr-FR"/>
        </w:rPr>
      </w:pPr>
      <w:r w:rsidRPr="0069446C">
        <w:rPr>
          <w:i/>
          <w:iCs/>
          <w:lang w:val="fr-FR"/>
        </w:rPr>
        <w:t>(Document de référence : document informel INF.4</w:t>
      </w:r>
      <w:r>
        <w:rPr>
          <w:i/>
          <w:iCs/>
          <w:lang w:val="fr-FR"/>
        </w:rPr>
        <w:t>9</w:t>
      </w:r>
      <w:r w:rsidRPr="0069446C">
        <w:rPr>
          <w:i/>
          <w:iCs/>
          <w:lang w:val="fr-FR"/>
        </w:rPr>
        <w:t>)</w:t>
      </w:r>
    </w:p>
    <w:p w14:paraId="6E54FE19" w14:textId="4A3BC4EB" w:rsidR="00333FCB" w:rsidRPr="004C5B83" w:rsidRDefault="00333FCB" w:rsidP="00426D71">
      <w:pPr>
        <w:pStyle w:val="SingleTxtG"/>
        <w:ind w:left="2268" w:hanging="1134"/>
      </w:pPr>
      <w:r w:rsidRPr="004C5B83">
        <w:t>1.6.6.2</w:t>
      </w:r>
      <w:r w:rsidRPr="004C5B83">
        <w:tab/>
      </w:r>
      <w:r>
        <w:tab/>
      </w:r>
      <w:r w:rsidRPr="004C5B83">
        <w:t>Modifier le titre pour lire : « Modèles de colis agréés par l</w:t>
      </w:r>
      <w:r>
        <w:t>’</w:t>
      </w:r>
      <w:r w:rsidRPr="004C5B83">
        <w:t>autorité compétente en vertu des éditions de 1985, de 1985 (telle que modifiée en 1990), de 1996, de 1996 (révisée), de 1996 (telle que modifiée en 2003), de 2005, de 2009 et de 2012 du Règlement de transport des matières radioactives de l</w:t>
      </w:r>
      <w:r>
        <w:t>’</w:t>
      </w:r>
      <w:r w:rsidRPr="004C5B83">
        <w:t>AIEA ».</w:t>
      </w:r>
    </w:p>
    <w:p w14:paraId="4DA4EC55" w14:textId="77777777" w:rsidR="00333FCB" w:rsidRPr="0069446C" w:rsidRDefault="00333FCB" w:rsidP="00333FCB">
      <w:pPr>
        <w:pStyle w:val="SingleTxtG"/>
        <w:rPr>
          <w:i/>
          <w:iCs/>
          <w:lang w:val="fr-FR"/>
        </w:rPr>
      </w:pPr>
      <w:r w:rsidRPr="0069446C">
        <w:rPr>
          <w:i/>
          <w:iCs/>
          <w:lang w:val="fr-FR"/>
        </w:rPr>
        <w:t>(Document de référence : document informel INF.4</w:t>
      </w:r>
      <w:r>
        <w:rPr>
          <w:i/>
          <w:iCs/>
          <w:lang w:val="fr-FR"/>
        </w:rPr>
        <w:t>9</w:t>
      </w:r>
      <w:r w:rsidRPr="0069446C">
        <w:rPr>
          <w:i/>
          <w:iCs/>
          <w:lang w:val="fr-FR"/>
        </w:rPr>
        <w:t>)</w:t>
      </w:r>
    </w:p>
    <w:p w14:paraId="4B0B5E68" w14:textId="0328C0D0" w:rsidR="00333FCB" w:rsidRPr="004C5B83" w:rsidRDefault="00333FCB" w:rsidP="004F08DE">
      <w:pPr>
        <w:pStyle w:val="SingleTxtG"/>
        <w:tabs>
          <w:tab w:val="left" w:pos="2268"/>
        </w:tabs>
        <w:ind w:left="2259" w:hanging="1125"/>
      </w:pPr>
      <w:r w:rsidRPr="004C5B83">
        <w:t>1.6.6.2.1 a)</w:t>
      </w:r>
      <w:r w:rsidRPr="004C5B83">
        <w:tab/>
        <w:t>Modifier pour lire : « a)</w:t>
      </w:r>
      <w:r w:rsidRPr="004C5B83">
        <w:tab/>
        <w:t>Les emballages qui ont été fabriqués suivant un modèle de colis agréé par l</w:t>
      </w:r>
      <w:r>
        <w:t>’</w:t>
      </w:r>
      <w:r w:rsidRPr="004C5B83">
        <w:t>autorité compétente en vertu des dispositions de l</w:t>
      </w:r>
      <w:r>
        <w:t>’</w:t>
      </w:r>
      <w:r w:rsidRPr="004C5B83">
        <w:t>édition de 1985 ou de l</w:t>
      </w:r>
      <w:r>
        <w:t>’</w:t>
      </w:r>
      <w:r w:rsidRPr="004C5B83">
        <w:t>édition de 1985 (telle que modifiée en 1990) du Règlement de transport des matières radioactives de l</w:t>
      </w:r>
      <w:r>
        <w:t>’</w:t>
      </w:r>
      <w:r w:rsidRPr="004C5B83">
        <w:t>AIEA peuvent encore être utilisés à condition que toutes les conditions suivantes sont réunies :</w:t>
      </w:r>
      <w:r w:rsidRPr="007D0C58">
        <w:t xml:space="preserve"> </w:t>
      </w:r>
      <w:r w:rsidRPr="004C5B83">
        <w:t> ».</w:t>
      </w:r>
    </w:p>
    <w:p w14:paraId="0E319A58" w14:textId="77777777" w:rsidR="00333FCB" w:rsidRPr="0069446C" w:rsidRDefault="00333FCB" w:rsidP="00333FCB">
      <w:pPr>
        <w:pStyle w:val="SingleTxtG"/>
        <w:rPr>
          <w:i/>
          <w:iCs/>
          <w:lang w:val="fr-FR"/>
        </w:rPr>
      </w:pPr>
      <w:r w:rsidRPr="0069446C">
        <w:rPr>
          <w:i/>
          <w:iCs/>
          <w:lang w:val="fr-FR"/>
        </w:rPr>
        <w:t>(Document de référence : document informel INF.4</w:t>
      </w:r>
      <w:r>
        <w:rPr>
          <w:i/>
          <w:iCs/>
          <w:lang w:val="fr-FR"/>
        </w:rPr>
        <w:t>9</w:t>
      </w:r>
      <w:r w:rsidRPr="0069446C">
        <w:rPr>
          <w:i/>
          <w:iCs/>
          <w:lang w:val="fr-FR"/>
        </w:rPr>
        <w:t>)</w:t>
      </w:r>
    </w:p>
    <w:p w14:paraId="1FFADE4A" w14:textId="1224D96B" w:rsidR="00333FCB" w:rsidRPr="004C5B83" w:rsidRDefault="00333FCB" w:rsidP="004F08DE">
      <w:pPr>
        <w:pStyle w:val="SingleTxtG"/>
        <w:tabs>
          <w:tab w:val="left" w:pos="2268"/>
        </w:tabs>
        <w:ind w:left="2259" w:hanging="1125"/>
      </w:pPr>
      <w:r w:rsidRPr="004C5B83">
        <w:t>1.6.6.2.1 b)</w:t>
      </w:r>
      <w:r w:rsidRPr="004C5B83">
        <w:tab/>
        <w:t>Modifier pour lire : « b)</w:t>
      </w:r>
      <w:r w:rsidRPr="004C5B83">
        <w:tab/>
        <w:t>Les emballages qui ont été fabriqués suivant un modèle de colis agréé par l</w:t>
      </w:r>
      <w:r>
        <w:t>’</w:t>
      </w:r>
      <w:r w:rsidRPr="004C5B83">
        <w:t>autorité compétente en vertu des dispositions des éditions de 1996, de 1996 (révisée), de 1996 (telle que modifiée en 2003), de 2005, de 2009 et de 2012 du Règlement de transport des matières radioactives de l</w:t>
      </w:r>
      <w:r>
        <w:t>’</w:t>
      </w:r>
      <w:r w:rsidRPr="004C5B83">
        <w:t>AIEA, peuvent encore être utilisés à condition que toutes les conditions suivantes sont réunies : ».</w:t>
      </w:r>
    </w:p>
    <w:p w14:paraId="762E78D3" w14:textId="77777777" w:rsidR="00333FCB" w:rsidRPr="0069446C" w:rsidRDefault="00333FCB" w:rsidP="00333FCB">
      <w:pPr>
        <w:pStyle w:val="SingleTxtG"/>
        <w:rPr>
          <w:i/>
          <w:iCs/>
          <w:lang w:val="fr-FR"/>
        </w:rPr>
      </w:pPr>
      <w:r w:rsidRPr="0069446C">
        <w:rPr>
          <w:i/>
          <w:iCs/>
          <w:lang w:val="fr-FR"/>
        </w:rPr>
        <w:t>(Document de référence : document informel INF.4</w:t>
      </w:r>
      <w:r>
        <w:rPr>
          <w:i/>
          <w:iCs/>
          <w:lang w:val="fr-FR"/>
        </w:rPr>
        <w:t>9</w:t>
      </w:r>
      <w:r w:rsidRPr="0069446C">
        <w:rPr>
          <w:i/>
          <w:iCs/>
          <w:lang w:val="fr-FR"/>
        </w:rPr>
        <w:t>)</w:t>
      </w:r>
    </w:p>
    <w:p w14:paraId="6FDE1C7A" w14:textId="77777777" w:rsidR="00333FCB" w:rsidRPr="004C5B83" w:rsidRDefault="00333FCB" w:rsidP="004F08DE">
      <w:pPr>
        <w:pStyle w:val="SingleTxtG"/>
        <w:tabs>
          <w:tab w:val="left" w:pos="2268"/>
        </w:tabs>
        <w:ind w:left="2259" w:hanging="1125"/>
      </w:pPr>
      <w:r w:rsidRPr="004C5B83">
        <w:t>1.6.6.2.3</w:t>
      </w:r>
      <w:r w:rsidRPr="004C5B83">
        <w:tab/>
        <w:t xml:space="preserve">Modifier pour lire : </w:t>
      </w:r>
    </w:p>
    <w:p w14:paraId="36F76ED4" w14:textId="279EEECB" w:rsidR="00333FCB" w:rsidRPr="004C5B83" w:rsidRDefault="00333FCB" w:rsidP="004F08DE">
      <w:pPr>
        <w:pStyle w:val="SingleTxtG"/>
        <w:tabs>
          <w:tab w:val="left" w:pos="2268"/>
        </w:tabs>
        <w:ind w:left="2259" w:hanging="1125"/>
      </w:pPr>
      <w:r w:rsidRPr="004C5B83">
        <w:t>« 1.6.6.2.3</w:t>
      </w:r>
      <w:r w:rsidRPr="004C5B83">
        <w:tab/>
        <w:t>Il n</w:t>
      </w:r>
      <w:r>
        <w:t>’</w:t>
      </w:r>
      <w:r w:rsidRPr="004C5B83">
        <w:t>est pas permis de commencer après le 31 décembre 2028 une nouvelle fabrication d</w:t>
      </w:r>
      <w:r>
        <w:t>’</w:t>
      </w:r>
      <w:r w:rsidRPr="004C5B83">
        <w:t>emballages suivant un modèle de colis satisfaisant aux dispositions des éditions de 1996, de 1996 (révisée), de 1996 (telle que modifiée en 2003), de 2005, de 2009 et de 2012 du Règlement de transport des matières radioactives de l</w:t>
      </w:r>
      <w:r>
        <w:t>’</w:t>
      </w:r>
      <w:r w:rsidRPr="004C5B83">
        <w:t>AIEA. ».</w:t>
      </w:r>
    </w:p>
    <w:p w14:paraId="4D639441" w14:textId="77777777" w:rsidR="00333FCB" w:rsidRPr="0069446C" w:rsidRDefault="00333FCB" w:rsidP="00333FCB">
      <w:pPr>
        <w:pStyle w:val="SingleTxtG"/>
        <w:rPr>
          <w:i/>
          <w:iCs/>
          <w:lang w:val="fr-FR"/>
        </w:rPr>
      </w:pPr>
      <w:r w:rsidRPr="0069446C">
        <w:rPr>
          <w:i/>
          <w:iCs/>
          <w:lang w:val="fr-FR"/>
        </w:rPr>
        <w:t>(Document de référence : document informel INF.4</w:t>
      </w:r>
      <w:r>
        <w:rPr>
          <w:i/>
          <w:iCs/>
          <w:lang w:val="fr-FR"/>
        </w:rPr>
        <w:t>9</w:t>
      </w:r>
      <w:r w:rsidRPr="0069446C">
        <w:rPr>
          <w:i/>
          <w:iCs/>
          <w:lang w:val="fr-FR"/>
        </w:rPr>
        <w:t>)</w:t>
      </w:r>
    </w:p>
    <w:p w14:paraId="003B6845" w14:textId="64C712A5" w:rsidR="00333FCB" w:rsidRPr="004C5B83" w:rsidRDefault="00333FCB" w:rsidP="004F08DE">
      <w:pPr>
        <w:pStyle w:val="SingleTxtG"/>
        <w:tabs>
          <w:tab w:val="left" w:pos="2268"/>
        </w:tabs>
        <w:ind w:left="2259" w:hanging="1125"/>
      </w:pPr>
      <w:r w:rsidRPr="004C5B83">
        <w:t xml:space="preserve">1.6.6.4 </w:t>
      </w:r>
      <w:r w:rsidRPr="004C5B83">
        <w:tab/>
        <w:t>Modifier le titre pour lire : « Matières radioactives sous forme spéciale agréées en vertu des éditions de 1985, de 1985 (telle que modifiée en 1990), de 1996, de 1996 (révisée), de 1996 (telle que modifiée en 2003), de 2005, de 2009 et de 2012 du Règlement de transport des matières radioactives de l</w:t>
      </w:r>
      <w:r>
        <w:t>’</w:t>
      </w:r>
      <w:r w:rsidRPr="004C5B83">
        <w:t>AIEA ».</w:t>
      </w:r>
    </w:p>
    <w:p w14:paraId="021BCCB4" w14:textId="77777777" w:rsidR="00333FCB" w:rsidRPr="0069446C" w:rsidRDefault="00333FCB" w:rsidP="00333FCB">
      <w:pPr>
        <w:pStyle w:val="SingleTxtG"/>
        <w:rPr>
          <w:i/>
          <w:iCs/>
          <w:lang w:val="fr-FR"/>
        </w:rPr>
      </w:pPr>
      <w:r w:rsidRPr="0069446C">
        <w:rPr>
          <w:i/>
          <w:iCs/>
          <w:lang w:val="fr-FR"/>
        </w:rPr>
        <w:t>(Document de référence : document informel INF.4</w:t>
      </w:r>
      <w:r>
        <w:rPr>
          <w:i/>
          <w:iCs/>
          <w:lang w:val="fr-FR"/>
        </w:rPr>
        <w:t>9</w:t>
      </w:r>
      <w:r w:rsidRPr="0069446C">
        <w:rPr>
          <w:i/>
          <w:iCs/>
          <w:lang w:val="fr-FR"/>
        </w:rPr>
        <w:t>)</w:t>
      </w:r>
    </w:p>
    <w:p w14:paraId="7F88BA41" w14:textId="257AD96D" w:rsidR="00333FCB" w:rsidRPr="004C5B83" w:rsidRDefault="00333FCB" w:rsidP="00426D71">
      <w:pPr>
        <w:pStyle w:val="SingleTxtG"/>
        <w:ind w:left="2268" w:hanging="1134"/>
      </w:pPr>
      <w:r w:rsidRPr="004C5B83">
        <w:t>1.6.6.4</w:t>
      </w:r>
      <w:r w:rsidRPr="004C5B83">
        <w:tab/>
      </w:r>
      <w:r>
        <w:tab/>
      </w:r>
      <w:r w:rsidRPr="004C5B83">
        <w:t>Modifier le paragraphe sous le titre pour lire : « Les matières radioactives sous forme spéciale fabriquées suivant un modèle qui a reçu l</w:t>
      </w:r>
      <w:r>
        <w:t>’</w:t>
      </w:r>
      <w:r w:rsidRPr="004C5B83">
        <w:t>agrément unilatéral de l</w:t>
      </w:r>
      <w:r>
        <w:t>’</w:t>
      </w:r>
      <w:r w:rsidRPr="004C5B83">
        <w:t>autorité compétente en vertu des éditions de 1985, de 1985 (telle que modifiée en 1990), de 1996, de 1996 (révisée), de 1996 (telle que modifiée en 2003), de 2005, de 2009 et de 2012 du Règlement de transport des matières radioactives de l</w:t>
      </w:r>
      <w:r>
        <w:t>’</w:t>
      </w:r>
      <w:r w:rsidRPr="004C5B83">
        <w:t>AIEA, peuvent continuer d</w:t>
      </w:r>
      <w:r>
        <w:t>’</w:t>
      </w:r>
      <w:r w:rsidRPr="004C5B83">
        <w:t>être utilisées si elles satisfont au système de management obligatoire conformément aux prescriptions applicables énoncées au 1.7.3. Aucune matière radioactive sous forme spéciale fabriquée suivant un modèle qui a reçu l</w:t>
      </w:r>
      <w:r>
        <w:t>’</w:t>
      </w:r>
      <w:r w:rsidRPr="004C5B83">
        <w:t>agrément unilatéral de l</w:t>
      </w:r>
      <w:r>
        <w:t>’</w:t>
      </w:r>
      <w:r w:rsidRPr="004C5B83">
        <w:t>autorité compétente en vertu des éditions de 1985 ou de 1985 (telle que modifiée en 1990) du Règlement de transport des matières radioactives de l</w:t>
      </w:r>
      <w:r>
        <w:t>’</w:t>
      </w:r>
      <w:r w:rsidRPr="004C5B83">
        <w:t>AIEA ne doit être fabriquée. Il n</w:t>
      </w:r>
      <w:r>
        <w:t>’</w:t>
      </w:r>
      <w:r w:rsidRPr="004C5B83">
        <w:t>est pas permis de commencer après le 31</w:t>
      </w:r>
      <w:r w:rsidR="006233FD">
        <w:t> </w:t>
      </w:r>
      <w:r w:rsidRPr="004C5B83">
        <w:t>décembre 2025 une nouvelle fabrication de matières radioactives sous forme spéciale suivant un modèle ayant reçu un agrément unilatéral de l</w:t>
      </w:r>
      <w:r>
        <w:t>’</w:t>
      </w:r>
      <w:r w:rsidRPr="004C5B83">
        <w:t>autorité compétente en vertu des éditions de 1996, de 1996 (révisée), de 1996 (telle que modifiée en 2003), de 2005, de 2009 et de 2012 du Règlement de transport des matières radioactives de l</w:t>
      </w:r>
      <w:r>
        <w:t>’</w:t>
      </w:r>
      <w:r w:rsidRPr="004C5B83">
        <w:t>AIEA. ».</w:t>
      </w:r>
    </w:p>
    <w:p w14:paraId="3B5E45EA" w14:textId="77777777" w:rsidR="00333FCB" w:rsidRPr="0069446C" w:rsidRDefault="00333FCB" w:rsidP="00333FCB">
      <w:pPr>
        <w:pStyle w:val="SingleTxtG"/>
        <w:rPr>
          <w:i/>
          <w:iCs/>
          <w:lang w:val="fr-FR"/>
        </w:rPr>
      </w:pPr>
      <w:r w:rsidRPr="0069446C">
        <w:rPr>
          <w:i/>
          <w:iCs/>
          <w:lang w:val="fr-FR"/>
        </w:rPr>
        <w:t>(Document de référence : document informel INF.4</w:t>
      </w:r>
      <w:r>
        <w:rPr>
          <w:i/>
          <w:iCs/>
          <w:lang w:val="fr-FR"/>
        </w:rPr>
        <w:t>9</w:t>
      </w:r>
      <w:r w:rsidRPr="0069446C">
        <w:rPr>
          <w:i/>
          <w:iCs/>
          <w:lang w:val="fr-FR"/>
        </w:rPr>
        <w:t>)</w:t>
      </w:r>
    </w:p>
    <w:p w14:paraId="2AACF4CE" w14:textId="77777777" w:rsidR="00333FCB" w:rsidRDefault="00333FCB" w:rsidP="00333FCB">
      <w:pPr>
        <w:pStyle w:val="SingleTxtG"/>
      </w:pPr>
      <w:r>
        <w:t>Chapitre 1.10, tableau 1.10.3.1.2 : Dans le dernier amendement, retirer les crochets.</w:t>
      </w:r>
    </w:p>
    <w:p w14:paraId="483851A9" w14:textId="5E3E4026" w:rsidR="00333FCB" w:rsidRDefault="00333FCB" w:rsidP="00333FCB">
      <w:pPr>
        <w:pStyle w:val="SingleTxtG"/>
      </w:pPr>
      <w:r>
        <w:t>Chapitre 2.2, 2.2.1.1.7.2 : La modification ne s’applique pas au texte français.</w:t>
      </w:r>
    </w:p>
    <w:p w14:paraId="33A19D88" w14:textId="26B0B492" w:rsidR="00333FCB" w:rsidRDefault="00333FCB" w:rsidP="00333FCB">
      <w:pPr>
        <w:pStyle w:val="SingleTxtG"/>
        <w:rPr>
          <w:szCs w:val="24"/>
          <w:lang w:val="fr-FR"/>
        </w:rPr>
      </w:pPr>
      <w:r>
        <w:t>Chapitre 2.2, 2.2.7.2.4.1.3 f) : Remplacer « </w:t>
      </w:r>
      <w:r w:rsidRPr="00640C9E">
        <w:rPr>
          <w:szCs w:val="24"/>
          <w:lang w:val="fr-FR"/>
        </w:rPr>
        <w:t>il doit satisfaire à l</w:t>
      </w:r>
      <w:r>
        <w:rPr>
          <w:szCs w:val="24"/>
          <w:lang w:val="fr-FR"/>
        </w:rPr>
        <w:t>’</w:t>
      </w:r>
      <w:r w:rsidRPr="00640C9E">
        <w:rPr>
          <w:szCs w:val="24"/>
          <w:lang w:val="fr-FR"/>
        </w:rPr>
        <w:t xml:space="preserve">une des dispositions du </w:t>
      </w:r>
      <w:r>
        <w:rPr>
          <w:szCs w:val="24"/>
          <w:lang w:val="fr-FR"/>
        </w:rPr>
        <w:t>2.</w:t>
      </w:r>
      <w:r w:rsidRPr="00640C9E">
        <w:rPr>
          <w:szCs w:val="24"/>
          <w:lang w:val="fr-FR"/>
        </w:rPr>
        <w:t>2.7.2.3.5</w:t>
      </w:r>
      <w:r>
        <w:rPr>
          <w:szCs w:val="24"/>
          <w:lang w:val="fr-FR"/>
        </w:rPr>
        <w:t xml:space="preserve"> a) à f) » par « </w:t>
      </w:r>
      <w:r w:rsidRPr="00640C9E">
        <w:rPr>
          <w:szCs w:val="24"/>
          <w:lang w:val="fr-FR"/>
        </w:rPr>
        <w:t>l</w:t>
      </w:r>
      <w:r>
        <w:rPr>
          <w:szCs w:val="24"/>
          <w:lang w:val="fr-FR"/>
        </w:rPr>
        <w:t>’</w:t>
      </w:r>
      <w:r w:rsidRPr="00640C9E">
        <w:rPr>
          <w:szCs w:val="24"/>
          <w:lang w:val="fr-FR"/>
        </w:rPr>
        <w:t xml:space="preserve">une des dispositions du </w:t>
      </w:r>
      <w:r>
        <w:rPr>
          <w:szCs w:val="24"/>
          <w:lang w:val="fr-FR"/>
        </w:rPr>
        <w:t>2.</w:t>
      </w:r>
      <w:r w:rsidRPr="00640C9E">
        <w:rPr>
          <w:szCs w:val="24"/>
          <w:lang w:val="fr-FR"/>
        </w:rPr>
        <w:t>2.7.2.3.5</w:t>
      </w:r>
      <w:r>
        <w:rPr>
          <w:szCs w:val="24"/>
          <w:lang w:val="fr-FR"/>
        </w:rPr>
        <w:t xml:space="preserve"> a) à f) soit satisfaite ».</w:t>
      </w:r>
    </w:p>
    <w:p w14:paraId="5A253BC7" w14:textId="77777777" w:rsidR="00333FCB" w:rsidRDefault="00333FCB" w:rsidP="00333FCB">
      <w:pPr>
        <w:pStyle w:val="SingleTxtG"/>
        <w:rPr>
          <w:i/>
          <w:iCs/>
        </w:rPr>
      </w:pPr>
      <w:r w:rsidRPr="0063230C">
        <w:rPr>
          <w:i/>
          <w:iCs/>
        </w:rPr>
        <w:t>(Document de référence : document informel INF.20)</w:t>
      </w:r>
    </w:p>
    <w:p w14:paraId="6173252C" w14:textId="40BC2E2E" w:rsidR="00333FCB" w:rsidRDefault="00333FCB" w:rsidP="00333FCB">
      <w:pPr>
        <w:pStyle w:val="SingleTxtG"/>
        <w:rPr>
          <w:szCs w:val="24"/>
          <w:lang w:val="fr-FR"/>
        </w:rPr>
      </w:pPr>
      <w:r>
        <w:t>Chapitre 2.2, 2.2.7.2.4.1.4 c) : Remplacer « </w:t>
      </w:r>
      <w:r w:rsidRPr="00640C9E">
        <w:rPr>
          <w:szCs w:val="24"/>
          <w:lang w:val="fr-FR"/>
        </w:rPr>
        <w:t>il doit satisfaire à l</w:t>
      </w:r>
      <w:r>
        <w:rPr>
          <w:szCs w:val="24"/>
          <w:lang w:val="fr-FR"/>
        </w:rPr>
        <w:t>’</w:t>
      </w:r>
      <w:r w:rsidRPr="00640C9E">
        <w:rPr>
          <w:szCs w:val="24"/>
          <w:lang w:val="fr-FR"/>
        </w:rPr>
        <w:t xml:space="preserve">une des dispositions du </w:t>
      </w:r>
      <w:r>
        <w:rPr>
          <w:szCs w:val="24"/>
          <w:lang w:val="fr-FR"/>
        </w:rPr>
        <w:t>2.</w:t>
      </w:r>
      <w:r w:rsidRPr="00640C9E">
        <w:rPr>
          <w:szCs w:val="24"/>
          <w:lang w:val="fr-FR"/>
        </w:rPr>
        <w:t>2.7.2.3.5</w:t>
      </w:r>
      <w:r>
        <w:rPr>
          <w:szCs w:val="24"/>
          <w:lang w:val="fr-FR"/>
        </w:rPr>
        <w:t xml:space="preserve"> a) à f) » par « </w:t>
      </w:r>
      <w:r w:rsidRPr="00640C9E">
        <w:rPr>
          <w:szCs w:val="24"/>
          <w:lang w:val="fr-FR"/>
        </w:rPr>
        <w:t>l</w:t>
      </w:r>
      <w:r>
        <w:rPr>
          <w:szCs w:val="24"/>
          <w:lang w:val="fr-FR"/>
        </w:rPr>
        <w:t>’</w:t>
      </w:r>
      <w:r w:rsidRPr="00640C9E">
        <w:rPr>
          <w:szCs w:val="24"/>
          <w:lang w:val="fr-FR"/>
        </w:rPr>
        <w:t xml:space="preserve">une des dispositions du </w:t>
      </w:r>
      <w:r>
        <w:rPr>
          <w:szCs w:val="24"/>
          <w:lang w:val="fr-FR"/>
        </w:rPr>
        <w:t>2.</w:t>
      </w:r>
      <w:r w:rsidRPr="00640C9E">
        <w:rPr>
          <w:szCs w:val="24"/>
          <w:lang w:val="fr-FR"/>
        </w:rPr>
        <w:t>2.7.2.3.5</w:t>
      </w:r>
      <w:r>
        <w:rPr>
          <w:szCs w:val="24"/>
          <w:lang w:val="fr-FR"/>
        </w:rPr>
        <w:t xml:space="preserve"> a) à f) soit satisfaite ».</w:t>
      </w:r>
    </w:p>
    <w:p w14:paraId="1965E7B2" w14:textId="77777777" w:rsidR="00333FCB" w:rsidRDefault="00333FCB" w:rsidP="00333FCB">
      <w:pPr>
        <w:pStyle w:val="SingleTxtG"/>
        <w:rPr>
          <w:i/>
          <w:iCs/>
        </w:rPr>
      </w:pPr>
      <w:r w:rsidRPr="0063230C">
        <w:rPr>
          <w:i/>
          <w:iCs/>
        </w:rPr>
        <w:t>(Document de référence : document informel INF.20)</w:t>
      </w:r>
    </w:p>
    <w:p w14:paraId="757661EA" w14:textId="15F5C08D" w:rsidR="00333FCB" w:rsidRDefault="00333FCB" w:rsidP="00333FCB">
      <w:pPr>
        <w:pStyle w:val="SingleTxtG"/>
      </w:pPr>
      <w:r>
        <w:t>Chapitre 2.2, 2.2.7.2.4.1.7 e) : Remplacer « </w:t>
      </w:r>
      <w:r w:rsidRPr="00640C9E">
        <w:rPr>
          <w:szCs w:val="24"/>
          <w:lang w:val="fr-FR"/>
        </w:rPr>
        <w:t>il doit satisfaire à l</w:t>
      </w:r>
      <w:r>
        <w:rPr>
          <w:szCs w:val="24"/>
          <w:lang w:val="fr-FR"/>
        </w:rPr>
        <w:t>’</w:t>
      </w:r>
      <w:r w:rsidRPr="00640C9E">
        <w:rPr>
          <w:szCs w:val="24"/>
          <w:lang w:val="fr-FR"/>
        </w:rPr>
        <w:t xml:space="preserve">une des dispositions du </w:t>
      </w:r>
      <w:r>
        <w:rPr>
          <w:szCs w:val="24"/>
          <w:lang w:val="fr-FR"/>
        </w:rPr>
        <w:t>2.</w:t>
      </w:r>
      <w:r w:rsidRPr="00640C9E">
        <w:rPr>
          <w:szCs w:val="24"/>
          <w:lang w:val="fr-FR"/>
        </w:rPr>
        <w:t xml:space="preserve">2.7.2.3.5 </w:t>
      </w:r>
      <w:r>
        <w:rPr>
          <w:szCs w:val="24"/>
          <w:lang w:val="fr-FR"/>
        </w:rPr>
        <w:t xml:space="preserve">a) à f) </w:t>
      </w:r>
      <w:r w:rsidRPr="00640C9E">
        <w:rPr>
          <w:szCs w:val="24"/>
          <w:lang w:val="fr-FR"/>
        </w:rPr>
        <w:t>ou à l</w:t>
      </w:r>
      <w:r>
        <w:rPr>
          <w:szCs w:val="24"/>
          <w:lang w:val="fr-FR"/>
        </w:rPr>
        <w:t>’</w:t>
      </w:r>
      <w:r w:rsidRPr="00640C9E">
        <w:rPr>
          <w:szCs w:val="24"/>
          <w:lang w:val="fr-FR"/>
        </w:rPr>
        <w:t>une des dispositions d</w:t>
      </w:r>
      <w:r>
        <w:rPr>
          <w:szCs w:val="24"/>
          <w:lang w:val="fr-FR"/>
        </w:rPr>
        <w:t>’</w:t>
      </w:r>
      <w:r w:rsidRPr="00640C9E">
        <w:rPr>
          <w:szCs w:val="24"/>
          <w:lang w:val="fr-FR"/>
        </w:rPr>
        <w:t xml:space="preserve">exclusion du </w:t>
      </w:r>
      <w:r>
        <w:rPr>
          <w:szCs w:val="24"/>
          <w:lang w:val="fr-FR"/>
        </w:rPr>
        <w:t>2.</w:t>
      </w:r>
      <w:r w:rsidRPr="00640C9E">
        <w:rPr>
          <w:szCs w:val="24"/>
          <w:lang w:val="fr-FR"/>
        </w:rPr>
        <w:t>2.7.1.3.</w:t>
      </w:r>
      <w:r>
        <w:rPr>
          <w:szCs w:val="24"/>
          <w:lang w:val="fr-FR"/>
        </w:rPr>
        <w:t> » par « l’</w:t>
      </w:r>
      <w:r w:rsidRPr="00640C9E">
        <w:rPr>
          <w:szCs w:val="24"/>
          <w:lang w:val="fr-FR"/>
        </w:rPr>
        <w:t xml:space="preserve">une des dispositions du </w:t>
      </w:r>
      <w:r>
        <w:rPr>
          <w:szCs w:val="24"/>
          <w:lang w:val="fr-FR"/>
        </w:rPr>
        <w:t>2.</w:t>
      </w:r>
      <w:r w:rsidRPr="00640C9E">
        <w:rPr>
          <w:szCs w:val="24"/>
          <w:lang w:val="fr-FR"/>
        </w:rPr>
        <w:t xml:space="preserve">2.7.2.3.5 </w:t>
      </w:r>
      <w:r>
        <w:rPr>
          <w:szCs w:val="24"/>
          <w:lang w:val="fr-FR"/>
        </w:rPr>
        <w:t>a) à f)</w:t>
      </w:r>
      <w:r w:rsidRPr="003A59BA">
        <w:rPr>
          <w:szCs w:val="24"/>
          <w:lang w:val="fr-FR"/>
        </w:rPr>
        <w:t xml:space="preserve"> </w:t>
      </w:r>
      <w:r>
        <w:rPr>
          <w:szCs w:val="24"/>
          <w:lang w:val="fr-FR"/>
        </w:rPr>
        <w:t xml:space="preserve">soit satisfaite </w:t>
      </w:r>
      <w:r w:rsidRPr="00640C9E">
        <w:rPr>
          <w:szCs w:val="24"/>
          <w:lang w:val="fr-FR"/>
        </w:rPr>
        <w:t>ou l</w:t>
      </w:r>
      <w:r>
        <w:rPr>
          <w:szCs w:val="24"/>
          <w:lang w:val="fr-FR"/>
        </w:rPr>
        <w:t>’</w:t>
      </w:r>
      <w:r w:rsidRPr="00640C9E">
        <w:rPr>
          <w:szCs w:val="24"/>
          <w:lang w:val="fr-FR"/>
        </w:rPr>
        <w:t>une des dispositions d</w:t>
      </w:r>
      <w:r>
        <w:rPr>
          <w:szCs w:val="24"/>
          <w:lang w:val="fr-FR"/>
        </w:rPr>
        <w:t>’</w:t>
      </w:r>
      <w:r w:rsidRPr="00640C9E">
        <w:rPr>
          <w:szCs w:val="24"/>
          <w:lang w:val="fr-FR"/>
        </w:rPr>
        <w:t xml:space="preserve">exclusion du </w:t>
      </w:r>
      <w:r>
        <w:rPr>
          <w:szCs w:val="24"/>
          <w:lang w:val="fr-FR"/>
        </w:rPr>
        <w:t>2.</w:t>
      </w:r>
      <w:r w:rsidRPr="00640C9E">
        <w:rPr>
          <w:szCs w:val="24"/>
          <w:lang w:val="fr-FR"/>
        </w:rPr>
        <w:t>2.7.1.3</w:t>
      </w:r>
      <w:r w:rsidRPr="003A59BA">
        <w:rPr>
          <w:szCs w:val="24"/>
          <w:lang w:val="fr-FR"/>
        </w:rPr>
        <w:t xml:space="preserve"> </w:t>
      </w:r>
      <w:r>
        <w:rPr>
          <w:szCs w:val="24"/>
          <w:lang w:val="fr-FR"/>
        </w:rPr>
        <w:t>soit satisfaite</w:t>
      </w:r>
      <w:r w:rsidRPr="00640C9E">
        <w:rPr>
          <w:szCs w:val="24"/>
          <w:lang w:val="fr-FR"/>
        </w:rPr>
        <w:t>.</w:t>
      </w:r>
      <w:r>
        <w:rPr>
          <w:szCs w:val="24"/>
          <w:lang w:val="fr-FR"/>
        </w:rPr>
        <w:t> ».</w:t>
      </w:r>
    </w:p>
    <w:p w14:paraId="59974E6F" w14:textId="77777777" w:rsidR="00333FCB" w:rsidRDefault="00333FCB" w:rsidP="00333FCB">
      <w:pPr>
        <w:pStyle w:val="SingleTxtG"/>
        <w:rPr>
          <w:i/>
          <w:iCs/>
        </w:rPr>
      </w:pPr>
      <w:r w:rsidRPr="0063230C">
        <w:rPr>
          <w:i/>
          <w:iCs/>
        </w:rPr>
        <w:t>(Document de référence : document informel INF.20)</w:t>
      </w:r>
    </w:p>
    <w:p w14:paraId="1CA8DF0E" w14:textId="77777777" w:rsidR="00333FCB" w:rsidRDefault="00333FCB" w:rsidP="00333FCB">
      <w:pPr>
        <w:pStyle w:val="SingleTxtG"/>
      </w:pPr>
      <w:r>
        <w:t>Chapitre 3.1, 3.1.2.8.1.4</w:t>
      </w:r>
      <w:r>
        <w:tab/>
        <w:t>Supprimer le texte figurant entre crochets.</w:t>
      </w:r>
    </w:p>
    <w:p w14:paraId="1581D0B0" w14:textId="77777777" w:rsidR="00333FCB" w:rsidRDefault="00333FCB" w:rsidP="00333FCB">
      <w:pPr>
        <w:pStyle w:val="SingleTxtG"/>
      </w:pPr>
      <w:r>
        <w:t>Chapitre 3.2, tableau A, nouvelles rubriques :</w:t>
      </w:r>
    </w:p>
    <w:p w14:paraId="302FB70C" w14:textId="6BB10543" w:rsidR="00333FCB" w:rsidRDefault="00333FCB" w:rsidP="006233FD">
      <w:pPr>
        <w:pStyle w:val="Bullet1G"/>
      </w:pPr>
      <w:r w:rsidRPr="006233FD">
        <w:rPr>
          <w:spacing w:val="-4"/>
        </w:rPr>
        <w:t>Pour le No ONU 3549, dans la première rubrique : Supprimer « [6XX] » en colonne (6)</w:t>
      </w:r>
      <w:r>
        <w:t xml:space="preserve"> et, pour le RID et l’ADR, remplacer « MP6 » par « MP2 » en colonne (9b).</w:t>
      </w:r>
    </w:p>
    <w:p w14:paraId="318E094C" w14:textId="74F3F200" w:rsidR="00333FCB" w:rsidRDefault="00333FCB" w:rsidP="006233FD">
      <w:pPr>
        <w:pStyle w:val="Bullet1G"/>
      </w:pPr>
      <w:r>
        <w:t>Supprimer la deuxième rubrique pour le No ONU 3549.</w:t>
      </w:r>
    </w:p>
    <w:p w14:paraId="31077C75" w14:textId="0A75D33A" w:rsidR="00333FCB" w:rsidRDefault="00333FCB" w:rsidP="00333FCB">
      <w:pPr>
        <w:pStyle w:val="SingleTxtG"/>
        <w:rPr>
          <w:szCs w:val="22"/>
          <w:lang w:val="fr-FR"/>
        </w:rPr>
      </w:pPr>
      <w:r>
        <w:t>Chapitre 3.3, DS 309 : Remplacer « en tant que nitrate d’ammonium » par « en tant qu’</w:t>
      </w:r>
      <w:r>
        <w:rPr>
          <w:szCs w:val="22"/>
          <w:lang w:val="fr-FR"/>
        </w:rPr>
        <w:t>émulsion, suspension ou gel de nitrate d’ammonium servant à la fabrication d’explosifs de mine (ENA) ».</w:t>
      </w:r>
    </w:p>
    <w:p w14:paraId="073E51CD" w14:textId="77777777" w:rsidR="00333FCB" w:rsidRDefault="00333FCB" w:rsidP="00333FCB">
      <w:pPr>
        <w:pStyle w:val="SingleTxtG"/>
        <w:rPr>
          <w:i/>
          <w:iCs/>
        </w:rPr>
      </w:pPr>
      <w:r w:rsidRPr="0063230C">
        <w:rPr>
          <w:i/>
          <w:iCs/>
        </w:rPr>
        <w:t>(Document de référence : document informel INF.20)</w:t>
      </w:r>
    </w:p>
    <w:p w14:paraId="7CD4C8E9" w14:textId="77777777" w:rsidR="00333FCB" w:rsidRDefault="00333FCB" w:rsidP="00333FCB">
      <w:pPr>
        <w:pStyle w:val="SingleTxtG"/>
      </w:pPr>
      <w:r>
        <w:t>Chapitre 3.3, DS 360 : Retirer les crochets.</w:t>
      </w:r>
    </w:p>
    <w:p w14:paraId="0A2C8FA1" w14:textId="2EAC4AD0" w:rsidR="00333FCB" w:rsidRDefault="00333FCB" w:rsidP="00333FCB">
      <w:pPr>
        <w:pStyle w:val="SingleTxtG"/>
      </w:pPr>
      <w:r>
        <w:t xml:space="preserve">Chapitre 3.3, DS 376, Nota : Dans le texte français, dans la phrase d’introduction, remplacer « caractéristiques » par « éléments » et dans l’alinéa e), remplacer « dispositifs » par « éléments ». </w:t>
      </w:r>
    </w:p>
    <w:p w14:paraId="6A8EC610" w14:textId="77777777" w:rsidR="00333FCB" w:rsidRDefault="00333FCB" w:rsidP="00333FCB">
      <w:pPr>
        <w:pStyle w:val="SingleTxtG"/>
        <w:rPr>
          <w:i/>
          <w:iCs/>
        </w:rPr>
      </w:pPr>
      <w:r w:rsidRPr="0063230C">
        <w:rPr>
          <w:i/>
          <w:iCs/>
        </w:rPr>
        <w:t>(Document de référence : document informel INF.</w:t>
      </w:r>
      <w:r>
        <w:rPr>
          <w:i/>
          <w:iCs/>
        </w:rPr>
        <w:t>31 tel que modifié</w:t>
      </w:r>
      <w:r w:rsidRPr="0063230C">
        <w:rPr>
          <w:i/>
          <w:iCs/>
        </w:rPr>
        <w:t>)</w:t>
      </w:r>
    </w:p>
    <w:p w14:paraId="025144F5" w14:textId="77777777" w:rsidR="00333FCB" w:rsidRDefault="00333FCB" w:rsidP="00333FCB">
      <w:pPr>
        <w:pStyle w:val="SingleTxtG"/>
      </w:pPr>
      <w:r>
        <w:t>Chapitre 3.3, DS 376 b) : Dans le texte français, remplacer « et éventuel » par « ou ».</w:t>
      </w:r>
    </w:p>
    <w:p w14:paraId="02CF2920" w14:textId="77777777" w:rsidR="00333FCB" w:rsidRDefault="00333FCB" w:rsidP="00333FCB">
      <w:pPr>
        <w:pStyle w:val="SingleTxtG"/>
        <w:rPr>
          <w:i/>
          <w:iCs/>
        </w:rPr>
      </w:pPr>
      <w:r w:rsidRPr="0063230C">
        <w:rPr>
          <w:i/>
          <w:iCs/>
        </w:rPr>
        <w:t>(Document de référence : document informel INF.</w:t>
      </w:r>
      <w:r>
        <w:rPr>
          <w:i/>
          <w:iCs/>
        </w:rPr>
        <w:t>31</w:t>
      </w:r>
      <w:r w:rsidRPr="0063230C">
        <w:rPr>
          <w:i/>
          <w:iCs/>
        </w:rPr>
        <w:t>)</w:t>
      </w:r>
    </w:p>
    <w:p w14:paraId="606953FE" w14:textId="77777777" w:rsidR="00333FCB" w:rsidRDefault="00333FCB" w:rsidP="00333FCB">
      <w:pPr>
        <w:pStyle w:val="SingleTxtG"/>
      </w:pPr>
      <w:r>
        <w:t>Chapitre 3.3, DS 388 : Retirer les crochets.</w:t>
      </w:r>
    </w:p>
    <w:p w14:paraId="43C81DEC" w14:textId="77777777" w:rsidR="00333FCB" w:rsidRDefault="00333FCB" w:rsidP="00333FCB">
      <w:pPr>
        <w:pStyle w:val="SingleTxtG"/>
      </w:pPr>
      <w:r>
        <w:t>Chapitre 3.3, DS 393 et 394 : Retirer les crochets.</w:t>
      </w:r>
    </w:p>
    <w:p w14:paraId="6F30B315" w14:textId="77777777" w:rsidR="00333FCB" w:rsidRPr="00BC7DE6" w:rsidRDefault="00333FCB" w:rsidP="00333FCB">
      <w:pPr>
        <w:pStyle w:val="SingleTxtG"/>
      </w:pPr>
      <w:r>
        <w:t>Chapitre 3.3, DS 6XX : Supprimer.</w:t>
      </w:r>
    </w:p>
    <w:p w14:paraId="3A53305B" w14:textId="0BE663F6" w:rsidR="00333FCB" w:rsidRPr="00E856F5" w:rsidRDefault="00333FCB" w:rsidP="00333FCB">
      <w:pPr>
        <w:pStyle w:val="SingleTxtG"/>
      </w:pPr>
      <w:r>
        <w:t xml:space="preserve">Chapitre 4.1, </w:t>
      </w:r>
      <w:r w:rsidRPr="00E856F5">
        <w:t>4.1.4.1, P400 2) et 3) : Modifier la nouvelle phrase pour lire : « Les emballages intérieurs doivent être munis de bouchons filetés ou de fermetures physiquement maintenues en place par tout moyen permettant d</w:t>
      </w:r>
      <w:r>
        <w:t>’</w:t>
      </w:r>
      <w:r w:rsidRPr="00E856F5">
        <w:t>empêcher le dégagement ou le relâchement de la fermeture en cas de choc ou de vibration au cours du transport. ».</w:t>
      </w:r>
    </w:p>
    <w:p w14:paraId="2472D320" w14:textId="77777777" w:rsidR="00333FCB" w:rsidRDefault="00333FCB" w:rsidP="00333FCB">
      <w:pPr>
        <w:pStyle w:val="SingleTxtG"/>
        <w:rPr>
          <w:i/>
          <w:iCs/>
        </w:rPr>
      </w:pPr>
      <w:r w:rsidRPr="0063230C">
        <w:rPr>
          <w:i/>
          <w:iCs/>
        </w:rPr>
        <w:t>(Document de référence : document informel INF.</w:t>
      </w:r>
      <w:r>
        <w:rPr>
          <w:i/>
          <w:iCs/>
        </w:rPr>
        <w:t>31</w:t>
      </w:r>
      <w:r w:rsidRPr="0063230C">
        <w:rPr>
          <w:i/>
          <w:iCs/>
        </w:rPr>
        <w:t>)</w:t>
      </w:r>
    </w:p>
    <w:p w14:paraId="641A31B6" w14:textId="7C78EBC6" w:rsidR="00333FCB" w:rsidRPr="0041544F" w:rsidRDefault="00333FCB" w:rsidP="00333FCB">
      <w:pPr>
        <w:pStyle w:val="SingleTxtG"/>
      </w:pPr>
      <w:r>
        <w:t>Chapitre 4.1, 4.1.4.1, P622, disposition supplémentaire 4 : Remplacer « à au moins 165 g » par « d’au moins 165 g » et « à au moins 480 g » par « d’au moins 480 g ».</w:t>
      </w:r>
    </w:p>
    <w:p w14:paraId="5BF21112" w14:textId="77777777" w:rsidR="00333FCB" w:rsidRDefault="00333FCB" w:rsidP="00333FCB">
      <w:pPr>
        <w:pStyle w:val="SingleTxtG"/>
        <w:rPr>
          <w:i/>
          <w:iCs/>
        </w:rPr>
      </w:pPr>
      <w:r w:rsidRPr="0063230C">
        <w:rPr>
          <w:i/>
          <w:iCs/>
        </w:rPr>
        <w:t>(Document de référence : document informel INF.</w:t>
      </w:r>
      <w:r>
        <w:rPr>
          <w:i/>
          <w:iCs/>
        </w:rPr>
        <w:t>20</w:t>
      </w:r>
      <w:r w:rsidRPr="0063230C">
        <w:rPr>
          <w:i/>
          <w:iCs/>
        </w:rPr>
        <w:t>)</w:t>
      </w:r>
    </w:p>
    <w:p w14:paraId="7085C657" w14:textId="77777777" w:rsidR="00333FCB" w:rsidRPr="0041544F" w:rsidRDefault="00333FCB" w:rsidP="00333FCB">
      <w:pPr>
        <w:pStyle w:val="SingleTxtG"/>
      </w:pPr>
      <w:r>
        <w:t xml:space="preserve">Chapitre 4.1, 4.1.4.1, P622, disposition supplémentaire 7 : </w:t>
      </w:r>
      <w:r w:rsidRPr="00D904A5">
        <w:rPr>
          <w:lang w:val="fr-FR"/>
        </w:rPr>
        <w:t>Remplacer « de matières de rembourrage appropriées » par « de matériau de rembourrage approprié ».</w:t>
      </w:r>
    </w:p>
    <w:p w14:paraId="5716D989" w14:textId="77777777" w:rsidR="00333FCB" w:rsidRDefault="00333FCB" w:rsidP="00333FCB">
      <w:pPr>
        <w:pStyle w:val="SingleTxtG"/>
        <w:rPr>
          <w:i/>
          <w:iCs/>
        </w:rPr>
      </w:pPr>
      <w:r w:rsidRPr="0063230C">
        <w:rPr>
          <w:i/>
          <w:iCs/>
        </w:rPr>
        <w:t>(Document de référence : document informel INF.</w:t>
      </w:r>
      <w:r>
        <w:rPr>
          <w:i/>
          <w:iCs/>
        </w:rPr>
        <w:t>31</w:t>
      </w:r>
      <w:r w:rsidRPr="0063230C">
        <w:rPr>
          <w:i/>
          <w:iCs/>
        </w:rPr>
        <w:t>)</w:t>
      </w:r>
    </w:p>
    <w:p w14:paraId="22A44632" w14:textId="77777777" w:rsidR="00333FCB" w:rsidRDefault="00333FCB" w:rsidP="00333FCB">
      <w:pPr>
        <w:pStyle w:val="SingleTxtG"/>
        <w:rPr>
          <w:lang w:val="fr-FR"/>
        </w:rPr>
      </w:pPr>
      <w:r>
        <w:t xml:space="preserve">Chapitre 4.1, 4.1.4.1, P801, 2) a) et c) : </w:t>
      </w:r>
      <w:r>
        <w:rPr>
          <w:lang w:val="fr-FR"/>
        </w:rPr>
        <w:t>Retirer les crochets.</w:t>
      </w:r>
    </w:p>
    <w:p w14:paraId="1325B572" w14:textId="5898F7B5" w:rsidR="00333FCB" w:rsidRPr="0041544F" w:rsidRDefault="00333FCB" w:rsidP="00333FCB">
      <w:pPr>
        <w:pStyle w:val="SingleTxtG"/>
      </w:pPr>
      <w:r>
        <w:t>Chapitre 4.1, 4.1.4.3, LP622, disposition supplémentaire 4 : Remplacer « à au moins 165</w:t>
      </w:r>
      <w:r w:rsidR="006233FD">
        <w:t> </w:t>
      </w:r>
      <w:r>
        <w:t>g » par « d’au moins 165 g » et « à au moins 480 g » par « d’au moins 480 g ».</w:t>
      </w:r>
    </w:p>
    <w:p w14:paraId="28AEA29E" w14:textId="77777777" w:rsidR="00333FCB" w:rsidRDefault="00333FCB" w:rsidP="00333FCB">
      <w:pPr>
        <w:pStyle w:val="SingleTxtG"/>
        <w:rPr>
          <w:i/>
          <w:iCs/>
        </w:rPr>
      </w:pPr>
      <w:r w:rsidRPr="0063230C">
        <w:rPr>
          <w:i/>
          <w:iCs/>
        </w:rPr>
        <w:t>(Document de référence : document informel INF.</w:t>
      </w:r>
      <w:r>
        <w:rPr>
          <w:i/>
          <w:iCs/>
        </w:rPr>
        <w:t>20, amendement de conséquence</w:t>
      </w:r>
      <w:r w:rsidRPr="0063230C">
        <w:rPr>
          <w:i/>
          <w:iCs/>
        </w:rPr>
        <w:t>)</w:t>
      </w:r>
    </w:p>
    <w:p w14:paraId="4EA156D2" w14:textId="77777777" w:rsidR="00333FCB" w:rsidRPr="004D54C7" w:rsidRDefault="00333FCB" w:rsidP="00333FCB">
      <w:pPr>
        <w:pStyle w:val="SingleTxtG"/>
        <w:rPr>
          <w:b/>
          <w:bCs/>
        </w:rPr>
      </w:pPr>
      <w:r>
        <w:t xml:space="preserve">Chapitre 4.1, 4.1.4.3, LP622, disposition supplémentaire 7 : </w:t>
      </w:r>
      <w:r w:rsidRPr="00D904A5">
        <w:rPr>
          <w:lang w:val="fr-FR"/>
        </w:rPr>
        <w:t>Remplacer « de matières de rembourrage appropriées » par « de matériau de rembourrage approprié ».</w:t>
      </w:r>
    </w:p>
    <w:p w14:paraId="1E8CA4D0" w14:textId="77777777" w:rsidR="00333FCB" w:rsidRDefault="00333FCB" w:rsidP="00333FCB">
      <w:pPr>
        <w:pStyle w:val="SingleTxtG"/>
        <w:rPr>
          <w:i/>
          <w:iCs/>
        </w:rPr>
      </w:pPr>
      <w:r w:rsidRPr="0063230C">
        <w:rPr>
          <w:i/>
          <w:iCs/>
        </w:rPr>
        <w:t>(Document de référence : document informel INF.</w:t>
      </w:r>
      <w:r>
        <w:rPr>
          <w:i/>
          <w:iCs/>
        </w:rPr>
        <w:t>31</w:t>
      </w:r>
      <w:r w:rsidRPr="0063230C">
        <w:rPr>
          <w:i/>
          <w:iCs/>
        </w:rPr>
        <w:t>)</w:t>
      </w:r>
    </w:p>
    <w:p w14:paraId="149B6FF8" w14:textId="77777777" w:rsidR="00333FCB" w:rsidRPr="00A65E0D" w:rsidRDefault="00333FCB" w:rsidP="00333FCB">
      <w:pPr>
        <w:pStyle w:val="SingleTxtG"/>
        <w:rPr>
          <w:lang w:val="fr-FR"/>
        </w:rPr>
      </w:pPr>
      <w:r w:rsidRPr="00A65E0D">
        <w:rPr>
          <w:lang w:val="fr-FR"/>
        </w:rPr>
        <w:t>Supprimer les amendements au 4.1.6.15.</w:t>
      </w:r>
    </w:p>
    <w:p w14:paraId="2A233D9C" w14:textId="77777777" w:rsidR="00333FCB" w:rsidRPr="0081260A" w:rsidRDefault="00333FCB" w:rsidP="00333FCB">
      <w:pPr>
        <w:pStyle w:val="SingleTxtG"/>
        <w:spacing w:before="120"/>
        <w:rPr>
          <w:i/>
          <w:iCs/>
          <w:lang w:val="fr-FR"/>
        </w:rPr>
      </w:pPr>
      <w:r w:rsidRPr="00A65E0D">
        <w:rPr>
          <w:i/>
          <w:iCs/>
          <w:lang w:val="fr-FR"/>
        </w:rPr>
        <w:t>(Document de référence : document informel INF.50)</w:t>
      </w:r>
    </w:p>
    <w:p w14:paraId="24FF4C36" w14:textId="30C6095D" w:rsidR="00333FCB" w:rsidRPr="004D54C7" w:rsidRDefault="00333FCB" w:rsidP="00333FCB">
      <w:pPr>
        <w:pStyle w:val="SingleTxtG"/>
        <w:rPr>
          <w:b/>
          <w:bCs/>
        </w:rPr>
      </w:pPr>
      <w:r>
        <w:rPr>
          <w:lang w:val="fr-FR"/>
        </w:rPr>
        <w:t>(RID/ADR :) Chapitre 5.1, 5.1.5.3.2, premier paragraphe : Remplacer « moyen de transport » par « wagon »/« véhicule ».</w:t>
      </w:r>
    </w:p>
    <w:p w14:paraId="711B727B" w14:textId="77777777" w:rsidR="00333FCB" w:rsidRDefault="00333FCB" w:rsidP="00333FCB">
      <w:pPr>
        <w:pStyle w:val="SingleTxtG"/>
        <w:rPr>
          <w:i/>
          <w:iCs/>
        </w:rPr>
      </w:pPr>
      <w:r w:rsidRPr="0063230C">
        <w:rPr>
          <w:i/>
          <w:iCs/>
        </w:rPr>
        <w:t>(Document</w:t>
      </w:r>
      <w:r>
        <w:rPr>
          <w:i/>
          <w:iCs/>
        </w:rPr>
        <w:t>s</w:t>
      </w:r>
      <w:r w:rsidRPr="0063230C">
        <w:rPr>
          <w:i/>
          <w:iCs/>
        </w:rPr>
        <w:t xml:space="preserve"> de référence : </w:t>
      </w:r>
      <w:r>
        <w:rPr>
          <w:i/>
          <w:iCs/>
        </w:rPr>
        <w:t>ECE/TRANS/WP.15/AC.1/2019/31</w:t>
      </w:r>
      <w:r w:rsidRPr="0063230C">
        <w:rPr>
          <w:i/>
          <w:iCs/>
        </w:rPr>
        <w:t>)</w:t>
      </w:r>
    </w:p>
    <w:p w14:paraId="4503C1BC" w14:textId="77777777" w:rsidR="00333FCB" w:rsidRPr="004D54C7" w:rsidRDefault="00333FCB" w:rsidP="00333FCB">
      <w:pPr>
        <w:pStyle w:val="SingleTxtG"/>
        <w:rPr>
          <w:b/>
          <w:bCs/>
        </w:rPr>
      </w:pPr>
      <w:r>
        <w:rPr>
          <w:lang w:val="fr-FR"/>
        </w:rPr>
        <w:t>Chapitre 5.1, 5.1.5.3.2, premier paragraphe : Remplacer « la dose » par « le débit de dose ».</w:t>
      </w:r>
    </w:p>
    <w:p w14:paraId="3C2C1640" w14:textId="77777777" w:rsidR="00333FCB" w:rsidRDefault="00333FCB" w:rsidP="00333FCB">
      <w:pPr>
        <w:pStyle w:val="SingleTxtG"/>
        <w:rPr>
          <w:i/>
          <w:iCs/>
        </w:rPr>
      </w:pPr>
      <w:r w:rsidRPr="0063230C">
        <w:rPr>
          <w:i/>
          <w:iCs/>
        </w:rPr>
        <w:t>(Document</w:t>
      </w:r>
      <w:r>
        <w:rPr>
          <w:i/>
          <w:iCs/>
        </w:rPr>
        <w:t>s</w:t>
      </w:r>
      <w:r w:rsidRPr="0063230C">
        <w:rPr>
          <w:i/>
          <w:iCs/>
        </w:rPr>
        <w:t xml:space="preserve"> de référence : document informel INF.</w:t>
      </w:r>
      <w:r>
        <w:rPr>
          <w:i/>
          <w:iCs/>
        </w:rPr>
        <w:t>31</w:t>
      </w:r>
      <w:r w:rsidRPr="0063230C">
        <w:rPr>
          <w:i/>
          <w:iCs/>
        </w:rPr>
        <w:t>)</w:t>
      </w:r>
    </w:p>
    <w:p w14:paraId="025E5DA3" w14:textId="77777777" w:rsidR="00333FCB" w:rsidRDefault="00333FCB" w:rsidP="00333FCB">
      <w:pPr>
        <w:pStyle w:val="SingleTxtG"/>
        <w:rPr>
          <w:lang w:val="fr-FR"/>
        </w:rPr>
      </w:pPr>
      <w:r w:rsidRPr="0069446C">
        <w:rPr>
          <w:lang w:val="fr-FR"/>
        </w:rPr>
        <w:t>Supprimer les amendements du Chapitre 5.3.</w:t>
      </w:r>
    </w:p>
    <w:p w14:paraId="793AD528" w14:textId="77777777" w:rsidR="00333FCB" w:rsidRPr="00C12A2D" w:rsidRDefault="00333FCB" w:rsidP="00333FCB">
      <w:pPr>
        <w:pStyle w:val="SingleTxtG"/>
      </w:pPr>
      <w:r w:rsidRPr="00310CD7">
        <w:t xml:space="preserve">(ADN :) </w:t>
      </w:r>
      <w:r>
        <w:t>Chapitre</w:t>
      </w:r>
      <w:r w:rsidRPr="00310CD7">
        <w:t xml:space="preserve"> 5.4, 5.4.1.2.2</w:t>
      </w:r>
      <w:r>
        <w:t> </w:t>
      </w:r>
      <w:r w:rsidRPr="00310CD7">
        <w:t>: Retirer les crochets.</w:t>
      </w:r>
    </w:p>
    <w:p w14:paraId="61106069" w14:textId="0222188D" w:rsidR="00333FCB" w:rsidRDefault="00333FCB" w:rsidP="00333FCB">
      <w:pPr>
        <w:pStyle w:val="SingleTxtG"/>
      </w:pPr>
      <w:r w:rsidRPr="00325B50">
        <w:t>Chapitre 6.1</w:t>
      </w:r>
      <w:r>
        <w:t>, 6.1.1.1 b) : Modifier l’amendement pour lire comme suit :</w:t>
      </w:r>
    </w:p>
    <w:p w14:paraId="4C4F76E2" w14:textId="0E1223BD" w:rsidR="00333FCB" w:rsidRPr="00325B50" w:rsidRDefault="00333FCB" w:rsidP="00333FCB">
      <w:pPr>
        <w:pStyle w:val="SingleTxtG"/>
        <w:ind w:left="1701"/>
      </w:pPr>
      <w:r>
        <w:t>« 6.1.1.1 b)</w:t>
      </w:r>
      <w:r>
        <w:tab/>
        <w:t xml:space="preserve">Remplacer </w:t>
      </w:r>
      <w:r w:rsidR="006233FD">
        <w:t>“</w:t>
      </w:r>
      <w:r>
        <w:t>instruction d’emballage P621</w:t>
      </w:r>
      <w:r w:rsidR="006233FD">
        <w:t>”</w:t>
      </w:r>
      <w:r>
        <w:t xml:space="preserve"> par </w:t>
      </w:r>
      <w:r w:rsidR="006233FD">
        <w:t>“</w:t>
      </w:r>
      <w:r>
        <w:t>instructions d’emballage P621 et P622</w:t>
      </w:r>
      <w:r w:rsidR="006233FD">
        <w:t>”</w:t>
      </w:r>
      <w:r>
        <w:t> ».</w:t>
      </w:r>
    </w:p>
    <w:p w14:paraId="1F9094AB" w14:textId="77777777" w:rsidR="00333FCB" w:rsidRDefault="00333FCB" w:rsidP="00333FCB">
      <w:pPr>
        <w:pStyle w:val="SingleTxtG"/>
        <w:rPr>
          <w:i/>
          <w:iCs/>
        </w:rPr>
      </w:pPr>
      <w:r w:rsidRPr="0063230C">
        <w:rPr>
          <w:i/>
          <w:iCs/>
        </w:rPr>
        <w:t>(Document de référence : document informel INF.</w:t>
      </w:r>
      <w:r>
        <w:rPr>
          <w:i/>
          <w:iCs/>
        </w:rPr>
        <w:t>20</w:t>
      </w:r>
      <w:r w:rsidRPr="0063230C">
        <w:rPr>
          <w:i/>
          <w:iCs/>
        </w:rPr>
        <w:t>)</w:t>
      </w:r>
    </w:p>
    <w:p w14:paraId="08A4326D" w14:textId="77777777" w:rsidR="00333FCB" w:rsidRPr="00325B50" w:rsidRDefault="00333FCB" w:rsidP="00333FCB">
      <w:pPr>
        <w:pStyle w:val="SingleTxtG"/>
      </w:pPr>
      <w:r w:rsidRPr="00325B50">
        <w:t>Chapitre 6.1</w:t>
      </w:r>
      <w:r>
        <w:t>, 6.1.3.14 : Dans la dernière phrase, après « à proximité », insérer « immédiate ».</w:t>
      </w:r>
    </w:p>
    <w:p w14:paraId="1E2F2BF5" w14:textId="77777777" w:rsidR="00333FCB" w:rsidRDefault="00333FCB" w:rsidP="00333FCB">
      <w:pPr>
        <w:pStyle w:val="SingleTxtG"/>
        <w:rPr>
          <w:i/>
          <w:iCs/>
        </w:rPr>
      </w:pPr>
      <w:r w:rsidRPr="0063230C">
        <w:rPr>
          <w:i/>
          <w:iCs/>
        </w:rPr>
        <w:t>(Document de référence : document informel INF.</w:t>
      </w:r>
      <w:r>
        <w:rPr>
          <w:i/>
          <w:iCs/>
        </w:rPr>
        <w:t>31</w:t>
      </w:r>
      <w:r w:rsidRPr="0063230C">
        <w:rPr>
          <w:i/>
          <w:iCs/>
        </w:rPr>
        <w:t>)</w:t>
      </w:r>
    </w:p>
    <w:p w14:paraId="12B61DDD" w14:textId="77777777" w:rsidR="00333FCB" w:rsidRPr="00325B50" w:rsidRDefault="00333FCB" w:rsidP="00333FCB">
      <w:pPr>
        <w:pStyle w:val="SingleTxtG"/>
      </w:pPr>
      <w:r>
        <w:t>Chapitre 6.5, 6.5.2.1.3 : Dans la dernière phrase, après « à proximité », insérer « immédiate ».</w:t>
      </w:r>
    </w:p>
    <w:p w14:paraId="6FA4622D" w14:textId="77777777" w:rsidR="00333FCB" w:rsidRDefault="00333FCB" w:rsidP="00333FCB">
      <w:pPr>
        <w:pStyle w:val="SingleTxtG"/>
        <w:rPr>
          <w:i/>
          <w:iCs/>
        </w:rPr>
      </w:pPr>
      <w:r w:rsidRPr="0063230C">
        <w:rPr>
          <w:i/>
          <w:iCs/>
        </w:rPr>
        <w:t>(Document de référence : document informel INF.</w:t>
      </w:r>
      <w:r>
        <w:rPr>
          <w:i/>
          <w:iCs/>
        </w:rPr>
        <w:t>31</w:t>
      </w:r>
      <w:r w:rsidRPr="0063230C">
        <w:rPr>
          <w:i/>
          <w:iCs/>
        </w:rPr>
        <w:t>)</w:t>
      </w:r>
    </w:p>
    <w:p w14:paraId="10574FB6" w14:textId="77777777" w:rsidR="00333FCB" w:rsidRPr="00325B50" w:rsidRDefault="00333FCB" w:rsidP="00333FCB">
      <w:pPr>
        <w:pStyle w:val="SingleTxtG"/>
      </w:pPr>
      <w:r>
        <w:t>Chapitre 6.6, 6.6.3.4 : Dans la dernière phrase, après « à proximité », insérer « immédiate ».</w:t>
      </w:r>
    </w:p>
    <w:p w14:paraId="0099BA3C" w14:textId="77777777" w:rsidR="00333FCB" w:rsidRDefault="00333FCB" w:rsidP="00333FCB">
      <w:pPr>
        <w:pStyle w:val="SingleTxtG"/>
        <w:rPr>
          <w:i/>
          <w:iCs/>
        </w:rPr>
      </w:pPr>
      <w:r w:rsidRPr="0063230C">
        <w:rPr>
          <w:i/>
          <w:iCs/>
        </w:rPr>
        <w:t>(Document de référence : document informel INF.</w:t>
      </w:r>
      <w:r>
        <w:rPr>
          <w:i/>
          <w:iCs/>
        </w:rPr>
        <w:t>31</w:t>
      </w:r>
      <w:r w:rsidRPr="0063230C">
        <w:rPr>
          <w:i/>
          <w:iCs/>
        </w:rPr>
        <w:t>)</w:t>
      </w:r>
    </w:p>
    <w:p w14:paraId="248A3D5B" w14:textId="77777777" w:rsidR="00333FCB" w:rsidRDefault="00333FCB" w:rsidP="00333FCB">
      <w:pPr>
        <w:pStyle w:val="SingleTxtG"/>
      </w:pPr>
      <w:r>
        <w:t>Chapitre 6.7, 6.7.2.19.6 : Dans le titre, remplacer « Remplissage » par « Contrôle, épreuve et remplissage ».</w:t>
      </w:r>
    </w:p>
    <w:p w14:paraId="66609051" w14:textId="77777777" w:rsidR="00333FCB" w:rsidRDefault="00333FCB" w:rsidP="00333FCB">
      <w:pPr>
        <w:pStyle w:val="SingleTxtG"/>
        <w:rPr>
          <w:i/>
          <w:iCs/>
        </w:rPr>
      </w:pPr>
      <w:r w:rsidRPr="0063230C">
        <w:rPr>
          <w:i/>
          <w:iCs/>
        </w:rPr>
        <w:t>(Document de référence : document informel INF.</w:t>
      </w:r>
      <w:r>
        <w:rPr>
          <w:i/>
          <w:iCs/>
        </w:rPr>
        <w:t>20</w:t>
      </w:r>
      <w:r w:rsidRPr="0063230C">
        <w:rPr>
          <w:i/>
          <w:iCs/>
        </w:rPr>
        <w:t>)</w:t>
      </w:r>
    </w:p>
    <w:p w14:paraId="218D6AFA" w14:textId="77777777" w:rsidR="00333FCB" w:rsidRDefault="00333FCB" w:rsidP="00333FCB">
      <w:pPr>
        <w:pStyle w:val="SingleTxtG"/>
      </w:pPr>
      <w:r>
        <w:t>Chapitre 6.7, 6.7.3.15.6 : Dans le titre, remplacer « Remplissage » par « Contrôle, épreuve et remplissage ».</w:t>
      </w:r>
    </w:p>
    <w:p w14:paraId="494DB80F" w14:textId="77777777" w:rsidR="00333FCB" w:rsidRDefault="00333FCB" w:rsidP="00333FCB">
      <w:pPr>
        <w:pStyle w:val="SingleTxtG"/>
        <w:rPr>
          <w:i/>
          <w:iCs/>
        </w:rPr>
      </w:pPr>
      <w:r w:rsidRPr="0063230C">
        <w:rPr>
          <w:i/>
          <w:iCs/>
        </w:rPr>
        <w:t>(Document de référence : document informel INF.</w:t>
      </w:r>
      <w:r>
        <w:rPr>
          <w:i/>
          <w:iCs/>
        </w:rPr>
        <w:t>20</w:t>
      </w:r>
      <w:r w:rsidRPr="0063230C">
        <w:rPr>
          <w:i/>
          <w:iCs/>
        </w:rPr>
        <w:t>)</w:t>
      </w:r>
    </w:p>
    <w:p w14:paraId="459AFCFA" w14:textId="77777777" w:rsidR="00333FCB" w:rsidRDefault="00333FCB" w:rsidP="00333FCB">
      <w:pPr>
        <w:pStyle w:val="SingleTxtG"/>
      </w:pPr>
      <w:r>
        <w:t>Chapitre 6.7, 6.7.4.14.6 : Dans le titre, remplacer « Remplissage » par « Contrôle, épreuve et remplissage ».</w:t>
      </w:r>
    </w:p>
    <w:p w14:paraId="65E7E161" w14:textId="77777777" w:rsidR="00333FCB" w:rsidRDefault="00333FCB" w:rsidP="00333FCB">
      <w:pPr>
        <w:pStyle w:val="SingleTxtG"/>
        <w:rPr>
          <w:i/>
          <w:iCs/>
        </w:rPr>
      </w:pPr>
      <w:r w:rsidRPr="0063230C">
        <w:rPr>
          <w:i/>
          <w:iCs/>
        </w:rPr>
        <w:t>(Document de référence : document informel INF.</w:t>
      </w:r>
      <w:r>
        <w:rPr>
          <w:i/>
          <w:iCs/>
        </w:rPr>
        <w:t>20</w:t>
      </w:r>
      <w:r w:rsidRPr="0063230C">
        <w:rPr>
          <w:i/>
          <w:iCs/>
        </w:rPr>
        <w:t>)</w:t>
      </w:r>
    </w:p>
    <w:p w14:paraId="0BBE28EC" w14:textId="1FEB791E" w:rsidR="00333FCB" w:rsidRPr="00C94D33" w:rsidRDefault="00333FCB" w:rsidP="00333FCB">
      <w:pPr>
        <w:pStyle w:val="SingleTxtG"/>
      </w:pPr>
      <w:r w:rsidRPr="00C94D33">
        <w:t>(ADN :) Chapitre 7.1, 7.1.4.14.7.3.3</w:t>
      </w:r>
      <w:r>
        <w:t xml:space="preserve"> b)</w:t>
      </w:r>
      <w:r w:rsidRPr="00C94D33">
        <w:tab/>
      </w:r>
      <w:r>
        <w:t>Remplacer « les limites d’intensité de rayonnement » par « les limites de débit de dose ».</w:t>
      </w:r>
    </w:p>
    <w:p w14:paraId="1934A1AE" w14:textId="77777777" w:rsidR="00333FCB" w:rsidRDefault="00333FCB" w:rsidP="00333FCB">
      <w:pPr>
        <w:pStyle w:val="SingleTxtG"/>
        <w:rPr>
          <w:i/>
          <w:iCs/>
        </w:rPr>
      </w:pPr>
      <w:r w:rsidRPr="0063230C">
        <w:rPr>
          <w:i/>
          <w:iCs/>
        </w:rPr>
        <w:t>(Document de référence : document informel INF.</w:t>
      </w:r>
      <w:r>
        <w:rPr>
          <w:i/>
          <w:iCs/>
        </w:rPr>
        <w:t>20</w:t>
      </w:r>
      <w:r w:rsidRPr="0063230C">
        <w:rPr>
          <w:i/>
          <w:iCs/>
        </w:rPr>
        <w:t>)</w:t>
      </w:r>
    </w:p>
    <w:p w14:paraId="132B4FAE" w14:textId="2ECF0A99" w:rsidR="00333FCB" w:rsidRPr="00C94D33" w:rsidRDefault="00333FCB" w:rsidP="00333FCB">
      <w:pPr>
        <w:pStyle w:val="SingleTxtG"/>
      </w:pPr>
      <w:r w:rsidRPr="00C94D33">
        <w:t>Chapitre 7.</w:t>
      </w:r>
      <w:r>
        <w:t>5.11</w:t>
      </w:r>
      <w:r w:rsidRPr="00C94D33">
        <w:t xml:space="preserve">, </w:t>
      </w:r>
      <w:r w:rsidRPr="00CD471E">
        <w:t>CW33/CV33</w:t>
      </w:r>
      <w:r>
        <w:t xml:space="preserve"> (3) (3.3) b)</w:t>
      </w:r>
      <w:r w:rsidRPr="00C94D33">
        <w:tab/>
      </w:r>
      <w:r>
        <w:t>Remplacer « les limites d’intensité de rayonnement » par « les limites de débit de dose ».</w:t>
      </w:r>
    </w:p>
    <w:p w14:paraId="59CACA2A" w14:textId="7F9C73EA" w:rsidR="00333FCB" w:rsidRPr="00333FCB" w:rsidRDefault="00333FCB" w:rsidP="00333FCB">
      <w:pPr>
        <w:pStyle w:val="SingleTxtG"/>
        <w:rPr>
          <w:i/>
        </w:rPr>
      </w:pPr>
      <w:r w:rsidRPr="00333FCB">
        <w:rPr>
          <w:i/>
        </w:rPr>
        <w:t>(Document de référence : document informel INF.20)</w:t>
      </w:r>
    </w:p>
    <w:p w14:paraId="15D64771" w14:textId="523C6D85" w:rsidR="007B7BE0" w:rsidRPr="00861507" w:rsidRDefault="007B7BE0" w:rsidP="00437504">
      <w:pPr>
        <w:pStyle w:val="HChG"/>
      </w:pPr>
      <w:r w:rsidRPr="00535410">
        <w:br w:type="page"/>
      </w:r>
      <w:r w:rsidRPr="00AA5051">
        <w:t>Annex</w:t>
      </w:r>
      <w:r>
        <w:t>e</w:t>
      </w:r>
      <w:r w:rsidRPr="00AA5051">
        <w:t xml:space="preserve"> II</w:t>
      </w:r>
      <w:r w:rsidRPr="00861507">
        <w:t>I</w:t>
      </w:r>
    </w:p>
    <w:p w14:paraId="587F76AB" w14:textId="5535C153" w:rsidR="007B7BE0" w:rsidRPr="00861507" w:rsidRDefault="007B7BE0" w:rsidP="00437504">
      <w:pPr>
        <w:pStyle w:val="HChG"/>
      </w:pPr>
      <w:r w:rsidRPr="00AA5051">
        <w:tab/>
      </w:r>
      <w:r w:rsidR="00437504">
        <w:tab/>
      </w:r>
      <w:r>
        <w:t>Directives pour l</w:t>
      </w:r>
      <w:r w:rsidR="00333FCB">
        <w:t>’</w:t>
      </w:r>
      <w:r>
        <w:t>utilisation du 5.4.0.2 dans le RID/ADR/A</w:t>
      </w:r>
      <w:r w:rsidRPr="00861507">
        <w:t>D</w:t>
      </w:r>
      <w:r>
        <w:t>N</w:t>
      </w:r>
      <w:r w:rsidRPr="00861507">
        <w:t xml:space="preserve"> </w:t>
      </w:r>
    </w:p>
    <w:p w14:paraId="2CF855F0" w14:textId="77777777" w:rsidR="007B7BE0" w:rsidRPr="00861507" w:rsidRDefault="007B7BE0" w:rsidP="00437504">
      <w:pPr>
        <w:pStyle w:val="SingleTxtG"/>
      </w:pPr>
      <w:r w:rsidRPr="00861507">
        <w:t>(voir par</w:t>
      </w:r>
      <w:r w:rsidR="00437504">
        <w:t>. </w:t>
      </w:r>
      <w:r w:rsidRPr="00861507">
        <w:t>48)</w:t>
      </w:r>
    </w:p>
    <w:p w14:paraId="4E05AD88" w14:textId="488B3FB9" w:rsidR="00F9573C" w:rsidRDefault="00EC53EA" w:rsidP="007B7BE0">
      <w:pPr>
        <w:pStyle w:val="SingleTxtG"/>
      </w:pPr>
      <w:r>
        <w:rPr>
          <w:noProof/>
        </w:rPr>
        <w:drawing>
          <wp:anchor distT="0" distB="0" distL="114300" distR="114300" simplePos="0" relativeHeight="251657728" behindDoc="0" locked="0" layoutInCell="1" allowOverlap="1" wp14:anchorId="3BBCB9BA" wp14:editId="522DE69E">
            <wp:simplePos x="0" y="0"/>
            <wp:positionH relativeFrom="column">
              <wp:posOffset>2031721</wp:posOffset>
            </wp:positionH>
            <wp:positionV relativeFrom="paragraph">
              <wp:posOffset>312954</wp:posOffset>
            </wp:positionV>
            <wp:extent cx="2128520" cy="2033270"/>
            <wp:effectExtent l="0" t="0" r="5080" b="508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R_eDocument_ICON.jpg"/>
                    <pic:cNvPicPr/>
                  </pic:nvPicPr>
                  <pic:blipFill rotWithShape="1">
                    <a:blip r:embed="rId8">
                      <a:extLst>
                        <a:ext uri="{28A0092B-C50C-407E-A947-70E740481C1C}">
                          <a14:useLocalDpi xmlns:a14="http://schemas.microsoft.com/office/drawing/2010/main" val="0"/>
                        </a:ext>
                      </a:extLst>
                    </a:blip>
                    <a:srcRect l="33345" t="21035" r="31872" b="19891"/>
                    <a:stretch/>
                  </pic:blipFill>
                  <pic:spPr bwMode="auto">
                    <a:xfrm>
                      <a:off x="0" y="0"/>
                      <a:ext cx="2128520" cy="2033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B7BE0" w:rsidRPr="00861507">
        <w:t>Dans le document ECE/TRANS/WP.15/AC.1/2019/44, annex</w:t>
      </w:r>
      <w:r w:rsidR="007B7BE0">
        <w:t>e</w:t>
      </w:r>
      <w:r w:rsidR="007B7BE0" w:rsidRPr="00861507">
        <w:t xml:space="preserve"> B, remplacer l</w:t>
      </w:r>
      <w:r w:rsidR="00333FCB">
        <w:t>’</w:t>
      </w:r>
      <w:r w:rsidR="007B7BE0" w:rsidRPr="00861507">
        <w:t xml:space="preserve">actuel pictogramme </w:t>
      </w:r>
      <w:r w:rsidR="007B7BE0">
        <w:t>par ce qui suit</w:t>
      </w:r>
      <w:r w:rsidR="00437504">
        <w:t> </w:t>
      </w:r>
      <w:r w:rsidR="007B7BE0" w:rsidRPr="00861507">
        <w:t>:</w:t>
      </w:r>
    </w:p>
    <w:p w14:paraId="4ADF0FF9" w14:textId="77777777" w:rsidR="007B7BE0" w:rsidRDefault="007B7BE0" w:rsidP="007B7BE0">
      <w:pPr>
        <w:ind w:left="1134" w:right="1134"/>
      </w:pPr>
    </w:p>
    <w:p w14:paraId="6A74ADEE" w14:textId="77777777" w:rsidR="007B7BE0" w:rsidRDefault="007B7BE0" w:rsidP="007B7BE0">
      <w:pPr>
        <w:ind w:left="1134" w:right="1134"/>
      </w:pPr>
    </w:p>
    <w:p w14:paraId="19416193" w14:textId="77777777" w:rsidR="007B7BE0" w:rsidRDefault="007B7BE0" w:rsidP="007B7BE0">
      <w:pPr>
        <w:ind w:left="1134" w:right="1134"/>
      </w:pPr>
    </w:p>
    <w:p w14:paraId="7C48FD45" w14:textId="77777777" w:rsidR="007B7BE0" w:rsidRDefault="007B7BE0" w:rsidP="007B7BE0">
      <w:pPr>
        <w:ind w:left="1134" w:right="1134"/>
      </w:pPr>
    </w:p>
    <w:p w14:paraId="17293B1A" w14:textId="77777777" w:rsidR="007B7BE0" w:rsidRDefault="007B7BE0" w:rsidP="007B7BE0">
      <w:pPr>
        <w:ind w:left="1134" w:right="1134"/>
      </w:pPr>
    </w:p>
    <w:p w14:paraId="23CD11D0" w14:textId="77777777" w:rsidR="007B7BE0" w:rsidRDefault="007B7BE0" w:rsidP="007B7BE0">
      <w:pPr>
        <w:ind w:left="1134" w:right="1134"/>
      </w:pPr>
    </w:p>
    <w:p w14:paraId="0D312957" w14:textId="77777777" w:rsidR="007B7BE0" w:rsidRDefault="007B7BE0" w:rsidP="007B7BE0">
      <w:pPr>
        <w:ind w:left="1134" w:right="1134"/>
      </w:pPr>
    </w:p>
    <w:p w14:paraId="320B9ABD" w14:textId="77777777" w:rsidR="007B7BE0" w:rsidRDefault="007B7BE0" w:rsidP="007B7BE0">
      <w:pPr>
        <w:ind w:left="1134" w:right="1134"/>
      </w:pPr>
    </w:p>
    <w:p w14:paraId="023C1DFB" w14:textId="77777777" w:rsidR="007B7BE0" w:rsidRDefault="007B7BE0" w:rsidP="007B7BE0">
      <w:pPr>
        <w:ind w:left="1134" w:right="1134"/>
      </w:pPr>
    </w:p>
    <w:p w14:paraId="5756C713" w14:textId="77777777" w:rsidR="007B7BE0" w:rsidRDefault="007B7BE0" w:rsidP="007B7BE0">
      <w:pPr>
        <w:ind w:left="1134" w:right="1134"/>
      </w:pPr>
    </w:p>
    <w:p w14:paraId="37201A24" w14:textId="77777777" w:rsidR="007B7BE0" w:rsidRDefault="007B7BE0" w:rsidP="007B7BE0">
      <w:pPr>
        <w:ind w:left="1134" w:right="1134"/>
      </w:pPr>
    </w:p>
    <w:p w14:paraId="6597B9AF" w14:textId="77777777" w:rsidR="007B7BE0" w:rsidRDefault="007B7BE0" w:rsidP="007B7BE0">
      <w:pPr>
        <w:pStyle w:val="SingleTxtG"/>
      </w:pPr>
    </w:p>
    <w:p w14:paraId="08BB49EA" w14:textId="77777777" w:rsidR="007B7BE0" w:rsidRPr="007B7BE0" w:rsidRDefault="007B7BE0" w:rsidP="007B7BE0">
      <w:pPr>
        <w:pStyle w:val="SingleTxtG"/>
        <w:spacing w:before="240" w:after="0"/>
        <w:jc w:val="center"/>
        <w:rPr>
          <w:u w:val="single"/>
        </w:rPr>
      </w:pPr>
      <w:r>
        <w:rPr>
          <w:u w:val="single"/>
        </w:rPr>
        <w:tab/>
      </w:r>
      <w:r>
        <w:rPr>
          <w:u w:val="single"/>
        </w:rPr>
        <w:tab/>
      </w:r>
      <w:r>
        <w:rPr>
          <w:u w:val="single"/>
        </w:rPr>
        <w:tab/>
      </w:r>
    </w:p>
    <w:sectPr w:rsidR="007B7BE0" w:rsidRPr="007B7BE0" w:rsidSect="007B7BE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86E64" w14:textId="77777777" w:rsidR="00333FCB" w:rsidRDefault="00333FCB" w:rsidP="00F95C08">
      <w:pPr>
        <w:spacing w:line="240" w:lineRule="auto"/>
      </w:pPr>
    </w:p>
  </w:endnote>
  <w:endnote w:type="continuationSeparator" w:id="0">
    <w:p w14:paraId="518951E6" w14:textId="77777777" w:rsidR="00333FCB" w:rsidRPr="00AC3823" w:rsidRDefault="00333FCB" w:rsidP="00AC3823">
      <w:pPr>
        <w:pStyle w:val="Footer"/>
      </w:pPr>
    </w:p>
  </w:endnote>
  <w:endnote w:type="continuationNotice" w:id="1">
    <w:p w14:paraId="5790C79C" w14:textId="77777777" w:rsidR="00333FCB" w:rsidRDefault="00333F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4E88A" w14:textId="77777777" w:rsidR="00333FCB" w:rsidRPr="007B7BE0" w:rsidRDefault="00333FCB" w:rsidP="007B7BE0">
    <w:pPr>
      <w:pStyle w:val="Footer"/>
      <w:tabs>
        <w:tab w:val="right" w:pos="9638"/>
      </w:tabs>
    </w:pPr>
    <w:r w:rsidRPr="007B7BE0">
      <w:rPr>
        <w:b/>
        <w:sz w:val="18"/>
      </w:rPr>
      <w:fldChar w:fldCharType="begin"/>
    </w:r>
    <w:r w:rsidRPr="007B7BE0">
      <w:rPr>
        <w:b/>
        <w:sz w:val="18"/>
      </w:rPr>
      <w:instrText xml:space="preserve"> PAGE  \* MERGEFORMAT </w:instrText>
    </w:r>
    <w:r w:rsidRPr="007B7BE0">
      <w:rPr>
        <w:b/>
        <w:sz w:val="18"/>
      </w:rPr>
      <w:fldChar w:fldCharType="separate"/>
    </w:r>
    <w:r w:rsidRPr="007B7BE0">
      <w:rPr>
        <w:b/>
        <w:noProof/>
        <w:sz w:val="18"/>
      </w:rPr>
      <w:t>2</w:t>
    </w:r>
    <w:r w:rsidRPr="007B7BE0">
      <w:rPr>
        <w:b/>
        <w:sz w:val="18"/>
      </w:rPr>
      <w:fldChar w:fldCharType="end"/>
    </w:r>
    <w:r>
      <w:rPr>
        <w:b/>
        <w:sz w:val="18"/>
      </w:rPr>
      <w:tab/>
    </w:r>
    <w:r>
      <w:t>GE.19-17660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814ED" w14:textId="77777777" w:rsidR="00333FCB" w:rsidRPr="007B7BE0" w:rsidRDefault="00333FCB" w:rsidP="007B7BE0">
    <w:pPr>
      <w:pStyle w:val="Footer"/>
      <w:tabs>
        <w:tab w:val="right" w:pos="9638"/>
      </w:tabs>
      <w:rPr>
        <w:b/>
        <w:sz w:val="18"/>
      </w:rPr>
    </w:pPr>
    <w:r>
      <w:t>GE.19-17660</w:t>
    </w:r>
    <w:r>
      <w:tab/>
    </w:r>
    <w:r w:rsidRPr="007B7BE0">
      <w:rPr>
        <w:b/>
        <w:sz w:val="18"/>
      </w:rPr>
      <w:fldChar w:fldCharType="begin"/>
    </w:r>
    <w:r w:rsidRPr="007B7BE0">
      <w:rPr>
        <w:b/>
        <w:sz w:val="18"/>
      </w:rPr>
      <w:instrText xml:space="preserve"> PAGE  \* MERGEFORMAT </w:instrText>
    </w:r>
    <w:r w:rsidRPr="007B7BE0">
      <w:rPr>
        <w:b/>
        <w:sz w:val="18"/>
      </w:rPr>
      <w:fldChar w:fldCharType="separate"/>
    </w:r>
    <w:r w:rsidRPr="007B7BE0">
      <w:rPr>
        <w:b/>
        <w:noProof/>
        <w:sz w:val="18"/>
      </w:rPr>
      <w:t>3</w:t>
    </w:r>
    <w:r w:rsidRPr="007B7BE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DD5F5" w14:textId="77777777" w:rsidR="00333FCB" w:rsidRPr="007B7BE0" w:rsidRDefault="00333FCB" w:rsidP="007B7BE0">
    <w:pPr>
      <w:pStyle w:val="Footer"/>
      <w:spacing w:before="120"/>
      <w:rPr>
        <w:sz w:val="20"/>
      </w:rPr>
    </w:pPr>
    <w:r>
      <w:rPr>
        <w:sz w:val="20"/>
      </w:rPr>
      <w:t>GE.</w:t>
    </w:r>
    <w:r>
      <w:rPr>
        <w:noProof/>
        <w:lang w:eastAsia="fr-CH"/>
      </w:rPr>
      <w:drawing>
        <wp:anchor distT="0" distB="0" distL="114300" distR="114300" simplePos="0" relativeHeight="251661824" behindDoc="0" locked="0" layoutInCell="1" allowOverlap="0" wp14:anchorId="271E8E06" wp14:editId="5A3B45D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19-17660  (F)    051119    061119</w:t>
    </w:r>
    <w:r>
      <w:rPr>
        <w:sz w:val="20"/>
      </w:rPr>
      <w:br/>
    </w:r>
    <w:r w:rsidRPr="007B7BE0">
      <w:rPr>
        <w:rFonts w:ascii="C39T30Lfz" w:hAnsi="C39T30Lfz"/>
        <w:sz w:val="56"/>
      </w:rPr>
      <w:t></w:t>
    </w:r>
    <w:r w:rsidRPr="007B7BE0">
      <w:rPr>
        <w:rFonts w:ascii="C39T30Lfz" w:hAnsi="C39T30Lfz"/>
        <w:sz w:val="56"/>
      </w:rPr>
      <w:t></w:t>
    </w:r>
    <w:r w:rsidRPr="007B7BE0">
      <w:rPr>
        <w:rFonts w:ascii="C39T30Lfz" w:hAnsi="C39T30Lfz"/>
        <w:sz w:val="56"/>
      </w:rPr>
      <w:t></w:t>
    </w:r>
    <w:r w:rsidRPr="007B7BE0">
      <w:rPr>
        <w:rFonts w:ascii="C39T30Lfz" w:hAnsi="C39T30Lfz"/>
        <w:sz w:val="56"/>
      </w:rPr>
      <w:t></w:t>
    </w:r>
    <w:r w:rsidRPr="007B7BE0">
      <w:rPr>
        <w:rFonts w:ascii="C39T30Lfz" w:hAnsi="C39T30Lfz"/>
        <w:sz w:val="56"/>
      </w:rPr>
      <w:t></w:t>
    </w:r>
    <w:r w:rsidRPr="007B7BE0">
      <w:rPr>
        <w:rFonts w:ascii="C39T30Lfz" w:hAnsi="C39T30Lfz"/>
        <w:sz w:val="56"/>
      </w:rPr>
      <w:t></w:t>
    </w:r>
    <w:r w:rsidRPr="007B7BE0">
      <w:rPr>
        <w:rFonts w:ascii="C39T30Lfz" w:hAnsi="C39T30Lfz"/>
        <w:sz w:val="56"/>
      </w:rPr>
      <w:t></w:t>
    </w:r>
    <w:r w:rsidRPr="007B7BE0">
      <w:rPr>
        <w:rFonts w:ascii="C39T30Lfz" w:hAnsi="C39T30Lfz"/>
        <w:sz w:val="56"/>
      </w:rPr>
      <w:t></w:t>
    </w:r>
    <w:r w:rsidRPr="007B7BE0">
      <w:rPr>
        <w:rFonts w:ascii="C39T30Lfz" w:hAnsi="C39T30Lfz"/>
        <w:sz w:val="56"/>
      </w:rPr>
      <w:t></w:t>
    </w:r>
    <w:r>
      <w:rPr>
        <w:noProof/>
        <w:sz w:val="20"/>
      </w:rPr>
      <w:drawing>
        <wp:anchor distT="0" distB="0" distL="114300" distR="114300" simplePos="0" relativeHeight="251658752" behindDoc="0" locked="0" layoutInCell="1" allowOverlap="1" wp14:anchorId="2EF2EB6D" wp14:editId="383E6F6B">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15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15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F5690" w14:textId="77777777" w:rsidR="00333FCB" w:rsidRPr="00AC3823" w:rsidRDefault="00333FCB" w:rsidP="00AC3823">
      <w:pPr>
        <w:pStyle w:val="Footer"/>
        <w:tabs>
          <w:tab w:val="right" w:pos="2155"/>
        </w:tabs>
        <w:spacing w:after="80" w:line="240" w:lineRule="atLeast"/>
        <w:ind w:left="680"/>
        <w:rPr>
          <w:u w:val="single"/>
        </w:rPr>
      </w:pPr>
      <w:r>
        <w:rPr>
          <w:u w:val="single"/>
        </w:rPr>
        <w:tab/>
      </w:r>
    </w:p>
  </w:footnote>
  <w:footnote w:type="continuationSeparator" w:id="0">
    <w:p w14:paraId="77C999F0" w14:textId="77777777" w:rsidR="00333FCB" w:rsidRPr="00AC3823" w:rsidRDefault="00333FCB" w:rsidP="00AC3823">
      <w:pPr>
        <w:pStyle w:val="Footer"/>
        <w:tabs>
          <w:tab w:val="right" w:pos="2155"/>
        </w:tabs>
        <w:spacing w:after="80" w:line="240" w:lineRule="atLeast"/>
        <w:ind w:left="680"/>
        <w:rPr>
          <w:u w:val="single"/>
        </w:rPr>
      </w:pPr>
      <w:r>
        <w:rPr>
          <w:u w:val="single"/>
        </w:rPr>
        <w:tab/>
      </w:r>
    </w:p>
  </w:footnote>
  <w:footnote w:type="continuationNotice" w:id="1">
    <w:p w14:paraId="4B68E317" w14:textId="77777777" w:rsidR="00333FCB" w:rsidRPr="00AC3823" w:rsidRDefault="00333FCB">
      <w:pPr>
        <w:spacing w:line="240" w:lineRule="auto"/>
        <w:rPr>
          <w:sz w:val="2"/>
          <w:szCs w:val="2"/>
        </w:rPr>
      </w:pPr>
    </w:p>
  </w:footnote>
  <w:footnote w:id="2">
    <w:p w14:paraId="7C40B953" w14:textId="08F47A56" w:rsidR="00333FCB" w:rsidRPr="002D6D59" w:rsidRDefault="00333FCB">
      <w:pPr>
        <w:pStyle w:val="FootnoteText"/>
      </w:pPr>
      <w:r>
        <w:rPr>
          <w:rStyle w:val="FootnoteReference"/>
        </w:rPr>
        <w:tab/>
      </w:r>
      <w:r w:rsidRPr="002D6D59">
        <w:rPr>
          <w:rStyle w:val="FootnoteReference"/>
          <w:sz w:val="20"/>
          <w:vertAlign w:val="baseline"/>
        </w:rPr>
        <w:t>*</w:t>
      </w:r>
      <w:r>
        <w:rPr>
          <w:rStyle w:val="FootnoteReference"/>
          <w:sz w:val="20"/>
          <w:vertAlign w:val="baseline"/>
        </w:rPr>
        <w:tab/>
      </w:r>
      <w:r w:rsidR="00152C10">
        <w:t>Deuxième</w:t>
      </w:r>
      <w:r>
        <w:t xml:space="preserve"> tirage pour raisons techniques (</w:t>
      </w:r>
      <w:r w:rsidR="00152C10">
        <w:t>2</w:t>
      </w:r>
      <w:r>
        <w:t xml:space="preserve"> </w:t>
      </w:r>
      <w:r w:rsidR="00152C10">
        <w:t>déce</w:t>
      </w:r>
      <w:r>
        <w:t>mbre 2019).</w:t>
      </w:r>
    </w:p>
  </w:footnote>
  <w:footnote w:id="3">
    <w:p w14:paraId="2B338EFE" w14:textId="7E73D858" w:rsidR="00333FCB" w:rsidRPr="002D6D59" w:rsidRDefault="00333FCB">
      <w:pPr>
        <w:pStyle w:val="FootnoteText"/>
      </w:pPr>
      <w:r>
        <w:rPr>
          <w:rStyle w:val="FootnoteReference"/>
        </w:rPr>
        <w:tab/>
      </w:r>
      <w:r w:rsidRPr="002D6D59">
        <w:rPr>
          <w:rStyle w:val="FootnoteReference"/>
          <w:sz w:val="20"/>
          <w:vertAlign w:val="baseline"/>
        </w:rPr>
        <w:t>**</w:t>
      </w:r>
      <w:r>
        <w:rPr>
          <w:rStyle w:val="FootnoteReference"/>
          <w:sz w:val="20"/>
          <w:vertAlign w:val="baseline"/>
        </w:rPr>
        <w:tab/>
      </w:r>
      <w:r>
        <w:t xml:space="preserve">Diffusé par l’Organisation intergouvernementale pour les transports internationaux ferroviaires </w:t>
      </w:r>
      <w:r w:rsidRPr="0066112C">
        <w:t>(OTIF) sous la cote OTIF/RID/RC/2019-</w:t>
      </w:r>
      <w:r>
        <w:t>B</w:t>
      </w:r>
      <w:r w:rsidRPr="0066112C">
        <w:t>. Sauf indication</w:t>
      </w:r>
      <w:r>
        <w:t xml:space="preserve"> contraire, les autres documents auxquels il est fait référence dans le présent rapport et qui portent une cote ECE/TRANS/WP.15/AC.1/ suivie de l’année et d’un numéro de série ont été diffusés par l’OTIF sous la cote OTIF/RID/RC/ suivie de l’année et du même numéro de série.</w:t>
      </w:r>
    </w:p>
  </w:footnote>
  <w:footnote w:id="4">
    <w:p w14:paraId="4E293179" w14:textId="690610E8" w:rsidR="00333FCB" w:rsidRPr="002D6D59" w:rsidRDefault="00333FCB" w:rsidP="0074109E">
      <w:pPr>
        <w:pStyle w:val="FootnoteText"/>
      </w:pPr>
      <w:r>
        <w:rPr>
          <w:rStyle w:val="FootnoteReference"/>
        </w:rPr>
        <w:tab/>
      </w:r>
      <w:r w:rsidRPr="002D6D59">
        <w:rPr>
          <w:rStyle w:val="FootnoteReference"/>
          <w:sz w:val="20"/>
          <w:vertAlign w:val="baseline"/>
        </w:rPr>
        <w:t>***</w:t>
      </w:r>
      <w:r>
        <w:rPr>
          <w:rStyle w:val="FootnoteReference"/>
          <w:sz w:val="20"/>
          <w:vertAlign w:val="baseline"/>
        </w:rPr>
        <w:tab/>
      </w:r>
      <w:r w:rsidRPr="002D6D59">
        <w:t xml:space="preserve">Pour des raisons pratiques, l’annexe I est reproduite sous forme d’additif au présent document, sous la </w:t>
      </w:r>
      <w:r w:rsidRPr="0074109E">
        <w:t>cote</w:t>
      </w:r>
      <w:r w:rsidRPr="002D6D59">
        <w:t xml:space="preserve"> ECE/TRANS/WP.15/AC.1/156/Add.1.</w:t>
      </w:r>
    </w:p>
  </w:footnote>
  <w:footnote w:id="5">
    <w:p w14:paraId="4DCBD414" w14:textId="77777777" w:rsidR="00333FCB" w:rsidRPr="003478A9" w:rsidRDefault="00333FCB" w:rsidP="007B7BE0">
      <w:pPr>
        <w:pStyle w:val="FootnoteText"/>
      </w:pPr>
      <w:r w:rsidRPr="00D44BE6">
        <w:tab/>
      </w:r>
      <w:r>
        <w:rPr>
          <w:rStyle w:val="FootnoteReference"/>
        </w:rPr>
        <w:footnoteRef/>
      </w:r>
      <w:r w:rsidRPr="003478A9">
        <w:t xml:space="preserve"> </w:t>
      </w:r>
      <w:r w:rsidRPr="003478A9">
        <w:tab/>
        <w:t>Voir https://www.fead.be/legislative-overview/adr.</w:t>
      </w:r>
    </w:p>
  </w:footnote>
  <w:footnote w:id="6">
    <w:p w14:paraId="1F93CFD8" w14:textId="77777777" w:rsidR="00333FCB" w:rsidRPr="004B4D70" w:rsidRDefault="00333FCB" w:rsidP="003478A9">
      <w:pPr>
        <w:pStyle w:val="FootnoteText"/>
      </w:pPr>
      <w:r w:rsidRPr="003478A9">
        <w:tab/>
      </w:r>
      <w:r w:rsidRPr="003259EF">
        <w:rPr>
          <w:rStyle w:val="FootnoteReference"/>
        </w:rPr>
        <w:footnoteRef/>
      </w:r>
      <w:r w:rsidRPr="004B4D70">
        <w:rPr>
          <w:rStyle w:val="FootnoteReference"/>
        </w:rPr>
        <w:t xml:space="preserve"> </w:t>
      </w:r>
      <w:r w:rsidRPr="004B4D70">
        <w:tab/>
      </w:r>
      <w:hyperlink r:id="rId1" w:history="1">
        <w:r w:rsidRPr="004B4D70">
          <w:rPr>
            <w:rStyle w:val="Hyperlink"/>
          </w:rPr>
          <w:t>www.era.europa.eu/activities/transport-dangerous-goods/inland-tdg_en</w:t>
        </w:r>
      </w:hyperlink>
      <w:r w:rsidRPr="004B4D70">
        <w:rPr>
          <w:rStyle w:val="Hyperlink"/>
        </w:rPr>
        <w:br/>
      </w:r>
      <w:hyperlink r:id="rId2" w:history="1">
        <w:r w:rsidRPr="004B4D70">
          <w:rPr>
            <w:rStyle w:val="Hyperlink"/>
          </w:rPr>
          <w:t>ec.europa.eu/transport/</w:t>
        </w:r>
        <w:proofErr w:type="spellStart"/>
        <w:r w:rsidRPr="004B4D70">
          <w:rPr>
            <w:rStyle w:val="Hyperlink"/>
          </w:rPr>
          <w:t>themes</w:t>
        </w:r>
        <w:proofErr w:type="spellEnd"/>
        <w:r w:rsidRPr="004B4D70">
          <w:rPr>
            <w:rStyle w:val="Hyperlink"/>
          </w:rPr>
          <w:t>/</w:t>
        </w:r>
        <w:proofErr w:type="spellStart"/>
        <w:r w:rsidRPr="004B4D70">
          <w:rPr>
            <w:rStyle w:val="Hyperlink"/>
          </w:rPr>
          <w:t>dangerous_goods_en</w:t>
        </w:r>
        <w:proofErr w:type="spellEnd"/>
      </w:hyperlink>
      <w:r w:rsidRPr="004B4D70">
        <w:rPr>
          <w:rStyle w:val="Hyperlink"/>
        </w:rPr>
        <w:br/>
      </w:r>
      <w:hyperlink r:id="rId3" w:history="1">
        <w:r w:rsidRPr="004B4D70">
          <w:rPr>
            <w:rStyle w:val="Hyperlink"/>
          </w:rPr>
          <w:t>ec.europa.eu/transport/themes/dangerous_good/risk_management_framework_en</w:t>
        </w:r>
      </w:hyperlink>
      <w:r w:rsidRPr="004B4D70">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B48F9" w14:textId="55F90626" w:rsidR="00333FCB" w:rsidRPr="007B7BE0" w:rsidRDefault="006457C0">
    <w:pPr>
      <w:pStyle w:val="Header"/>
    </w:pPr>
    <w:fldSimple w:instr=" TITLE  \* MERGEFORMAT ">
      <w:r>
        <w:t>ECE/TRANS/WP.15/AC.1/156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B49F1" w14:textId="0960139D" w:rsidR="00333FCB" w:rsidRPr="007B7BE0" w:rsidRDefault="006457C0" w:rsidP="007B7BE0">
    <w:pPr>
      <w:pStyle w:val="Header"/>
      <w:jc w:val="right"/>
    </w:pPr>
    <w:fldSimple w:instr=" TITLE  \* MERGEFORMAT ">
      <w:r>
        <w:t>ECE/TRANS/WP.15/AC.1/156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D954887"/>
    <w:multiLevelType w:val="hybridMultilevel"/>
    <w:tmpl w:val="F2A427D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3DD608D"/>
    <w:multiLevelType w:val="hybridMultilevel"/>
    <w:tmpl w:val="7E4237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3ACF4EB2"/>
    <w:multiLevelType w:val="hybridMultilevel"/>
    <w:tmpl w:val="4E70992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4B2D5533"/>
    <w:multiLevelType w:val="hybridMultilevel"/>
    <w:tmpl w:val="B718C3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AD07B2"/>
    <w:multiLevelType w:val="hybridMultilevel"/>
    <w:tmpl w:val="D114823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num w:numId="1">
    <w:abstractNumId w:val="9"/>
  </w:num>
  <w:num w:numId="2">
    <w:abstractNumId w:val="1"/>
  </w:num>
  <w:num w:numId="3">
    <w:abstractNumId w:val="8"/>
  </w:num>
  <w:num w:numId="4">
    <w:abstractNumId w:val="4"/>
  </w:num>
  <w:num w:numId="5">
    <w:abstractNumId w:val="2"/>
  </w:num>
  <w:num w:numId="6">
    <w:abstractNumId w:val="10"/>
  </w:num>
  <w:num w:numId="7">
    <w:abstractNumId w:val="5"/>
  </w:num>
  <w:num w:numId="8">
    <w:abstractNumId w:val="7"/>
  </w:num>
  <w:num w:numId="9">
    <w:abstractNumId w:val="9"/>
  </w:num>
  <w:num w:numId="10">
    <w:abstractNumId w:val="6"/>
  </w:num>
  <w:num w:numId="11">
    <w:abstractNumId w:val="3"/>
  </w:num>
  <w:num w:numId="12">
    <w:abstractNumId w:val="9"/>
  </w:num>
  <w:num w:numId="13">
    <w:abstractNumId w:val="9"/>
  </w:num>
  <w:num w:numId="14">
    <w:abstractNumId w:val="9"/>
  </w:num>
  <w:num w:numId="1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evenAndOddHeaders/>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7D7"/>
    <w:rsid w:val="00002171"/>
    <w:rsid w:val="00017F94"/>
    <w:rsid w:val="00023515"/>
    <w:rsid w:val="00023842"/>
    <w:rsid w:val="000334F9"/>
    <w:rsid w:val="00045FEB"/>
    <w:rsid w:val="00046EEC"/>
    <w:rsid w:val="0007796D"/>
    <w:rsid w:val="000807F1"/>
    <w:rsid w:val="000B7790"/>
    <w:rsid w:val="000F0027"/>
    <w:rsid w:val="0010031B"/>
    <w:rsid w:val="00103210"/>
    <w:rsid w:val="00111F2F"/>
    <w:rsid w:val="0014365E"/>
    <w:rsid w:val="00143C66"/>
    <w:rsid w:val="00152C10"/>
    <w:rsid w:val="00176178"/>
    <w:rsid w:val="001D10CF"/>
    <w:rsid w:val="001D7233"/>
    <w:rsid w:val="001F525A"/>
    <w:rsid w:val="00223272"/>
    <w:rsid w:val="0024442A"/>
    <w:rsid w:val="0024779E"/>
    <w:rsid w:val="00253EE0"/>
    <w:rsid w:val="00257168"/>
    <w:rsid w:val="002610B2"/>
    <w:rsid w:val="002744B8"/>
    <w:rsid w:val="002832AC"/>
    <w:rsid w:val="002C472A"/>
    <w:rsid w:val="002D6D59"/>
    <w:rsid w:val="002D7C93"/>
    <w:rsid w:val="003020E3"/>
    <w:rsid w:val="00305801"/>
    <w:rsid w:val="003259EF"/>
    <w:rsid w:val="00333FCB"/>
    <w:rsid w:val="003478A9"/>
    <w:rsid w:val="003607D7"/>
    <w:rsid w:val="00364FCF"/>
    <w:rsid w:val="003916DE"/>
    <w:rsid w:val="003B6AD3"/>
    <w:rsid w:val="003D37AD"/>
    <w:rsid w:val="003F7DCF"/>
    <w:rsid w:val="00421996"/>
    <w:rsid w:val="00426D71"/>
    <w:rsid w:val="00437504"/>
    <w:rsid w:val="00441C3B"/>
    <w:rsid w:val="00446FE5"/>
    <w:rsid w:val="00452396"/>
    <w:rsid w:val="0047418B"/>
    <w:rsid w:val="004837D8"/>
    <w:rsid w:val="004B4D70"/>
    <w:rsid w:val="004C516C"/>
    <w:rsid w:val="004C675A"/>
    <w:rsid w:val="004D3DE8"/>
    <w:rsid w:val="004D40F4"/>
    <w:rsid w:val="004E2EED"/>
    <w:rsid w:val="004E468C"/>
    <w:rsid w:val="004F08DE"/>
    <w:rsid w:val="00537EEB"/>
    <w:rsid w:val="005505B7"/>
    <w:rsid w:val="0057350D"/>
    <w:rsid w:val="00573BE5"/>
    <w:rsid w:val="00586ED3"/>
    <w:rsid w:val="00596AA9"/>
    <w:rsid w:val="005B12F8"/>
    <w:rsid w:val="005F7362"/>
    <w:rsid w:val="00602AD5"/>
    <w:rsid w:val="006233FD"/>
    <w:rsid w:val="006457C0"/>
    <w:rsid w:val="0071306E"/>
    <w:rsid w:val="0071601D"/>
    <w:rsid w:val="00735407"/>
    <w:rsid w:val="00736D25"/>
    <w:rsid w:val="0074109E"/>
    <w:rsid w:val="00795CED"/>
    <w:rsid w:val="007A62E6"/>
    <w:rsid w:val="007B7BE0"/>
    <w:rsid w:val="007F20FA"/>
    <w:rsid w:val="0080684C"/>
    <w:rsid w:val="00807F4E"/>
    <w:rsid w:val="00821C1D"/>
    <w:rsid w:val="008343A5"/>
    <w:rsid w:val="00867AEF"/>
    <w:rsid w:val="00871C75"/>
    <w:rsid w:val="008776DC"/>
    <w:rsid w:val="00877AD8"/>
    <w:rsid w:val="00880119"/>
    <w:rsid w:val="009446C0"/>
    <w:rsid w:val="009705C8"/>
    <w:rsid w:val="009706A1"/>
    <w:rsid w:val="009C1CF4"/>
    <w:rsid w:val="009F6B74"/>
    <w:rsid w:val="00A3029F"/>
    <w:rsid w:val="00A30353"/>
    <w:rsid w:val="00A330BA"/>
    <w:rsid w:val="00A70778"/>
    <w:rsid w:val="00AA6254"/>
    <w:rsid w:val="00AA68E5"/>
    <w:rsid w:val="00AC3823"/>
    <w:rsid w:val="00AC4444"/>
    <w:rsid w:val="00AD63C3"/>
    <w:rsid w:val="00AE323C"/>
    <w:rsid w:val="00AE4A36"/>
    <w:rsid w:val="00AF0CB5"/>
    <w:rsid w:val="00B00181"/>
    <w:rsid w:val="00B00B0D"/>
    <w:rsid w:val="00B15567"/>
    <w:rsid w:val="00B21BC8"/>
    <w:rsid w:val="00B45F2E"/>
    <w:rsid w:val="00B70120"/>
    <w:rsid w:val="00B765F7"/>
    <w:rsid w:val="00B86DC9"/>
    <w:rsid w:val="00BA0CA9"/>
    <w:rsid w:val="00BD45B3"/>
    <w:rsid w:val="00C02897"/>
    <w:rsid w:val="00C114D5"/>
    <w:rsid w:val="00C34F20"/>
    <w:rsid w:val="00C81299"/>
    <w:rsid w:val="00C97039"/>
    <w:rsid w:val="00CB6140"/>
    <w:rsid w:val="00CB6B6B"/>
    <w:rsid w:val="00D03078"/>
    <w:rsid w:val="00D3439C"/>
    <w:rsid w:val="00D41059"/>
    <w:rsid w:val="00D429DB"/>
    <w:rsid w:val="00D44BE6"/>
    <w:rsid w:val="00D64BCD"/>
    <w:rsid w:val="00D65B26"/>
    <w:rsid w:val="00DB1831"/>
    <w:rsid w:val="00DD176A"/>
    <w:rsid w:val="00DD3BFD"/>
    <w:rsid w:val="00DE6378"/>
    <w:rsid w:val="00DF6678"/>
    <w:rsid w:val="00E0299A"/>
    <w:rsid w:val="00E85C74"/>
    <w:rsid w:val="00EA6547"/>
    <w:rsid w:val="00EC2DE5"/>
    <w:rsid w:val="00EC53EA"/>
    <w:rsid w:val="00EE7E98"/>
    <w:rsid w:val="00EF2E22"/>
    <w:rsid w:val="00F0463E"/>
    <w:rsid w:val="00F35BAF"/>
    <w:rsid w:val="00F37058"/>
    <w:rsid w:val="00F4145B"/>
    <w:rsid w:val="00F660DF"/>
    <w:rsid w:val="00F76DA4"/>
    <w:rsid w:val="00F80E1E"/>
    <w:rsid w:val="00F94664"/>
    <w:rsid w:val="00F9573C"/>
    <w:rsid w:val="00F95C08"/>
    <w:rsid w:val="00FA717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4B313D"/>
  <w15:docId w15:val="{03D3FBA4-0F99-4E39-B847-79D75A4C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53E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C53EA"/>
    <w:pPr>
      <w:keepNext/>
      <w:keepLines/>
      <w:spacing w:after="0" w:line="240" w:lineRule="auto"/>
      <w:ind w:right="0"/>
      <w:jc w:val="left"/>
      <w:outlineLvl w:val="0"/>
    </w:pPr>
  </w:style>
  <w:style w:type="paragraph" w:styleId="Heading2">
    <w:name w:val="heading 2"/>
    <w:basedOn w:val="Normal"/>
    <w:next w:val="Normal"/>
    <w:link w:val="Heading2Char"/>
    <w:qFormat/>
    <w:rsid w:val="00EC53EA"/>
    <w:pPr>
      <w:outlineLvl w:val="1"/>
    </w:pPr>
  </w:style>
  <w:style w:type="paragraph" w:styleId="Heading3">
    <w:name w:val="heading 3"/>
    <w:basedOn w:val="Normal"/>
    <w:next w:val="Normal"/>
    <w:link w:val="Heading3Char"/>
    <w:qFormat/>
    <w:rsid w:val="00EC53EA"/>
    <w:pPr>
      <w:outlineLvl w:val="2"/>
    </w:pPr>
  </w:style>
  <w:style w:type="paragraph" w:styleId="Heading4">
    <w:name w:val="heading 4"/>
    <w:basedOn w:val="Normal"/>
    <w:next w:val="Normal"/>
    <w:link w:val="Heading4Char"/>
    <w:qFormat/>
    <w:rsid w:val="00EC53EA"/>
    <w:pPr>
      <w:outlineLvl w:val="3"/>
    </w:pPr>
  </w:style>
  <w:style w:type="paragraph" w:styleId="Heading5">
    <w:name w:val="heading 5"/>
    <w:basedOn w:val="Normal"/>
    <w:next w:val="Normal"/>
    <w:link w:val="Heading5Char"/>
    <w:qFormat/>
    <w:rsid w:val="00EC53EA"/>
    <w:pPr>
      <w:outlineLvl w:val="4"/>
    </w:pPr>
  </w:style>
  <w:style w:type="paragraph" w:styleId="Heading6">
    <w:name w:val="heading 6"/>
    <w:basedOn w:val="Normal"/>
    <w:next w:val="Normal"/>
    <w:link w:val="Heading6Char"/>
    <w:qFormat/>
    <w:rsid w:val="00EC53EA"/>
    <w:pPr>
      <w:outlineLvl w:val="5"/>
    </w:pPr>
  </w:style>
  <w:style w:type="paragraph" w:styleId="Heading7">
    <w:name w:val="heading 7"/>
    <w:basedOn w:val="Normal"/>
    <w:next w:val="Normal"/>
    <w:link w:val="Heading7Char"/>
    <w:qFormat/>
    <w:rsid w:val="00EC53EA"/>
    <w:pPr>
      <w:outlineLvl w:val="6"/>
    </w:pPr>
  </w:style>
  <w:style w:type="paragraph" w:styleId="Heading8">
    <w:name w:val="heading 8"/>
    <w:basedOn w:val="Normal"/>
    <w:next w:val="Normal"/>
    <w:link w:val="Heading8Char"/>
    <w:qFormat/>
    <w:rsid w:val="00EC53EA"/>
    <w:pPr>
      <w:outlineLvl w:val="7"/>
    </w:pPr>
  </w:style>
  <w:style w:type="paragraph" w:styleId="Heading9">
    <w:name w:val="heading 9"/>
    <w:basedOn w:val="Normal"/>
    <w:next w:val="Normal"/>
    <w:link w:val="Heading9Char"/>
    <w:qFormat/>
    <w:rsid w:val="00EC53E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C53E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C53E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C53EA"/>
    <w:pPr>
      <w:spacing w:line="240" w:lineRule="auto"/>
    </w:pPr>
    <w:rPr>
      <w:sz w:val="16"/>
    </w:rPr>
  </w:style>
  <w:style w:type="character" w:customStyle="1" w:styleId="FooterChar">
    <w:name w:val="Footer Char"/>
    <w:aliases w:val="3_G Char"/>
    <w:basedOn w:val="DefaultParagraphFont"/>
    <w:link w:val="Footer"/>
    <w:rsid w:val="00EC53E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C53E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C53E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C53E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C53E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C53E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C53E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C53EA"/>
    <w:pPr>
      <w:spacing w:after="120"/>
      <w:ind w:left="1134" w:right="1134"/>
      <w:jc w:val="both"/>
    </w:pPr>
  </w:style>
  <w:style w:type="paragraph" w:customStyle="1" w:styleId="SLG">
    <w:name w:val="__S_L_G"/>
    <w:basedOn w:val="Normal"/>
    <w:next w:val="Normal"/>
    <w:rsid w:val="00EC53EA"/>
    <w:pPr>
      <w:keepNext/>
      <w:keepLines/>
      <w:spacing w:before="240" w:after="240" w:line="580" w:lineRule="exact"/>
      <w:ind w:left="1134" w:right="1134"/>
    </w:pPr>
    <w:rPr>
      <w:b/>
      <w:sz w:val="56"/>
    </w:rPr>
  </w:style>
  <w:style w:type="paragraph" w:customStyle="1" w:styleId="SMG">
    <w:name w:val="__S_M_G"/>
    <w:basedOn w:val="Normal"/>
    <w:next w:val="Normal"/>
    <w:rsid w:val="00EC53EA"/>
    <w:pPr>
      <w:keepNext/>
      <w:keepLines/>
      <w:spacing w:before="240" w:after="240" w:line="420" w:lineRule="exact"/>
      <w:ind w:left="1134" w:right="1134"/>
    </w:pPr>
    <w:rPr>
      <w:b/>
      <w:sz w:val="40"/>
    </w:rPr>
  </w:style>
  <w:style w:type="paragraph" w:customStyle="1" w:styleId="SSG">
    <w:name w:val="__S_S_G"/>
    <w:basedOn w:val="Normal"/>
    <w:next w:val="Normal"/>
    <w:rsid w:val="00EC53EA"/>
    <w:pPr>
      <w:keepNext/>
      <w:keepLines/>
      <w:spacing w:before="240" w:after="240" w:line="300" w:lineRule="exact"/>
      <w:ind w:left="1134" w:right="1134"/>
    </w:pPr>
    <w:rPr>
      <w:b/>
      <w:sz w:val="28"/>
    </w:rPr>
  </w:style>
  <w:style w:type="paragraph" w:customStyle="1" w:styleId="XLargeG">
    <w:name w:val="__XLarge_G"/>
    <w:basedOn w:val="Normal"/>
    <w:next w:val="Normal"/>
    <w:rsid w:val="00EC53EA"/>
    <w:pPr>
      <w:keepNext/>
      <w:keepLines/>
      <w:spacing w:before="240" w:after="240" w:line="420" w:lineRule="exact"/>
      <w:ind w:left="1134" w:right="1134"/>
    </w:pPr>
    <w:rPr>
      <w:b/>
      <w:sz w:val="40"/>
    </w:rPr>
  </w:style>
  <w:style w:type="paragraph" w:customStyle="1" w:styleId="Bullet1G">
    <w:name w:val="_Bullet 1_G"/>
    <w:basedOn w:val="Normal"/>
    <w:qFormat/>
    <w:rsid w:val="00EC53EA"/>
    <w:pPr>
      <w:numPr>
        <w:numId w:val="9"/>
      </w:numPr>
      <w:spacing w:after="120"/>
      <w:ind w:right="1134"/>
      <w:jc w:val="both"/>
    </w:pPr>
  </w:style>
  <w:style w:type="paragraph" w:customStyle="1" w:styleId="Bullet2G">
    <w:name w:val="_Bullet 2_G"/>
    <w:basedOn w:val="Normal"/>
    <w:qFormat/>
    <w:rsid w:val="00EC53EA"/>
    <w:pPr>
      <w:numPr>
        <w:numId w:val="10"/>
      </w:numPr>
      <w:spacing w:after="120"/>
      <w:ind w:right="1134"/>
      <w:jc w:val="both"/>
    </w:pPr>
  </w:style>
  <w:style w:type="paragraph" w:customStyle="1" w:styleId="ParNoG">
    <w:name w:val="_ParNo_G"/>
    <w:basedOn w:val="Normal"/>
    <w:qFormat/>
    <w:rsid w:val="00EC53EA"/>
    <w:pPr>
      <w:numPr>
        <w:numId w:val="11"/>
      </w:numPr>
      <w:tabs>
        <w:tab w:val="clear" w:pos="1701"/>
      </w:tabs>
      <w:spacing w:after="120"/>
      <w:ind w:right="1134"/>
      <w:jc w:val="both"/>
    </w:pPr>
  </w:style>
  <w:style w:type="character" w:styleId="FootnoteReference">
    <w:name w:val="footnote reference"/>
    <w:aliases w:val="4_G"/>
    <w:basedOn w:val="DefaultParagraphFont"/>
    <w:qFormat/>
    <w:rsid w:val="00EC53EA"/>
    <w:rPr>
      <w:rFonts w:ascii="Times New Roman" w:hAnsi="Times New Roman"/>
      <w:sz w:val="18"/>
      <w:vertAlign w:val="superscript"/>
      <w:lang w:val="fr-CH"/>
    </w:rPr>
  </w:style>
  <w:style w:type="character" w:styleId="EndnoteReference">
    <w:name w:val="endnote reference"/>
    <w:aliases w:val="1_G"/>
    <w:basedOn w:val="FootnoteReference"/>
    <w:qFormat/>
    <w:rsid w:val="00EC53EA"/>
    <w:rPr>
      <w:rFonts w:ascii="Times New Roman" w:hAnsi="Times New Roman"/>
      <w:sz w:val="18"/>
      <w:vertAlign w:val="superscript"/>
      <w:lang w:val="fr-CH"/>
    </w:rPr>
  </w:style>
  <w:style w:type="table" w:styleId="TableGrid">
    <w:name w:val="Table Grid"/>
    <w:basedOn w:val="TableNormal"/>
    <w:rsid w:val="00EC53E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C53EA"/>
    <w:rPr>
      <w:color w:val="0000FF"/>
      <w:u w:val="none"/>
    </w:rPr>
  </w:style>
  <w:style w:type="character" w:styleId="FollowedHyperlink">
    <w:name w:val="FollowedHyperlink"/>
    <w:basedOn w:val="DefaultParagraphFont"/>
    <w:unhideWhenUsed/>
    <w:rsid w:val="00EC53EA"/>
    <w:rPr>
      <w:color w:val="0000FF"/>
      <w:u w:val="none"/>
    </w:rPr>
  </w:style>
  <w:style w:type="paragraph" w:styleId="FootnoteText">
    <w:name w:val="footnote text"/>
    <w:aliases w:val="5_G"/>
    <w:basedOn w:val="Normal"/>
    <w:link w:val="FootnoteTextChar"/>
    <w:qFormat/>
    <w:rsid w:val="00EC53E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C53E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C53EA"/>
  </w:style>
  <w:style w:type="character" w:customStyle="1" w:styleId="EndnoteTextChar">
    <w:name w:val="Endnote Text Char"/>
    <w:aliases w:val="2_G Char"/>
    <w:basedOn w:val="DefaultParagraphFont"/>
    <w:link w:val="EndnoteText"/>
    <w:rsid w:val="00EC53E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C53EA"/>
    <w:rPr>
      <w:rFonts w:ascii="Times New Roman" w:hAnsi="Times New Roman"/>
      <w:b/>
      <w:sz w:val="18"/>
      <w:lang w:val="fr-CH"/>
    </w:rPr>
  </w:style>
  <w:style w:type="character" w:customStyle="1" w:styleId="Heading1Char">
    <w:name w:val="Heading 1 Char"/>
    <w:aliases w:val="Table_G Char"/>
    <w:basedOn w:val="DefaultParagraphFont"/>
    <w:link w:val="Heading1"/>
    <w:rsid w:val="00EC53E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EC53EA"/>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EC53EA"/>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EC53EA"/>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EC53EA"/>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EC53EA"/>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EC53EA"/>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EC53EA"/>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EC53EA"/>
    <w:rPr>
      <w:rFonts w:ascii="Times New Roman" w:eastAsiaTheme="minorHAnsi" w:hAnsi="Times New Roman" w:cs="Times New Roman"/>
      <w:sz w:val="20"/>
      <w:szCs w:val="20"/>
      <w:lang w:eastAsia="en-US"/>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 w:type="paragraph" w:customStyle="1" w:styleId="ParaNoG">
    <w:name w:val="_ParaNo._G"/>
    <w:basedOn w:val="SingleTxtG"/>
    <w:rsid w:val="007B7BE0"/>
    <w:pPr>
      <w:numPr>
        <w:numId w:val="2"/>
      </w:numPr>
      <w:tabs>
        <w:tab w:val="clear" w:pos="1494"/>
      </w:tabs>
      <w:kinsoku/>
      <w:overflowPunct/>
      <w:autoSpaceDE/>
      <w:autoSpaceDN/>
      <w:adjustRightInd/>
      <w:snapToGrid/>
    </w:pPr>
    <w:rPr>
      <w:rFonts w:eastAsia="Times New Roman"/>
      <w:lang w:val="en-GB"/>
    </w:rPr>
  </w:style>
  <w:style w:type="paragraph" w:styleId="PlainText">
    <w:name w:val="Plain Text"/>
    <w:basedOn w:val="Normal"/>
    <w:link w:val="PlainTextChar"/>
    <w:semiHidden/>
    <w:rsid w:val="007B7BE0"/>
    <w:pPr>
      <w:kinsoku/>
      <w:overflowPunct/>
      <w:autoSpaceDE/>
      <w:autoSpaceDN/>
      <w:adjustRightInd/>
      <w:snapToGrid/>
    </w:pPr>
    <w:rPr>
      <w:rFonts w:eastAsia="Times New Roman" w:cs="Courier New"/>
      <w:lang w:val="en-GB"/>
    </w:rPr>
  </w:style>
  <w:style w:type="character" w:customStyle="1" w:styleId="PlainTextChar">
    <w:name w:val="Plain Text Char"/>
    <w:basedOn w:val="DefaultParagraphFont"/>
    <w:link w:val="PlainText"/>
    <w:semiHidden/>
    <w:rsid w:val="007B7BE0"/>
    <w:rPr>
      <w:rFonts w:ascii="Times New Roman" w:hAnsi="Times New Roman" w:cs="Courier New"/>
      <w:sz w:val="20"/>
      <w:szCs w:val="20"/>
      <w:lang w:val="en-GB" w:eastAsia="en-US"/>
    </w:rPr>
  </w:style>
  <w:style w:type="paragraph" w:styleId="BodyText">
    <w:name w:val="Body Text"/>
    <w:basedOn w:val="Normal"/>
    <w:next w:val="Normal"/>
    <w:link w:val="BodyTextChar"/>
    <w:semiHidden/>
    <w:rsid w:val="007B7BE0"/>
    <w:pPr>
      <w:kinsoku/>
      <w:overflowPunct/>
      <w:autoSpaceDE/>
      <w:autoSpaceDN/>
      <w:adjustRightInd/>
      <w:snapToGrid/>
    </w:pPr>
    <w:rPr>
      <w:rFonts w:eastAsia="Times New Roman"/>
      <w:lang w:val="en-GB"/>
    </w:rPr>
  </w:style>
  <w:style w:type="character" w:customStyle="1" w:styleId="BodyTextChar">
    <w:name w:val="Body Text Char"/>
    <w:basedOn w:val="DefaultParagraphFont"/>
    <w:link w:val="BodyText"/>
    <w:semiHidden/>
    <w:rsid w:val="007B7BE0"/>
    <w:rPr>
      <w:rFonts w:ascii="Times New Roman" w:hAnsi="Times New Roman" w:cs="Times New Roman"/>
      <w:sz w:val="20"/>
      <w:szCs w:val="20"/>
      <w:lang w:val="en-GB" w:eastAsia="en-US"/>
    </w:rPr>
  </w:style>
  <w:style w:type="paragraph" w:styleId="BodyTextIndent">
    <w:name w:val="Body Text Indent"/>
    <w:basedOn w:val="Normal"/>
    <w:link w:val="BodyTextIndentChar"/>
    <w:semiHidden/>
    <w:rsid w:val="007B7BE0"/>
    <w:pPr>
      <w:kinsoku/>
      <w:overflowPunct/>
      <w:autoSpaceDE/>
      <w:autoSpaceDN/>
      <w:adjustRightInd/>
      <w:snapToGrid/>
      <w:spacing w:after="120"/>
      <w:ind w:left="283"/>
    </w:pPr>
    <w:rPr>
      <w:rFonts w:eastAsia="Times New Roman"/>
      <w:lang w:val="en-GB"/>
    </w:rPr>
  </w:style>
  <w:style w:type="character" w:customStyle="1" w:styleId="BodyTextIndentChar">
    <w:name w:val="Body Text Indent Char"/>
    <w:basedOn w:val="DefaultParagraphFont"/>
    <w:link w:val="BodyTextIndent"/>
    <w:semiHidden/>
    <w:rsid w:val="007B7BE0"/>
    <w:rPr>
      <w:rFonts w:ascii="Times New Roman" w:hAnsi="Times New Roman" w:cs="Times New Roman"/>
      <w:sz w:val="20"/>
      <w:szCs w:val="20"/>
      <w:lang w:val="en-GB" w:eastAsia="en-US"/>
    </w:rPr>
  </w:style>
  <w:style w:type="paragraph" w:styleId="BlockText">
    <w:name w:val="Block Text"/>
    <w:basedOn w:val="Normal"/>
    <w:semiHidden/>
    <w:rsid w:val="007B7BE0"/>
    <w:pPr>
      <w:kinsoku/>
      <w:overflowPunct/>
      <w:autoSpaceDE/>
      <w:autoSpaceDN/>
      <w:adjustRightInd/>
      <w:snapToGrid/>
      <w:ind w:left="1440" w:right="1440"/>
    </w:pPr>
    <w:rPr>
      <w:rFonts w:eastAsia="Times New Roman"/>
      <w:lang w:val="en-GB"/>
    </w:rPr>
  </w:style>
  <w:style w:type="character" w:styleId="CommentReference">
    <w:name w:val="annotation reference"/>
    <w:rsid w:val="007B7BE0"/>
    <w:rPr>
      <w:sz w:val="6"/>
    </w:rPr>
  </w:style>
  <w:style w:type="paragraph" w:styleId="CommentText">
    <w:name w:val="annotation text"/>
    <w:basedOn w:val="Normal"/>
    <w:link w:val="CommentTextChar1"/>
    <w:rsid w:val="007B7BE0"/>
    <w:pPr>
      <w:kinsoku/>
      <w:overflowPunct/>
      <w:autoSpaceDE/>
      <w:autoSpaceDN/>
      <w:adjustRightInd/>
      <w:snapToGrid/>
    </w:pPr>
    <w:rPr>
      <w:rFonts w:eastAsia="Times New Roman"/>
      <w:lang w:val="en-GB"/>
    </w:rPr>
  </w:style>
  <w:style w:type="character" w:customStyle="1" w:styleId="CommentTextChar1">
    <w:name w:val="Comment Text Char1"/>
    <w:basedOn w:val="DefaultParagraphFont"/>
    <w:link w:val="CommentText"/>
    <w:rsid w:val="007B7BE0"/>
    <w:rPr>
      <w:rFonts w:ascii="Times New Roman" w:hAnsi="Times New Roman" w:cs="Times New Roman"/>
      <w:sz w:val="20"/>
      <w:szCs w:val="20"/>
      <w:lang w:val="en-GB" w:eastAsia="en-US"/>
    </w:rPr>
  </w:style>
  <w:style w:type="character" w:styleId="LineNumber">
    <w:name w:val="line number"/>
    <w:semiHidden/>
    <w:rsid w:val="007B7BE0"/>
    <w:rPr>
      <w:sz w:val="14"/>
    </w:rPr>
  </w:style>
  <w:style w:type="numbering" w:styleId="111111">
    <w:name w:val="Outline List 2"/>
    <w:basedOn w:val="NoList"/>
    <w:semiHidden/>
    <w:rsid w:val="007B7BE0"/>
    <w:pPr>
      <w:numPr>
        <w:numId w:val="3"/>
      </w:numPr>
    </w:pPr>
  </w:style>
  <w:style w:type="numbering" w:styleId="1ai">
    <w:name w:val="Outline List 1"/>
    <w:basedOn w:val="NoList"/>
    <w:semiHidden/>
    <w:rsid w:val="007B7BE0"/>
    <w:pPr>
      <w:numPr>
        <w:numId w:val="4"/>
      </w:numPr>
    </w:pPr>
  </w:style>
  <w:style w:type="numbering" w:styleId="ArticleSection">
    <w:name w:val="Outline List 3"/>
    <w:basedOn w:val="NoList"/>
    <w:semiHidden/>
    <w:rsid w:val="007B7BE0"/>
    <w:pPr>
      <w:numPr>
        <w:numId w:val="5"/>
      </w:numPr>
    </w:pPr>
  </w:style>
  <w:style w:type="paragraph" w:styleId="BodyText2">
    <w:name w:val="Body Text 2"/>
    <w:basedOn w:val="Normal"/>
    <w:link w:val="BodyText2Char"/>
    <w:semiHidden/>
    <w:rsid w:val="007B7BE0"/>
    <w:pPr>
      <w:kinsoku/>
      <w:overflowPunct/>
      <w:autoSpaceDE/>
      <w:autoSpaceDN/>
      <w:adjustRightInd/>
      <w:snapToGrid/>
      <w:spacing w:after="120" w:line="480" w:lineRule="auto"/>
    </w:pPr>
    <w:rPr>
      <w:rFonts w:eastAsia="Times New Roman"/>
      <w:lang w:val="en-GB"/>
    </w:rPr>
  </w:style>
  <w:style w:type="character" w:customStyle="1" w:styleId="BodyText2Char">
    <w:name w:val="Body Text 2 Char"/>
    <w:basedOn w:val="DefaultParagraphFont"/>
    <w:link w:val="BodyText2"/>
    <w:semiHidden/>
    <w:rsid w:val="007B7BE0"/>
    <w:rPr>
      <w:rFonts w:ascii="Times New Roman" w:hAnsi="Times New Roman" w:cs="Times New Roman"/>
      <w:sz w:val="20"/>
      <w:szCs w:val="20"/>
      <w:lang w:val="en-GB" w:eastAsia="en-US"/>
    </w:rPr>
  </w:style>
  <w:style w:type="paragraph" w:styleId="BodyText3">
    <w:name w:val="Body Text 3"/>
    <w:basedOn w:val="Normal"/>
    <w:link w:val="BodyText3Char"/>
    <w:semiHidden/>
    <w:rsid w:val="007B7BE0"/>
    <w:pPr>
      <w:kinsoku/>
      <w:overflowPunct/>
      <w:autoSpaceDE/>
      <w:autoSpaceDN/>
      <w:adjustRightInd/>
      <w:snapToGrid/>
      <w:spacing w:after="120"/>
    </w:pPr>
    <w:rPr>
      <w:rFonts w:eastAsia="Times New Roman"/>
      <w:sz w:val="16"/>
      <w:szCs w:val="16"/>
      <w:lang w:val="en-GB"/>
    </w:rPr>
  </w:style>
  <w:style w:type="character" w:customStyle="1" w:styleId="BodyText3Char">
    <w:name w:val="Body Text 3 Char"/>
    <w:basedOn w:val="DefaultParagraphFont"/>
    <w:link w:val="BodyText3"/>
    <w:semiHidden/>
    <w:rsid w:val="007B7BE0"/>
    <w:rPr>
      <w:rFonts w:ascii="Times New Roman" w:hAnsi="Times New Roman" w:cs="Times New Roman"/>
      <w:sz w:val="16"/>
      <w:szCs w:val="16"/>
      <w:lang w:val="en-GB" w:eastAsia="en-US"/>
    </w:rPr>
  </w:style>
  <w:style w:type="paragraph" w:styleId="BodyTextFirstIndent">
    <w:name w:val="Body Text First Indent"/>
    <w:basedOn w:val="BodyText"/>
    <w:link w:val="BodyTextFirstIndentChar"/>
    <w:semiHidden/>
    <w:rsid w:val="007B7BE0"/>
    <w:pPr>
      <w:spacing w:after="120"/>
      <w:ind w:firstLine="210"/>
    </w:pPr>
  </w:style>
  <w:style w:type="character" w:customStyle="1" w:styleId="BodyTextFirstIndentChar">
    <w:name w:val="Body Text First Indent Char"/>
    <w:basedOn w:val="BodyTextChar"/>
    <w:link w:val="BodyTextFirstIndent"/>
    <w:semiHidden/>
    <w:rsid w:val="007B7BE0"/>
    <w:rPr>
      <w:rFonts w:ascii="Times New Roman" w:hAnsi="Times New Roman" w:cs="Times New Roman"/>
      <w:sz w:val="20"/>
      <w:szCs w:val="20"/>
      <w:lang w:val="en-GB" w:eastAsia="en-US"/>
    </w:rPr>
  </w:style>
  <w:style w:type="paragraph" w:styleId="BodyTextFirstIndent2">
    <w:name w:val="Body Text First Indent 2"/>
    <w:basedOn w:val="BodyTextIndent"/>
    <w:link w:val="BodyTextFirstIndent2Char"/>
    <w:semiHidden/>
    <w:rsid w:val="007B7BE0"/>
    <w:pPr>
      <w:ind w:firstLine="210"/>
    </w:pPr>
  </w:style>
  <w:style w:type="character" w:customStyle="1" w:styleId="BodyTextFirstIndent2Char">
    <w:name w:val="Body Text First Indent 2 Char"/>
    <w:basedOn w:val="BodyTextIndentChar"/>
    <w:link w:val="BodyTextFirstIndent2"/>
    <w:semiHidden/>
    <w:rsid w:val="007B7BE0"/>
    <w:rPr>
      <w:rFonts w:ascii="Times New Roman" w:hAnsi="Times New Roman" w:cs="Times New Roman"/>
      <w:sz w:val="20"/>
      <w:szCs w:val="20"/>
      <w:lang w:val="en-GB" w:eastAsia="en-US"/>
    </w:rPr>
  </w:style>
  <w:style w:type="paragraph" w:styleId="BodyTextIndent2">
    <w:name w:val="Body Text Indent 2"/>
    <w:basedOn w:val="Normal"/>
    <w:link w:val="BodyTextIndent2Char"/>
    <w:semiHidden/>
    <w:rsid w:val="007B7BE0"/>
    <w:pPr>
      <w:kinsoku/>
      <w:overflowPunct/>
      <w:autoSpaceDE/>
      <w:autoSpaceDN/>
      <w:adjustRightInd/>
      <w:snapToGrid/>
      <w:spacing w:after="120" w:line="480" w:lineRule="auto"/>
      <w:ind w:left="283"/>
    </w:pPr>
    <w:rPr>
      <w:rFonts w:eastAsia="Times New Roman"/>
      <w:lang w:val="en-GB"/>
    </w:rPr>
  </w:style>
  <w:style w:type="character" w:customStyle="1" w:styleId="BodyTextIndent2Char">
    <w:name w:val="Body Text Indent 2 Char"/>
    <w:basedOn w:val="DefaultParagraphFont"/>
    <w:link w:val="BodyTextIndent2"/>
    <w:semiHidden/>
    <w:rsid w:val="007B7BE0"/>
    <w:rPr>
      <w:rFonts w:ascii="Times New Roman" w:hAnsi="Times New Roman" w:cs="Times New Roman"/>
      <w:sz w:val="20"/>
      <w:szCs w:val="20"/>
      <w:lang w:val="en-GB" w:eastAsia="en-US"/>
    </w:rPr>
  </w:style>
  <w:style w:type="paragraph" w:styleId="BodyTextIndent3">
    <w:name w:val="Body Text Indent 3"/>
    <w:basedOn w:val="Normal"/>
    <w:link w:val="BodyTextIndent3Char"/>
    <w:semiHidden/>
    <w:rsid w:val="007B7BE0"/>
    <w:pPr>
      <w:kinsoku/>
      <w:overflowPunct/>
      <w:autoSpaceDE/>
      <w:autoSpaceDN/>
      <w:adjustRightInd/>
      <w:snapToGrid/>
      <w:spacing w:after="120"/>
      <w:ind w:left="283"/>
    </w:pPr>
    <w:rPr>
      <w:rFonts w:eastAsia="Times New Roman"/>
      <w:sz w:val="16"/>
      <w:szCs w:val="16"/>
      <w:lang w:val="en-GB"/>
    </w:rPr>
  </w:style>
  <w:style w:type="character" w:customStyle="1" w:styleId="BodyTextIndent3Char">
    <w:name w:val="Body Text Indent 3 Char"/>
    <w:basedOn w:val="DefaultParagraphFont"/>
    <w:link w:val="BodyTextIndent3"/>
    <w:semiHidden/>
    <w:rsid w:val="007B7BE0"/>
    <w:rPr>
      <w:rFonts w:ascii="Times New Roman" w:hAnsi="Times New Roman" w:cs="Times New Roman"/>
      <w:sz w:val="16"/>
      <w:szCs w:val="16"/>
      <w:lang w:val="en-GB" w:eastAsia="en-US"/>
    </w:rPr>
  </w:style>
  <w:style w:type="paragraph" w:styleId="Closing">
    <w:name w:val="Closing"/>
    <w:basedOn w:val="Normal"/>
    <w:link w:val="ClosingChar"/>
    <w:semiHidden/>
    <w:rsid w:val="007B7BE0"/>
    <w:pPr>
      <w:kinsoku/>
      <w:overflowPunct/>
      <w:autoSpaceDE/>
      <w:autoSpaceDN/>
      <w:adjustRightInd/>
      <w:snapToGrid/>
      <w:ind w:left="4252"/>
    </w:pPr>
    <w:rPr>
      <w:rFonts w:eastAsia="Times New Roman"/>
      <w:lang w:val="en-GB"/>
    </w:rPr>
  </w:style>
  <w:style w:type="character" w:customStyle="1" w:styleId="ClosingChar">
    <w:name w:val="Closing Char"/>
    <w:basedOn w:val="DefaultParagraphFont"/>
    <w:link w:val="Closing"/>
    <w:semiHidden/>
    <w:rsid w:val="007B7BE0"/>
    <w:rPr>
      <w:rFonts w:ascii="Times New Roman" w:hAnsi="Times New Roman" w:cs="Times New Roman"/>
      <w:sz w:val="20"/>
      <w:szCs w:val="20"/>
      <w:lang w:val="en-GB" w:eastAsia="en-US"/>
    </w:rPr>
  </w:style>
  <w:style w:type="paragraph" w:styleId="Date">
    <w:name w:val="Date"/>
    <w:basedOn w:val="Normal"/>
    <w:next w:val="Normal"/>
    <w:link w:val="DateChar"/>
    <w:semiHidden/>
    <w:rsid w:val="007B7BE0"/>
    <w:pPr>
      <w:kinsoku/>
      <w:overflowPunct/>
      <w:autoSpaceDE/>
      <w:autoSpaceDN/>
      <w:adjustRightInd/>
      <w:snapToGrid/>
    </w:pPr>
    <w:rPr>
      <w:rFonts w:eastAsia="Times New Roman"/>
      <w:lang w:val="en-GB"/>
    </w:rPr>
  </w:style>
  <w:style w:type="character" w:customStyle="1" w:styleId="DateChar">
    <w:name w:val="Date Char"/>
    <w:basedOn w:val="DefaultParagraphFont"/>
    <w:link w:val="Date"/>
    <w:semiHidden/>
    <w:rsid w:val="007B7BE0"/>
    <w:rPr>
      <w:rFonts w:ascii="Times New Roman" w:hAnsi="Times New Roman" w:cs="Times New Roman"/>
      <w:sz w:val="20"/>
      <w:szCs w:val="20"/>
      <w:lang w:val="en-GB" w:eastAsia="en-US"/>
    </w:rPr>
  </w:style>
  <w:style w:type="paragraph" w:styleId="E-mailSignature">
    <w:name w:val="E-mail Signature"/>
    <w:basedOn w:val="Normal"/>
    <w:link w:val="E-mailSignatureChar"/>
    <w:semiHidden/>
    <w:rsid w:val="007B7BE0"/>
    <w:pPr>
      <w:kinsoku/>
      <w:overflowPunct/>
      <w:autoSpaceDE/>
      <w:autoSpaceDN/>
      <w:adjustRightInd/>
      <w:snapToGrid/>
    </w:pPr>
    <w:rPr>
      <w:rFonts w:eastAsia="Times New Roman"/>
      <w:lang w:val="en-GB"/>
    </w:rPr>
  </w:style>
  <w:style w:type="character" w:customStyle="1" w:styleId="E-mailSignatureChar">
    <w:name w:val="E-mail Signature Char"/>
    <w:basedOn w:val="DefaultParagraphFont"/>
    <w:link w:val="E-mailSignature"/>
    <w:semiHidden/>
    <w:rsid w:val="007B7BE0"/>
    <w:rPr>
      <w:rFonts w:ascii="Times New Roman" w:hAnsi="Times New Roman" w:cs="Times New Roman"/>
      <w:sz w:val="20"/>
      <w:szCs w:val="20"/>
      <w:lang w:val="en-GB" w:eastAsia="en-US"/>
    </w:rPr>
  </w:style>
  <w:style w:type="paragraph" w:styleId="EnvelopeReturn">
    <w:name w:val="envelope return"/>
    <w:basedOn w:val="Normal"/>
    <w:semiHidden/>
    <w:rsid w:val="007B7BE0"/>
    <w:pPr>
      <w:kinsoku/>
      <w:overflowPunct/>
      <w:autoSpaceDE/>
      <w:autoSpaceDN/>
      <w:adjustRightInd/>
      <w:snapToGrid/>
    </w:pPr>
    <w:rPr>
      <w:rFonts w:ascii="Arial" w:eastAsia="Times New Roman" w:hAnsi="Arial" w:cs="Arial"/>
      <w:lang w:val="en-GB"/>
    </w:rPr>
  </w:style>
  <w:style w:type="character" w:styleId="HTMLAcronym">
    <w:name w:val="HTML Acronym"/>
    <w:basedOn w:val="DefaultParagraphFont"/>
    <w:semiHidden/>
    <w:rsid w:val="007B7BE0"/>
  </w:style>
  <w:style w:type="paragraph" w:styleId="HTMLAddress">
    <w:name w:val="HTML Address"/>
    <w:basedOn w:val="Normal"/>
    <w:link w:val="HTMLAddressChar"/>
    <w:semiHidden/>
    <w:rsid w:val="007B7BE0"/>
    <w:pPr>
      <w:kinsoku/>
      <w:overflowPunct/>
      <w:autoSpaceDE/>
      <w:autoSpaceDN/>
      <w:adjustRightInd/>
      <w:snapToGrid/>
    </w:pPr>
    <w:rPr>
      <w:rFonts w:eastAsia="Times New Roman"/>
      <w:i/>
      <w:iCs/>
      <w:lang w:val="en-GB"/>
    </w:rPr>
  </w:style>
  <w:style w:type="character" w:customStyle="1" w:styleId="HTMLAddressChar">
    <w:name w:val="HTML Address Char"/>
    <w:basedOn w:val="DefaultParagraphFont"/>
    <w:link w:val="HTMLAddress"/>
    <w:semiHidden/>
    <w:rsid w:val="007B7BE0"/>
    <w:rPr>
      <w:rFonts w:ascii="Times New Roman" w:hAnsi="Times New Roman" w:cs="Times New Roman"/>
      <w:i/>
      <w:iCs/>
      <w:sz w:val="20"/>
      <w:szCs w:val="20"/>
      <w:lang w:val="en-GB" w:eastAsia="en-US"/>
    </w:rPr>
  </w:style>
  <w:style w:type="character" w:styleId="HTMLCite">
    <w:name w:val="HTML Cite"/>
    <w:semiHidden/>
    <w:rsid w:val="007B7BE0"/>
    <w:rPr>
      <w:i/>
      <w:iCs/>
    </w:rPr>
  </w:style>
  <w:style w:type="character" w:styleId="HTMLCode">
    <w:name w:val="HTML Code"/>
    <w:semiHidden/>
    <w:rsid w:val="007B7BE0"/>
    <w:rPr>
      <w:rFonts w:ascii="Courier New" w:hAnsi="Courier New" w:cs="Courier New"/>
      <w:sz w:val="20"/>
      <w:szCs w:val="20"/>
    </w:rPr>
  </w:style>
  <w:style w:type="character" w:styleId="HTMLDefinition">
    <w:name w:val="HTML Definition"/>
    <w:semiHidden/>
    <w:rsid w:val="007B7BE0"/>
    <w:rPr>
      <w:i/>
      <w:iCs/>
    </w:rPr>
  </w:style>
  <w:style w:type="character" w:styleId="HTMLKeyboard">
    <w:name w:val="HTML Keyboard"/>
    <w:semiHidden/>
    <w:rsid w:val="007B7BE0"/>
    <w:rPr>
      <w:rFonts w:ascii="Courier New" w:hAnsi="Courier New" w:cs="Courier New"/>
      <w:sz w:val="20"/>
      <w:szCs w:val="20"/>
    </w:rPr>
  </w:style>
  <w:style w:type="paragraph" w:styleId="HTMLPreformatted">
    <w:name w:val="HTML Preformatted"/>
    <w:basedOn w:val="Normal"/>
    <w:link w:val="HTMLPreformattedChar"/>
    <w:semiHidden/>
    <w:rsid w:val="007B7BE0"/>
    <w:pPr>
      <w:kinsoku/>
      <w:overflowPunct/>
      <w:autoSpaceDE/>
      <w:autoSpaceDN/>
      <w:adjustRightInd/>
      <w:snapToGrid/>
    </w:pPr>
    <w:rPr>
      <w:rFonts w:ascii="Courier New" w:eastAsia="Times New Roman" w:hAnsi="Courier New" w:cs="Courier New"/>
      <w:lang w:val="en-GB"/>
    </w:rPr>
  </w:style>
  <w:style w:type="character" w:customStyle="1" w:styleId="HTMLPreformattedChar">
    <w:name w:val="HTML Preformatted Char"/>
    <w:basedOn w:val="DefaultParagraphFont"/>
    <w:link w:val="HTMLPreformatted"/>
    <w:semiHidden/>
    <w:rsid w:val="007B7BE0"/>
    <w:rPr>
      <w:rFonts w:ascii="Courier New" w:hAnsi="Courier New" w:cs="Courier New"/>
      <w:sz w:val="20"/>
      <w:szCs w:val="20"/>
      <w:lang w:val="en-GB" w:eastAsia="en-US"/>
    </w:rPr>
  </w:style>
  <w:style w:type="character" w:styleId="HTMLSample">
    <w:name w:val="HTML Sample"/>
    <w:semiHidden/>
    <w:rsid w:val="007B7BE0"/>
    <w:rPr>
      <w:rFonts w:ascii="Courier New" w:hAnsi="Courier New" w:cs="Courier New"/>
    </w:rPr>
  </w:style>
  <w:style w:type="character" w:styleId="HTMLTypewriter">
    <w:name w:val="HTML Typewriter"/>
    <w:semiHidden/>
    <w:rsid w:val="007B7BE0"/>
    <w:rPr>
      <w:rFonts w:ascii="Courier New" w:hAnsi="Courier New" w:cs="Courier New"/>
      <w:sz w:val="20"/>
      <w:szCs w:val="20"/>
    </w:rPr>
  </w:style>
  <w:style w:type="character" w:styleId="HTMLVariable">
    <w:name w:val="HTML Variable"/>
    <w:semiHidden/>
    <w:rsid w:val="007B7BE0"/>
    <w:rPr>
      <w:i/>
      <w:iCs/>
    </w:rPr>
  </w:style>
  <w:style w:type="paragraph" w:styleId="List">
    <w:name w:val="List"/>
    <w:basedOn w:val="Normal"/>
    <w:semiHidden/>
    <w:rsid w:val="007B7BE0"/>
    <w:pPr>
      <w:kinsoku/>
      <w:overflowPunct/>
      <w:autoSpaceDE/>
      <w:autoSpaceDN/>
      <w:adjustRightInd/>
      <w:snapToGrid/>
      <w:ind w:left="283" w:hanging="283"/>
    </w:pPr>
    <w:rPr>
      <w:rFonts w:eastAsia="Times New Roman"/>
      <w:lang w:val="en-GB"/>
    </w:rPr>
  </w:style>
  <w:style w:type="paragraph" w:styleId="List2">
    <w:name w:val="List 2"/>
    <w:basedOn w:val="Normal"/>
    <w:semiHidden/>
    <w:rsid w:val="007B7BE0"/>
    <w:pPr>
      <w:kinsoku/>
      <w:overflowPunct/>
      <w:autoSpaceDE/>
      <w:autoSpaceDN/>
      <w:adjustRightInd/>
      <w:snapToGrid/>
      <w:ind w:left="566" w:hanging="283"/>
    </w:pPr>
    <w:rPr>
      <w:rFonts w:eastAsia="Times New Roman"/>
      <w:lang w:val="en-GB"/>
    </w:rPr>
  </w:style>
  <w:style w:type="paragraph" w:styleId="List3">
    <w:name w:val="List 3"/>
    <w:basedOn w:val="Normal"/>
    <w:semiHidden/>
    <w:rsid w:val="007B7BE0"/>
    <w:pPr>
      <w:kinsoku/>
      <w:overflowPunct/>
      <w:autoSpaceDE/>
      <w:autoSpaceDN/>
      <w:adjustRightInd/>
      <w:snapToGrid/>
      <w:ind w:left="849" w:hanging="283"/>
    </w:pPr>
    <w:rPr>
      <w:rFonts w:eastAsia="Times New Roman"/>
      <w:lang w:val="en-GB"/>
    </w:rPr>
  </w:style>
  <w:style w:type="paragraph" w:styleId="List4">
    <w:name w:val="List 4"/>
    <w:basedOn w:val="Normal"/>
    <w:semiHidden/>
    <w:rsid w:val="007B7BE0"/>
    <w:pPr>
      <w:kinsoku/>
      <w:overflowPunct/>
      <w:autoSpaceDE/>
      <w:autoSpaceDN/>
      <w:adjustRightInd/>
      <w:snapToGrid/>
      <w:ind w:left="1132" w:hanging="283"/>
    </w:pPr>
    <w:rPr>
      <w:rFonts w:eastAsia="Times New Roman"/>
      <w:lang w:val="en-GB"/>
    </w:rPr>
  </w:style>
  <w:style w:type="paragraph" w:styleId="List5">
    <w:name w:val="List 5"/>
    <w:basedOn w:val="Normal"/>
    <w:semiHidden/>
    <w:rsid w:val="007B7BE0"/>
    <w:pPr>
      <w:kinsoku/>
      <w:overflowPunct/>
      <w:autoSpaceDE/>
      <w:autoSpaceDN/>
      <w:adjustRightInd/>
      <w:snapToGrid/>
      <w:ind w:left="1415" w:hanging="283"/>
    </w:pPr>
    <w:rPr>
      <w:rFonts w:eastAsia="Times New Roman"/>
      <w:lang w:val="en-GB"/>
    </w:rPr>
  </w:style>
  <w:style w:type="paragraph" w:styleId="ListBullet">
    <w:name w:val="List Bullet"/>
    <w:basedOn w:val="Normal"/>
    <w:semiHidden/>
    <w:rsid w:val="007B7BE0"/>
    <w:pPr>
      <w:tabs>
        <w:tab w:val="num" w:pos="360"/>
      </w:tabs>
      <w:kinsoku/>
      <w:overflowPunct/>
      <w:autoSpaceDE/>
      <w:autoSpaceDN/>
      <w:adjustRightInd/>
      <w:snapToGrid/>
      <w:ind w:left="360" w:hanging="360"/>
    </w:pPr>
    <w:rPr>
      <w:rFonts w:eastAsia="Times New Roman"/>
      <w:lang w:val="en-GB"/>
    </w:rPr>
  </w:style>
  <w:style w:type="paragraph" w:styleId="ListBullet2">
    <w:name w:val="List Bullet 2"/>
    <w:basedOn w:val="Normal"/>
    <w:semiHidden/>
    <w:rsid w:val="007B7BE0"/>
    <w:pPr>
      <w:tabs>
        <w:tab w:val="num" w:pos="643"/>
      </w:tabs>
      <w:kinsoku/>
      <w:overflowPunct/>
      <w:autoSpaceDE/>
      <w:autoSpaceDN/>
      <w:adjustRightInd/>
      <w:snapToGrid/>
      <w:ind w:left="643" w:hanging="360"/>
    </w:pPr>
    <w:rPr>
      <w:rFonts w:eastAsia="Times New Roman"/>
      <w:lang w:val="en-GB"/>
    </w:rPr>
  </w:style>
  <w:style w:type="paragraph" w:styleId="ListBullet3">
    <w:name w:val="List Bullet 3"/>
    <w:basedOn w:val="Normal"/>
    <w:semiHidden/>
    <w:rsid w:val="007B7BE0"/>
    <w:pPr>
      <w:tabs>
        <w:tab w:val="num" w:pos="926"/>
      </w:tabs>
      <w:kinsoku/>
      <w:overflowPunct/>
      <w:autoSpaceDE/>
      <w:autoSpaceDN/>
      <w:adjustRightInd/>
      <w:snapToGrid/>
      <w:ind w:left="926" w:hanging="360"/>
    </w:pPr>
    <w:rPr>
      <w:rFonts w:eastAsia="Times New Roman"/>
      <w:lang w:val="en-GB"/>
    </w:rPr>
  </w:style>
  <w:style w:type="paragraph" w:styleId="ListBullet4">
    <w:name w:val="List Bullet 4"/>
    <w:basedOn w:val="Normal"/>
    <w:semiHidden/>
    <w:rsid w:val="007B7BE0"/>
    <w:pPr>
      <w:tabs>
        <w:tab w:val="num" w:pos="1209"/>
      </w:tabs>
      <w:kinsoku/>
      <w:overflowPunct/>
      <w:autoSpaceDE/>
      <w:autoSpaceDN/>
      <w:adjustRightInd/>
      <w:snapToGrid/>
      <w:ind w:left="1209" w:hanging="360"/>
    </w:pPr>
    <w:rPr>
      <w:rFonts w:eastAsia="Times New Roman"/>
      <w:lang w:val="en-GB"/>
    </w:rPr>
  </w:style>
  <w:style w:type="paragraph" w:styleId="ListBullet5">
    <w:name w:val="List Bullet 5"/>
    <w:basedOn w:val="Normal"/>
    <w:semiHidden/>
    <w:rsid w:val="007B7BE0"/>
    <w:pPr>
      <w:tabs>
        <w:tab w:val="num" w:pos="1492"/>
      </w:tabs>
      <w:kinsoku/>
      <w:overflowPunct/>
      <w:autoSpaceDE/>
      <w:autoSpaceDN/>
      <w:adjustRightInd/>
      <w:snapToGrid/>
      <w:ind w:left="1492" w:hanging="360"/>
    </w:pPr>
    <w:rPr>
      <w:rFonts w:eastAsia="Times New Roman"/>
      <w:lang w:val="en-GB"/>
    </w:rPr>
  </w:style>
  <w:style w:type="paragraph" w:styleId="ListContinue">
    <w:name w:val="List Continue"/>
    <w:basedOn w:val="Normal"/>
    <w:semiHidden/>
    <w:rsid w:val="007B7BE0"/>
    <w:pPr>
      <w:kinsoku/>
      <w:overflowPunct/>
      <w:autoSpaceDE/>
      <w:autoSpaceDN/>
      <w:adjustRightInd/>
      <w:snapToGrid/>
      <w:spacing w:after="120"/>
      <w:ind w:left="283"/>
    </w:pPr>
    <w:rPr>
      <w:rFonts w:eastAsia="Times New Roman"/>
      <w:lang w:val="en-GB"/>
    </w:rPr>
  </w:style>
  <w:style w:type="paragraph" w:styleId="ListContinue2">
    <w:name w:val="List Continue 2"/>
    <w:basedOn w:val="Normal"/>
    <w:semiHidden/>
    <w:rsid w:val="007B7BE0"/>
    <w:pPr>
      <w:kinsoku/>
      <w:overflowPunct/>
      <w:autoSpaceDE/>
      <w:autoSpaceDN/>
      <w:adjustRightInd/>
      <w:snapToGrid/>
      <w:spacing w:after="120"/>
      <w:ind w:left="566"/>
    </w:pPr>
    <w:rPr>
      <w:rFonts w:eastAsia="Times New Roman"/>
      <w:lang w:val="en-GB"/>
    </w:rPr>
  </w:style>
  <w:style w:type="paragraph" w:styleId="ListContinue3">
    <w:name w:val="List Continue 3"/>
    <w:basedOn w:val="Normal"/>
    <w:semiHidden/>
    <w:rsid w:val="007B7BE0"/>
    <w:pPr>
      <w:kinsoku/>
      <w:overflowPunct/>
      <w:autoSpaceDE/>
      <w:autoSpaceDN/>
      <w:adjustRightInd/>
      <w:snapToGrid/>
      <w:spacing w:after="120"/>
      <w:ind w:left="849"/>
    </w:pPr>
    <w:rPr>
      <w:rFonts w:eastAsia="Times New Roman"/>
      <w:lang w:val="en-GB"/>
    </w:rPr>
  </w:style>
  <w:style w:type="paragraph" w:styleId="ListContinue4">
    <w:name w:val="List Continue 4"/>
    <w:basedOn w:val="Normal"/>
    <w:semiHidden/>
    <w:rsid w:val="007B7BE0"/>
    <w:pPr>
      <w:kinsoku/>
      <w:overflowPunct/>
      <w:autoSpaceDE/>
      <w:autoSpaceDN/>
      <w:adjustRightInd/>
      <w:snapToGrid/>
      <w:spacing w:after="120"/>
      <w:ind w:left="1132"/>
    </w:pPr>
    <w:rPr>
      <w:rFonts w:eastAsia="Times New Roman"/>
      <w:lang w:val="en-GB"/>
    </w:rPr>
  </w:style>
  <w:style w:type="paragraph" w:styleId="ListContinue5">
    <w:name w:val="List Continue 5"/>
    <w:basedOn w:val="Normal"/>
    <w:semiHidden/>
    <w:rsid w:val="007B7BE0"/>
    <w:pPr>
      <w:kinsoku/>
      <w:overflowPunct/>
      <w:autoSpaceDE/>
      <w:autoSpaceDN/>
      <w:adjustRightInd/>
      <w:snapToGrid/>
      <w:spacing w:after="120"/>
      <w:ind w:left="1415"/>
    </w:pPr>
    <w:rPr>
      <w:rFonts w:eastAsia="Times New Roman"/>
      <w:lang w:val="en-GB"/>
    </w:rPr>
  </w:style>
  <w:style w:type="paragraph" w:styleId="ListNumber">
    <w:name w:val="List Number"/>
    <w:basedOn w:val="Normal"/>
    <w:semiHidden/>
    <w:rsid w:val="007B7BE0"/>
    <w:pPr>
      <w:tabs>
        <w:tab w:val="num" w:pos="360"/>
      </w:tabs>
      <w:kinsoku/>
      <w:overflowPunct/>
      <w:autoSpaceDE/>
      <w:autoSpaceDN/>
      <w:adjustRightInd/>
      <w:snapToGrid/>
      <w:ind w:left="360" w:hanging="360"/>
    </w:pPr>
    <w:rPr>
      <w:rFonts w:eastAsia="Times New Roman"/>
      <w:lang w:val="en-GB"/>
    </w:rPr>
  </w:style>
  <w:style w:type="paragraph" w:styleId="ListNumber2">
    <w:name w:val="List Number 2"/>
    <w:basedOn w:val="Normal"/>
    <w:semiHidden/>
    <w:rsid w:val="007B7BE0"/>
    <w:pPr>
      <w:tabs>
        <w:tab w:val="num" w:pos="643"/>
      </w:tabs>
      <w:kinsoku/>
      <w:overflowPunct/>
      <w:autoSpaceDE/>
      <w:autoSpaceDN/>
      <w:adjustRightInd/>
      <w:snapToGrid/>
      <w:ind w:left="643" w:hanging="360"/>
    </w:pPr>
    <w:rPr>
      <w:rFonts w:eastAsia="Times New Roman"/>
      <w:lang w:val="en-GB"/>
    </w:rPr>
  </w:style>
  <w:style w:type="paragraph" w:styleId="ListNumber3">
    <w:name w:val="List Number 3"/>
    <w:basedOn w:val="Normal"/>
    <w:semiHidden/>
    <w:rsid w:val="007B7BE0"/>
    <w:pPr>
      <w:tabs>
        <w:tab w:val="num" w:pos="926"/>
      </w:tabs>
      <w:kinsoku/>
      <w:overflowPunct/>
      <w:autoSpaceDE/>
      <w:autoSpaceDN/>
      <w:adjustRightInd/>
      <w:snapToGrid/>
      <w:ind w:left="926" w:hanging="360"/>
    </w:pPr>
    <w:rPr>
      <w:rFonts w:eastAsia="Times New Roman"/>
      <w:lang w:val="en-GB"/>
    </w:rPr>
  </w:style>
  <w:style w:type="paragraph" w:styleId="ListNumber4">
    <w:name w:val="List Number 4"/>
    <w:basedOn w:val="Normal"/>
    <w:semiHidden/>
    <w:rsid w:val="007B7BE0"/>
    <w:pPr>
      <w:tabs>
        <w:tab w:val="num" w:pos="1209"/>
      </w:tabs>
      <w:kinsoku/>
      <w:overflowPunct/>
      <w:autoSpaceDE/>
      <w:autoSpaceDN/>
      <w:adjustRightInd/>
      <w:snapToGrid/>
      <w:ind w:left="1209" w:hanging="360"/>
    </w:pPr>
    <w:rPr>
      <w:rFonts w:eastAsia="Times New Roman"/>
      <w:lang w:val="en-GB"/>
    </w:rPr>
  </w:style>
  <w:style w:type="paragraph" w:styleId="ListNumber5">
    <w:name w:val="List Number 5"/>
    <w:basedOn w:val="Normal"/>
    <w:semiHidden/>
    <w:rsid w:val="007B7BE0"/>
    <w:pPr>
      <w:tabs>
        <w:tab w:val="num" w:pos="1492"/>
      </w:tabs>
      <w:kinsoku/>
      <w:overflowPunct/>
      <w:autoSpaceDE/>
      <w:autoSpaceDN/>
      <w:adjustRightInd/>
      <w:snapToGrid/>
      <w:ind w:left="1492" w:hanging="360"/>
    </w:pPr>
    <w:rPr>
      <w:rFonts w:eastAsia="Times New Roman"/>
      <w:lang w:val="en-GB"/>
    </w:rPr>
  </w:style>
  <w:style w:type="paragraph" w:styleId="MessageHeader">
    <w:name w:val="Message Header"/>
    <w:basedOn w:val="Normal"/>
    <w:link w:val="MessageHeaderChar"/>
    <w:semiHidden/>
    <w:rsid w:val="007B7BE0"/>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7B7BE0"/>
    <w:rPr>
      <w:rFonts w:ascii="Arial" w:hAnsi="Arial" w:cs="Arial"/>
      <w:sz w:val="24"/>
      <w:szCs w:val="24"/>
      <w:shd w:val="pct20" w:color="auto" w:fill="auto"/>
      <w:lang w:val="en-GB" w:eastAsia="en-US"/>
    </w:rPr>
  </w:style>
  <w:style w:type="paragraph" w:styleId="NormalWeb">
    <w:name w:val="Normal (Web)"/>
    <w:basedOn w:val="Normal"/>
    <w:semiHidden/>
    <w:rsid w:val="007B7BE0"/>
    <w:pPr>
      <w:kinsoku/>
      <w:overflowPunct/>
      <w:autoSpaceDE/>
      <w:autoSpaceDN/>
      <w:adjustRightInd/>
      <w:snapToGrid/>
    </w:pPr>
    <w:rPr>
      <w:rFonts w:eastAsia="Times New Roman"/>
      <w:sz w:val="24"/>
      <w:szCs w:val="24"/>
      <w:lang w:val="en-GB"/>
    </w:rPr>
  </w:style>
  <w:style w:type="paragraph" w:styleId="NormalIndent">
    <w:name w:val="Normal Indent"/>
    <w:basedOn w:val="Normal"/>
    <w:semiHidden/>
    <w:rsid w:val="007B7BE0"/>
    <w:pPr>
      <w:kinsoku/>
      <w:overflowPunct/>
      <w:autoSpaceDE/>
      <w:autoSpaceDN/>
      <w:adjustRightInd/>
      <w:snapToGrid/>
      <w:ind w:left="567"/>
    </w:pPr>
    <w:rPr>
      <w:rFonts w:eastAsia="Times New Roman"/>
      <w:lang w:val="en-GB"/>
    </w:rPr>
  </w:style>
  <w:style w:type="paragraph" w:styleId="NoteHeading">
    <w:name w:val="Note Heading"/>
    <w:basedOn w:val="Normal"/>
    <w:next w:val="Normal"/>
    <w:link w:val="NoteHeadingChar"/>
    <w:semiHidden/>
    <w:rsid w:val="007B7BE0"/>
    <w:pPr>
      <w:kinsoku/>
      <w:overflowPunct/>
      <w:autoSpaceDE/>
      <w:autoSpaceDN/>
      <w:adjustRightInd/>
      <w:snapToGrid/>
    </w:pPr>
    <w:rPr>
      <w:rFonts w:eastAsia="Times New Roman"/>
      <w:lang w:val="en-GB"/>
    </w:rPr>
  </w:style>
  <w:style w:type="character" w:customStyle="1" w:styleId="NoteHeadingChar">
    <w:name w:val="Note Heading Char"/>
    <w:basedOn w:val="DefaultParagraphFont"/>
    <w:link w:val="NoteHeading"/>
    <w:semiHidden/>
    <w:rsid w:val="007B7BE0"/>
    <w:rPr>
      <w:rFonts w:ascii="Times New Roman" w:hAnsi="Times New Roman" w:cs="Times New Roman"/>
      <w:sz w:val="20"/>
      <w:szCs w:val="20"/>
      <w:lang w:val="en-GB" w:eastAsia="en-US"/>
    </w:rPr>
  </w:style>
  <w:style w:type="paragraph" w:styleId="Salutation">
    <w:name w:val="Salutation"/>
    <w:basedOn w:val="Normal"/>
    <w:next w:val="Normal"/>
    <w:link w:val="SalutationChar"/>
    <w:semiHidden/>
    <w:rsid w:val="007B7BE0"/>
    <w:pPr>
      <w:kinsoku/>
      <w:overflowPunct/>
      <w:autoSpaceDE/>
      <w:autoSpaceDN/>
      <w:adjustRightInd/>
      <w:snapToGrid/>
    </w:pPr>
    <w:rPr>
      <w:rFonts w:eastAsia="Times New Roman"/>
      <w:lang w:val="en-GB"/>
    </w:rPr>
  </w:style>
  <w:style w:type="character" w:customStyle="1" w:styleId="SalutationChar">
    <w:name w:val="Salutation Char"/>
    <w:basedOn w:val="DefaultParagraphFont"/>
    <w:link w:val="Salutation"/>
    <w:semiHidden/>
    <w:rsid w:val="007B7BE0"/>
    <w:rPr>
      <w:rFonts w:ascii="Times New Roman" w:hAnsi="Times New Roman" w:cs="Times New Roman"/>
      <w:sz w:val="20"/>
      <w:szCs w:val="20"/>
      <w:lang w:val="en-GB" w:eastAsia="en-US"/>
    </w:rPr>
  </w:style>
  <w:style w:type="paragraph" w:styleId="Signature">
    <w:name w:val="Signature"/>
    <w:basedOn w:val="Normal"/>
    <w:link w:val="SignatureChar"/>
    <w:semiHidden/>
    <w:rsid w:val="007B7BE0"/>
    <w:pPr>
      <w:kinsoku/>
      <w:overflowPunct/>
      <w:autoSpaceDE/>
      <w:autoSpaceDN/>
      <w:adjustRightInd/>
      <w:snapToGrid/>
      <w:ind w:left="4252"/>
    </w:pPr>
    <w:rPr>
      <w:rFonts w:eastAsia="Times New Roman"/>
      <w:lang w:val="en-GB"/>
    </w:rPr>
  </w:style>
  <w:style w:type="character" w:customStyle="1" w:styleId="SignatureChar">
    <w:name w:val="Signature Char"/>
    <w:basedOn w:val="DefaultParagraphFont"/>
    <w:link w:val="Signature"/>
    <w:semiHidden/>
    <w:rsid w:val="007B7BE0"/>
    <w:rPr>
      <w:rFonts w:ascii="Times New Roman" w:hAnsi="Times New Roman" w:cs="Times New Roman"/>
      <w:sz w:val="20"/>
      <w:szCs w:val="20"/>
      <w:lang w:val="en-GB" w:eastAsia="en-US"/>
    </w:rPr>
  </w:style>
  <w:style w:type="character" w:styleId="Strong">
    <w:name w:val="Strong"/>
    <w:qFormat/>
    <w:rsid w:val="007B7BE0"/>
    <w:rPr>
      <w:b/>
      <w:bCs/>
    </w:rPr>
  </w:style>
  <w:style w:type="paragraph" w:styleId="Subtitle">
    <w:name w:val="Subtitle"/>
    <w:basedOn w:val="Normal"/>
    <w:link w:val="SubtitleChar"/>
    <w:qFormat/>
    <w:rsid w:val="007B7BE0"/>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7B7BE0"/>
    <w:rPr>
      <w:rFonts w:ascii="Arial" w:hAnsi="Arial" w:cs="Arial"/>
      <w:sz w:val="24"/>
      <w:szCs w:val="24"/>
      <w:lang w:val="en-GB" w:eastAsia="en-US"/>
    </w:rPr>
  </w:style>
  <w:style w:type="table" w:styleId="Table3Deffects1">
    <w:name w:val="Table 3D effects 1"/>
    <w:basedOn w:val="TableNormal"/>
    <w:semiHidden/>
    <w:rsid w:val="007B7BE0"/>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7BE0"/>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7BE0"/>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7BE0"/>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7BE0"/>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7BE0"/>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7BE0"/>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7BE0"/>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7BE0"/>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7BE0"/>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7BE0"/>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7BE0"/>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7BE0"/>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7BE0"/>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7BE0"/>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7BE0"/>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7BE0"/>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7BE0"/>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7BE0"/>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7BE0"/>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7BE0"/>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7BE0"/>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7BE0"/>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7BE0"/>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7BE0"/>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7BE0"/>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7BE0"/>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7BE0"/>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7BE0"/>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7BE0"/>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7BE0"/>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7BE0"/>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7BE0"/>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7BE0"/>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7BE0"/>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7BE0"/>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B7BE0"/>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B7BE0"/>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7BE0"/>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7BE0"/>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B7BE0"/>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7BE0"/>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7BE0"/>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B7BE0"/>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7B7BE0"/>
    <w:rPr>
      <w:rFonts w:ascii="Arial" w:hAnsi="Arial" w:cs="Arial"/>
      <w:b/>
      <w:bCs/>
      <w:kern w:val="28"/>
      <w:sz w:val="32"/>
      <w:szCs w:val="32"/>
      <w:lang w:val="en-GB" w:eastAsia="en-US"/>
    </w:rPr>
  </w:style>
  <w:style w:type="paragraph" w:styleId="EnvelopeAddress">
    <w:name w:val="envelope address"/>
    <w:basedOn w:val="Normal"/>
    <w:semiHidden/>
    <w:rsid w:val="007B7BE0"/>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paragraph" w:styleId="DocumentMap">
    <w:name w:val="Document Map"/>
    <w:basedOn w:val="Normal"/>
    <w:link w:val="DocumentMapChar"/>
    <w:semiHidden/>
    <w:rsid w:val="007B7BE0"/>
    <w:pPr>
      <w:shd w:val="clear" w:color="auto" w:fill="000080"/>
      <w:kinsoku/>
      <w:overflowPunct/>
      <w:autoSpaceDE/>
      <w:autoSpaceDN/>
      <w:adjustRightInd/>
      <w:snapToGrid/>
    </w:pPr>
    <w:rPr>
      <w:rFonts w:ascii="Tahoma" w:eastAsia="Times New Roman" w:hAnsi="Tahoma" w:cs="Tahoma"/>
      <w:lang w:val="en-GB"/>
    </w:rPr>
  </w:style>
  <w:style w:type="character" w:customStyle="1" w:styleId="DocumentMapChar">
    <w:name w:val="Document Map Char"/>
    <w:basedOn w:val="DefaultParagraphFont"/>
    <w:link w:val="DocumentMap"/>
    <w:semiHidden/>
    <w:rsid w:val="007B7BE0"/>
    <w:rPr>
      <w:rFonts w:ascii="Tahoma" w:hAnsi="Tahoma" w:cs="Tahoma"/>
      <w:sz w:val="20"/>
      <w:szCs w:val="20"/>
      <w:shd w:val="clear" w:color="auto" w:fill="000080"/>
      <w:lang w:val="en-GB" w:eastAsia="en-US"/>
    </w:rPr>
  </w:style>
  <w:style w:type="character" w:customStyle="1" w:styleId="SingleTxtGChar">
    <w:name w:val="_ Single Txt_G Char"/>
    <w:link w:val="SingleTxtG"/>
    <w:qFormat/>
    <w:rsid w:val="007B7BE0"/>
    <w:rPr>
      <w:rFonts w:ascii="Times New Roman" w:eastAsiaTheme="minorHAnsi" w:hAnsi="Times New Roman" w:cs="Times New Roman"/>
      <w:sz w:val="20"/>
      <w:szCs w:val="20"/>
      <w:lang w:eastAsia="en-US"/>
    </w:rPr>
  </w:style>
  <w:style w:type="character" w:customStyle="1" w:styleId="H1GChar">
    <w:name w:val="_ H_1_G Char"/>
    <w:link w:val="H1G"/>
    <w:rsid w:val="007B7BE0"/>
    <w:rPr>
      <w:rFonts w:ascii="Times New Roman" w:eastAsiaTheme="minorHAnsi" w:hAnsi="Times New Roman" w:cs="Times New Roman"/>
      <w:b/>
      <w:sz w:val="24"/>
      <w:szCs w:val="20"/>
      <w:lang w:eastAsia="en-US"/>
    </w:rPr>
  </w:style>
  <w:style w:type="paragraph" w:customStyle="1" w:styleId="Rom2">
    <w:name w:val="Rom2"/>
    <w:basedOn w:val="SingleTxtG"/>
    <w:semiHidden/>
    <w:rsid w:val="007B7BE0"/>
    <w:pPr>
      <w:kinsoku/>
      <w:overflowPunct/>
      <w:autoSpaceDE/>
      <w:autoSpaceDN/>
      <w:adjustRightInd/>
      <w:snapToGrid/>
      <w:ind w:left="2835" w:hanging="397"/>
    </w:pPr>
    <w:rPr>
      <w:rFonts w:eastAsia="Times New Roman"/>
    </w:rPr>
  </w:style>
  <w:style w:type="table" w:customStyle="1" w:styleId="TableGrid10">
    <w:name w:val="Table Grid1"/>
    <w:basedOn w:val="TableNormal"/>
    <w:next w:val="TableGrid"/>
    <w:semiHidden/>
    <w:rsid w:val="007B7BE0"/>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NormaltextSpalte">
    <w:name w:val="Normaltext Spalte"/>
    <w:basedOn w:val="Normal"/>
    <w:rsid w:val="007B7BE0"/>
    <w:pPr>
      <w:tabs>
        <w:tab w:val="left" w:pos="425"/>
        <w:tab w:val="left" w:pos="851"/>
        <w:tab w:val="left" w:pos="1276"/>
      </w:tabs>
      <w:suppressAutoHyphens w:val="0"/>
      <w:kinsoku/>
      <w:overflowPunct/>
      <w:autoSpaceDE/>
      <w:autoSpaceDN/>
      <w:adjustRightInd/>
      <w:snapToGrid/>
      <w:spacing w:before="180" w:line="240" w:lineRule="auto"/>
      <w:jc w:val="both"/>
    </w:pPr>
    <w:rPr>
      <w:rFonts w:ascii="Arial" w:eastAsia="Times New Roman" w:hAnsi="Arial"/>
      <w:color w:val="000000"/>
      <w:sz w:val="18"/>
      <w:lang w:val="de-DE" w:eastAsia="de-DE"/>
    </w:rPr>
  </w:style>
  <w:style w:type="character" w:customStyle="1" w:styleId="HChGChar">
    <w:name w:val="_ H _Ch_G Char"/>
    <w:link w:val="HChG"/>
    <w:qFormat/>
    <w:rsid w:val="007B7BE0"/>
    <w:rPr>
      <w:rFonts w:ascii="Times New Roman" w:eastAsiaTheme="minorHAnsi" w:hAnsi="Times New Roman" w:cs="Times New Roman"/>
      <w:b/>
      <w:sz w:val="28"/>
      <w:szCs w:val="20"/>
      <w:lang w:eastAsia="en-US"/>
    </w:rPr>
  </w:style>
  <w:style w:type="paragraph" w:customStyle="1" w:styleId="HCh">
    <w:name w:val="_ H _Ch"/>
    <w:basedOn w:val="Normal"/>
    <w:next w:val="Normal"/>
    <w:rsid w:val="007B7BE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line="300" w:lineRule="exact"/>
      <w:outlineLvl w:val="0"/>
    </w:pPr>
    <w:rPr>
      <w:rFonts w:eastAsia="Times New Roman"/>
      <w:b/>
      <w:spacing w:val="-2"/>
      <w:w w:val="103"/>
      <w:kern w:val="14"/>
      <w:sz w:val="28"/>
      <w:lang w:val="en-GB" w:eastAsia="zh-CN"/>
    </w:rPr>
  </w:style>
  <w:style w:type="paragraph" w:customStyle="1" w:styleId="H1">
    <w:name w:val="_ H_1"/>
    <w:basedOn w:val="Normal"/>
    <w:next w:val="Normal"/>
    <w:rsid w:val="007B7BE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line="270" w:lineRule="exact"/>
      <w:ind w:left="1267" w:right="1267" w:hanging="1267"/>
      <w:outlineLvl w:val="0"/>
    </w:pPr>
    <w:rPr>
      <w:rFonts w:eastAsia="Times New Roman"/>
      <w:b/>
      <w:spacing w:val="4"/>
      <w:w w:val="103"/>
      <w:kern w:val="14"/>
      <w:sz w:val="24"/>
      <w:lang w:val="en-GB" w:eastAsia="zh-CN"/>
    </w:rPr>
  </w:style>
  <w:style w:type="paragraph" w:customStyle="1" w:styleId="H23">
    <w:name w:val="_ H_2/3"/>
    <w:basedOn w:val="H1"/>
    <w:next w:val="Normal"/>
    <w:rsid w:val="007B7BE0"/>
    <w:pPr>
      <w:spacing w:line="240" w:lineRule="exact"/>
      <w:outlineLvl w:val="1"/>
    </w:pPr>
    <w:rPr>
      <w:spacing w:val="2"/>
      <w:sz w:val="20"/>
    </w:rPr>
  </w:style>
  <w:style w:type="character" w:customStyle="1" w:styleId="shorttext">
    <w:name w:val="short_text"/>
    <w:rsid w:val="007B7BE0"/>
  </w:style>
  <w:style w:type="character" w:customStyle="1" w:styleId="hps">
    <w:name w:val="hps"/>
    <w:rsid w:val="007B7BE0"/>
  </w:style>
  <w:style w:type="paragraph" w:customStyle="1" w:styleId="Style1">
    <w:name w:val="Style1"/>
    <w:basedOn w:val="Normal"/>
    <w:rsid w:val="007B7BE0"/>
    <w:pPr>
      <w:tabs>
        <w:tab w:val="left" w:pos="1418"/>
        <w:tab w:val="left" w:pos="1985"/>
        <w:tab w:val="left" w:pos="2552"/>
        <w:tab w:val="left" w:pos="3119"/>
        <w:tab w:val="left" w:pos="3686"/>
        <w:tab w:val="left" w:pos="4253"/>
        <w:tab w:val="left" w:pos="4820"/>
      </w:tabs>
      <w:suppressAutoHyphens w:val="0"/>
      <w:kinsoku/>
      <w:overflowPunct/>
      <w:autoSpaceDE/>
      <w:autoSpaceDN/>
      <w:adjustRightInd/>
      <w:snapToGrid/>
      <w:spacing w:line="240" w:lineRule="auto"/>
      <w:jc w:val="both"/>
    </w:pPr>
    <w:rPr>
      <w:rFonts w:eastAsia="Times New Roman"/>
      <w:sz w:val="22"/>
      <w:lang w:val="fr-FR"/>
    </w:rPr>
  </w:style>
  <w:style w:type="character" w:customStyle="1" w:styleId="H23GChar">
    <w:name w:val="_ H_2/3_G Char"/>
    <w:link w:val="H23G"/>
    <w:rsid w:val="007B7BE0"/>
    <w:rPr>
      <w:rFonts w:ascii="Times New Roman" w:eastAsiaTheme="minorHAnsi" w:hAnsi="Times New Roman" w:cs="Times New Roman"/>
      <w:b/>
      <w:sz w:val="20"/>
      <w:szCs w:val="20"/>
      <w:lang w:eastAsia="en-US"/>
    </w:rPr>
  </w:style>
  <w:style w:type="character" w:customStyle="1" w:styleId="CommentTextChar">
    <w:name w:val="Comment Text Char"/>
    <w:rsid w:val="007B7BE0"/>
    <w:rPr>
      <w:lang w:val="x-none" w:eastAsia="en-US"/>
    </w:rPr>
  </w:style>
  <w:style w:type="paragraph" w:styleId="CommentSubject">
    <w:name w:val="annotation subject"/>
    <w:basedOn w:val="CommentText"/>
    <w:next w:val="CommentText"/>
    <w:link w:val="CommentSubjectChar"/>
    <w:rsid w:val="007B7BE0"/>
    <w:rPr>
      <w:b/>
      <w:bCs/>
    </w:rPr>
  </w:style>
  <w:style w:type="character" w:customStyle="1" w:styleId="CommentSubjectChar">
    <w:name w:val="Comment Subject Char"/>
    <w:basedOn w:val="CommentTextChar1"/>
    <w:link w:val="CommentSubject"/>
    <w:rsid w:val="007B7BE0"/>
    <w:rPr>
      <w:rFonts w:ascii="Times New Roman" w:hAnsi="Times New Roman" w:cs="Times New Roman"/>
      <w:b/>
      <w:bCs/>
      <w:sz w:val="20"/>
      <w:szCs w:val="20"/>
      <w:lang w:val="en-GB" w:eastAsia="en-US"/>
    </w:rPr>
  </w:style>
  <w:style w:type="paragraph" w:customStyle="1" w:styleId="Rom1">
    <w:name w:val="Rom1"/>
    <w:basedOn w:val="SingleTxtG"/>
    <w:semiHidden/>
    <w:rsid w:val="007B7BE0"/>
    <w:pPr>
      <w:numPr>
        <w:numId w:val="6"/>
      </w:numPr>
      <w:tabs>
        <w:tab w:val="clear" w:pos="1440"/>
      </w:tabs>
      <w:kinsoku/>
      <w:overflowPunct/>
      <w:autoSpaceDE/>
      <w:autoSpaceDN/>
      <w:adjustRightInd/>
      <w:snapToGrid/>
      <w:ind w:left="2268" w:hanging="397"/>
    </w:pPr>
    <w:rPr>
      <w:rFonts w:eastAsia="Times New Roman"/>
    </w:rPr>
  </w:style>
  <w:style w:type="paragraph" w:customStyle="1" w:styleId="Default">
    <w:name w:val="Default"/>
    <w:rsid w:val="007B7BE0"/>
    <w:pPr>
      <w:autoSpaceDE w:val="0"/>
      <w:autoSpaceDN w:val="0"/>
      <w:adjustRightInd w:val="0"/>
      <w:spacing w:after="0" w:line="240" w:lineRule="auto"/>
    </w:pPr>
    <w:rPr>
      <w:rFonts w:ascii="Arial" w:eastAsia="MS Mincho" w:hAnsi="Arial" w:cs="Arial"/>
      <w:color w:val="000000"/>
      <w:sz w:val="24"/>
      <w:szCs w:val="24"/>
      <w:lang w:val="en-GB" w:eastAsia="en-GB"/>
    </w:rPr>
  </w:style>
  <w:style w:type="paragraph" w:styleId="Revision">
    <w:name w:val="Revision"/>
    <w:hidden/>
    <w:uiPriority w:val="99"/>
    <w:semiHidden/>
    <w:rsid w:val="007B7BE0"/>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transport/themes/dangerous_good/risk_management_framework_en" TargetMode="External"/><Relationship Id="rId2" Type="http://schemas.openxmlformats.org/officeDocument/2006/relationships/hyperlink" Target="https://ec.europa.eu/transport/themes/dangerous_goods_en" TargetMode="External"/><Relationship Id="rId1" Type="http://schemas.openxmlformats.org/officeDocument/2006/relationships/hyperlink" Target="http://www.era.europa.eu/activities/transport-dangerous-goods/inland-tdg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9783</Words>
  <Characters>60268</Characters>
  <Application>Microsoft Office Word</Application>
  <DocSecurity>0</DocSecurity>
  <Lines>10044</Lines>
  <Paragraphs>3686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ECE/TRANS/WP.15/AC.1/156</vt:lpstr>
      <vt:lpstr>ECE/TRANS/WP.15/AC.1/156</vt:lpstr>
    </vt:vector>
  </TitlesOfParts>
  <Company>DCM</Company>
  <LinksUpToDate>false</LinksUpToDate>
  <CharactersWithSpaces>66365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ECE/TRANS/WP.15/AC.1/156</dc:title>
  <dc:subject/>
  <dc:creator>Fabienne CRELIER</dc:creator>
  <cp:keywords/>
  <cp:lastModifiedBy>Christine Barrio-Champeau</cp:lastModifiedBy>
  <cp:revision>2</cp:revision>
  <cp:lastPrinted>2019-12-03T10:43:00Z</cp:lastPrinted>
  <dcterms:created xsi:type="dcterms:W3CDTF">2019-12-11T13:29:00Z</dcterms:created>
  <dcterms:modified xsi:type="dcterms:W3CDTF">2019-12-11T13:29:00Z</dcterms:modified>
</cp:coreProperties>
</file>