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2B2103" w:rsidTr="00C97039">
        <w:trPr>
          <w:trHeight w:hRule="exact" w:val="851"/>
        </w:trPr>
        <w:tc>
          <w:tcPr>
            <w:tcW w:w="1276" w:type="dxa"/>
            <w:tcBorders>
              <w:bottom w:val="single" w:sz="4" w:space="0" w:color="auto"/>
            </w:tcBorders>
          </w:tcPr>
          <w:p w:rsidR="00F35BAF" w:rsidRPr="002B2103" w:rsidRDefault="00F35BAF" w:rsidP="00A324EE">
            <w:bookmarkStart w:id="0" w:name="_GoBack"/>
            <w:bookmarkEnd w:id="0"/>
          </w:p>
        </w:tc>
        <w:tc>
          <w:tcPr>
            <w:tcW w:w="2268" w:type="dxa"/>
            <w:tcBorders>
              <w:bottom w:val="single" w:sz="4" w:space="0" w:color="auto"/>
            </w:tcBorders>
            <w:vAlign w:val="bottom"/>
          </w:tcPr>
          <w:p w:rsidR="00F35BAF" w:rsidRPr="002B2103" w:rsidRDefault="00F35BAF" w:rsidP="00C97039">
            <w:pPr>
              <w:spacing w:after="80" w:line="300" w:lineRule="exact"/>
              <w:rPr>
                <w:sz w:val="28"/>
              </w:rPr>
            </w:pPr>
            <w:r w:rsidRPr="002B2103">
              <w:rPr>
                <w:sz w:val="28"/>
              </w:rPr>
              <w:t>Nations Unies</w:t>
            </w:r>
          </w:p>
        </w:tc>
        <w:tc>
          <w:tcPr>
            <w:tcW w:w="6095" w:type="dxa"/>
            <w:gridSpan w:val="2"/>
            <w:tcBorders>
              <w:bottom w:val="single" w:sz="4" w:space="0" w:color="auto"/>
            </w:tcBorders>
            <w:vAlign w:val="bottom"/>
          </w:tcPr>
          <w:p w:rsidR="00F35BAF" w:rsidRPr="002B2103" w:rsidRDefault="00A324EE" w:rsidP="00A324EE">
            <w:pPr>
              <w:jc w:val="right"/>
            </w:pPr>
            <w:r w:rsidRPr="002B2103">
              <w:rPr>
                <w:sz w:val="40"/>
              </w:rPr>
              <w:t>ECE</w:t>
            </w:r>
            <w:r w:rsidRPr="002B2103">
              <w:t>/TRANS/WP.15/AC.1/2019/16</w:t>
            </w:r>
          </w:p>
        </w:tc>
      </w:tr>
      <w:tr w:rsidR="00F35BAF" w:rsidRPr="002B2103" w:rsidTr="00C97039">
        <w:trPr>
          <w:trHeight w:hRule="exact" w:val="2835"/>
        </w:trPr>
        <w:tc>
          <w:tcPr>
            <w:tcW w:w="1276" w:type="dxa"/>
            <w:tcBorders>
              <w:top w:val="single" w:sz="4" w:space="0" w:color="auto"/>
              <w:bottom w:val="single" w:sz="12" w:space="0" w:color="auto"/>
            </w:tcBorders>
          </w:tcPr>
          <w:p w:rsidR="00F35BAF" w:rsidRPr="002B2103" w:rsidRDefault="00F35BAF" w:rsidP="00C97039">
            <w:pPr>
              <w:spacing w:before="120"/>
              <w:jc w:val="center"/>
            </w:pPr>
            <w:r w:rsidRPr="002B2103">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2B2103" w:rsidRDefault="00F35BAF" w:rsidP="00C97039">
            <w:pPr>
              <w:spacing w:before="120" w:line="420" w:lineRule="exact"/>
              <w:rPr>
                <w:b/>
                <w:sz w:val="40"/>
                <w:szCs w:val="40"/>
              </w:rPr>
            </w:pPr>
            <w:r w:rsidRPr="002B2103">
              <w:rPr>
                <w:b/>
                <w:sz w:val="40"/>
                <w:szCs w:val="40"/>
              </w:rPr>
              <w:t>Conseil économique et social</w:t>
            </w:r>
          </w:p>
        </w:tc>
        <w:tc>
          <w:tcPr>
            <w:tcW w:w="2835" w:type="dxa"/>
            <w:tcBorders>
              <w:top w:val="single" w:sz="4" w:space="0" w:color="auto"/>
              <w:bottom w:val="single" w:sz="12" w:space="0" w:color="auto"/>
            </w:tcBorders>
          </w:tcPr>
          <w:p w:rsidR="00F35BAF" w:rsidRPr="002B2103" w:rsidRDefault="00A324EE" w:rsidP="00C97039">
            <w:pPr>
              <w:spacing w:before="240"/>
            </w:pPr>
            <w:r w:rsidRPr="002B2103">
              <w:t>Distr. générale</w:t>
            </w:r>
          </w:p>
          <w:p w:rsidR="00A324EE" w:rsidRPr="002B2103" w:rsidRDefault="00A324EE" w:rsidP="00A324EE">
            <w:pPr>
              <w:spacing w:line="240" w:lineRule="exact"/>
            </w:pPr>
            <w:r w:rsidRPr="002B2103">
              <w:t>28 décembre 2018</w:t>
            </w:r>
          </w:p>
          <w:p w:rsidR="00A324EE" w:rsidRPr="002B2103" w:rsidRDefault="00A324EE" w:rsidP="00A324EE">
            <w:pPr>
              <w:spacing w:line="240" w:lineRule="exact"/>
            </w:pPr>
            <w:r w:rsidRPr="002B2103">
              <w:t>Français</w:t>
            </w:r>
          </w:p>
          <w:p w:rsidR="00A324EE" w:rsidRPr="002B2103" w:rsidRDefault="00A324EE" w:rsidP="00A324EE">
            <w:pPr>
              <w:spacing w:line="240" w:lineRule="exact"/>
            </w:pPr>
            <w:r w:rsidRPr="002B2103">
              <w:t>Original : anglais</w:t>
            </w:r>
          </w:p>
        </w:tc>
      </w:tr>
    </w:tbl>
    <w:p w:rsidR="007F20FA" w:rsidRPr="002B2103" w:rsidRDefault="007F20FA" w:rsidP="007F20FA">
      <w:pPr>
        <w:spacing w:before="120"/>
        <w:rPr>
          <w:b/>
          <w:sz w:val="28"/>
          <w:szCs w:val="28"/>
        </w:rPr>
      </w:pPr>
      <w:r w:rsidRPr="002B2103">
        <w:rPr>
          <w:b/>
          <w:sz w:val="28"/>
          <w:szCs w:val="28"/>
        </w:rPr>
        <w:t>Commission économique pour l</w:t>
      </w:r>
      <w:r w:rsidR="00A324EE" w:rsidRPr="002B2103">
        <w:rPr>
          <w:b/>
          <w:sz w:val="28"/>
          <w:szCs w:val="28"/>
        </w:rPr>
        <w:t>’</w:t>
      </w:r>
      <w:r w:rsidRPr="002B2103">
        <w:rPr>
          <w:b/>
          <w:sz w:val="28"/>
          <w:szCs w:val="28"/>
        </w:rPr>
        <w:t>Europe</w:t>
      </w:r>
    </w:p>
    <w:p w:rsidR="007F20FA" w:rsidRPr="002B2103" w:rsidRDefault="007F20FA" w:rsidP="007F20FA">
      <w:pPr>
        <w:spacing w:before="120"/>
        <w:rPr>
          <w:sz w:val="28"/>
          <w:szCs w:val="28"/>
        </w:rPr>
      </w:pPr>
      <w:r w:rsidRPr="002B2103">
        <w:rPr>
          <w:sz w:val="28"/>
          <w:szCs w:val="28"/>
        </w:rPr>
        <w:t>Comité des transports intérieurs</w:t>
      </w:r>
    </w:p>
    <w:p w:rsidR="00A324EE" w:rsidRPr="002B2103" w:rsidRDefault="00A324EE" w:rsidP="00AF0CB5">
      <w:pPr>
        <w:spacing w:before="120"/>
        <w:rPr>
          <w:b/>
          <w:sz w:val="24"/>
          <w:szCs w:val="24"/>
        </w:rPr>
      </w:pPr>
      <w:r w:rsidRPr="002B2103">
        <w:rPr>
          <w:b/>
          <w:sz w:val="24"/>
          <w:szCs w:val="24"/>
        </w:rPr>
        <w:t>Groupe de travail des transports de marchandises dangereuses</w:t>
      </w:r>
    </w:p>
    <w:p w:rsidR="00A324EE" w:rsidRPr="002B2103" w:rsidRDefault="00A324EE" w:rsidP="00A324EE">
      <w:pPr>
        <w:spacing w:before="120" w:after="120"/>
        <w:rPr>
          <w:b/>
        </w:rPr>
      </w:pPr>
      <w:r w:rsidRPr="002B2103">
        <w:rPr>
          <w:b/>
        </w:rPr>
        <w:t>Réunion commune de la Commission d’experts du RID et</w:t>
      </w:r>
      <w:r w:rsidRPr="002B2103">
        <w:rPr>
          <w:b/>
        </w:rPr>
        <w:br/>
        <w:t>du Groupe de travail des transports de marchandises dangereuses</w:t>
      </w:r>
    </w:p>
    <w:p w:rsidR="00A324EE" w:rsidRPr="002B2103" w:rsidRDefault="00A324EE" w:rsidP="00A324EE">
      <w:r w:rsidRPr="002B2103">
        <w:t>Berne, 18-22 mars 2019</w:t>
      </w:r>
    </w:p>
    <w:p w:rsidR="00A324EE" w:rsidRPr="002B2103" w:rsidRDefault="00A324EE" w:rsidP="00A324EE">
      <w:r w:rsidRPr="002B2103">
        <w:t>Point 5 a) de l’ordre du jour provisoire</w:t>
      </w:r>
    </w:p>
    <w:p w:rsidR="00A324EE" w:rsidRPr="002B2103" w:rsidRDefault="00A324EE" w:rsidP="00A324EE">
      <w:r w:rsidRPr="002B2103">
        <w:rPr>
          <w:b/>
          <w:bCs/>
        </w:rPr>
        <w:t xml:space="preserve">Propositions diverses d’amendements au RID/ADR/ADN : </w:t>
      </w:r>
      <w:r w:rsidRPr="002B2103">
        <w:rPr>
          <w:b/>
          <w:bCs/>
        </w:rPr>
        <w:br/>
        <w:t>Questions en suspens</w:t>
      </w:r>
    </w:p>
    <w:p w:rsidR="00A324EE" w:rsidRPr="002B2103" w:rsidRDefault="00A324EE" w:rsidP="00A324EE">
      <w:pPr>
        <w:pStyle w:val="HChG"/>
        <w:spacing w:before="240"/>
      </w:pPr>
      <w:r w:rsidRPr="002B2103">
        <w:tab/>
      </w:r>
      <w:r w:rsidRPr="002B2103">
        <w:tab/>
        <w:t>Numéro ONU 1010 Butadiènes stabilisés</w:t>
      </w:r>
    </w:p>
    <w:p w:rsidR="00F9573C" w:rsidRPr="002B2103" w:rsidRDefault="00A324EE" w:rsidP="00A324EE">
      <w:pPr>
        <w:pStyle w:val="H1G"/>
        <w:spacing w:before="240"/>
        <w:rPr>
          <w:b w:val="0"/>
          <w:sz w:val="20"/>
        </w:rPr>
      </w:pPr>
      <w:r w:rsidRPr="002B2103">
        <w:tab/>
      </w:r>
      <w:r w:rsidRPr="002B2103">
        <w:tab/>
        <w:t>Communication du Gouvernement espagnol</w:t>
      </w:r>
      <w:r w:rsidRPr="002B2103">
        <w:rPr>
          <w:rStyle w:val="FootnoteReference"/>
          <w:b w:val="0"/>
          <w:sz w:val="20"/>
          <w:vertAlign w:val="baseline"/>
        </w:rPr>
        <w:footnoteReference w:id="2"/>
      </w:r>
      <w:r w:rsidRPr="002B2103">
        <w:rPr>
          <w:b w:val="0"/>
          <w:position w:val="6"/>
          <w:sz w:val="18"/>
          <w:szCs w:val="18"/>
        </w:rPr>
        <w:t>,</w:t>
      </w:r>
      <w:r w:rsidRPr="002B2103">
        <w:rPr>
          <w:b w:val="0"/>
          <w:szCs w:val="18"/>
        </w:rPr>
        <w:t xml:space="preserve"> </w:t>
      </w:r>
      <w:r w:rsidRPr="002B2103">
        <w:rPr>
          <w:rStyle w:val="FootnoteReference"/>
          <w:b w:val="0"/>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A324EE" w:rsidRPr="002B2103">
        <w:trPr>
          <w:jc w:val="center"/>
        </w:trPr>
        <w:tc>
          <w:tcPr>
            <w:tcW w:w="9637" w:type="dxa"/>
            <w:shd w:val="clear" w:color="auto" w:fill="auto"/>
          </w:tcPr>
          <w:p w:rsidR="00A324EE" w:rsidRPr="002B2103" w:rsidRDefault="00A324EE">
            <w:pPr>
              <w:spacing w:before="240" w:after="120"/>
              <w:ind w:left="255"/>
              <w:rPr>
                <w:i/>
                <w:sz w:val="24"/>
              </w:rPr>
            </w:pPr>
            <w:r w:rsidRPr="002B2103">
              <w:rPr>
                <w:i/>
                <w:sz w:val="24"/>
              </w:rPr>
              <w:t>Résumé</w:t>
            </w:r>
          </w:p>
        </w:tc>
      </w:tr>
      <w:tr w:rsidR="00A324EE" w:rsidRPr="002B2103">
        <w:trPr>
          <w:jc w:val="center"/>
        </w:trPr>
        <w:tc>
          <w:tcPr>
            <w:tcW w:w="9637" w:type="dxa"/>
            <w:shd w:val="clear" w:color="auto" w:fill="auto"/>
          </w:tcPr>
          <w:p w:rsidR="00A324EE" w:rsidRPr="002B2103" w:rsidRDefault="00A324EE" w:rsidP="00A324EE">
            <w:pPr>
              <w:pStyle w:val="SingleTxtG"/>
              <w:ind w:left="3402" w:hanging="2268"/>
              <w:jc w:val="left"/>
            </w:pPr>
            <w:r w:rsidRPr="002B2103">
              <w:rPr>
                <w:b/>
                <w:iCs/>
              </w:rPr>
              <w:t>Résumé analytique</w:t>
            </w:r>
            <w:r w:rsidRPr="00BA614F">
              <w:t> :</w:t>
            </w:r>
            <w:r w:rsidRPr="002B2103">
              <w:t xml:space="preserve"> </w:t>
            </w:r>
            <w:r w:rsidRPr="002B2103">
              <w:tab/>
              <w:t>Harmonisation du nom et de la description du numéro ONU 1010 figurant dans</w:t>
            </w:r>
            <w:r w:rsidRPr="002B2103">
              <w:rPr>
                <w:b/>
                <w:bCs/>
              </w:rPr>
              <w:t xml:space="preserve"> </w:t>
            </w:r>
            <w:r w:rsidRPr="002B2103">
              <w:t>le RID/ADR avec ceux qui figurent dans le Règlement type pour le transport des marchandises dangereuses de l’ONU.</w:t>
            </w:r>
          </w:p>
        </w:tc>
      </w:tr>
      <w:tr w:rsidR="00A324EE" w:rsidRPr="002B2103">
        <w:trPr>
          <w:jc w:val="center"/>
        </w:trPr>
        <w:tc>
          <w:tcPr>
            <w:tcW w:w="9637" w:type="dxa"/>
            <w:shd w:val="clear" w:color="auto" w:fill="auto"/>
          </w:tcPr>
          <w:p w:rsidR="00A324EE" w:rsidRPr="002B2103" w:rsidRDefault="00A324EE" w:rsidP="00A324EE">
            <w:pPr>
              <w:pStyle w:val="SingleTxtG"/>
              <w:ind w:left="3402" w:hanging="2268"/>
              <w:jc w:val="left"/>
            </w:pPr>
            <w:r w:rsidRPr="002B2103">
              <w:rPr>
                <w:b/>
                <w:iCs/>
              </w:rPr>
              <w:t>Mesures à prendre</w:t>
            </w:r>
            <w:r w:rsidRPr="00BA614F">
              <w:t> :</w:t>
            </w:r>
            <w:r w:rsidRPr="002B2103">
              <w:tab/>
              <w:t>Modifier la description du numéro ONU 1010 dans le tableau A du chapitre 3.2 du RID et de l’ADR.</w:t>
            </w:r>
          </w:p>
        </w:tc>
      </w:tr>
      <w:tr w:rsidR="00A324EE" w:rsidRPr="002B2103">
        <w:trPr>
          <w:jc w:val="center"/>
        </w:trPr>
        <w:tc>
          <w:tcPr>
            <w:tcW w:w="9637" w:type="dxa"/>
            <w:shd w:val="clear" w:color="auto" w:fill="auto"/>
          </w:tcPr>
          <w:p w:rsidR="00A324EE" w:rsidRPr="002B2103" w:rsidRDefault="00A324EE" w:rsidP="00A324EE">
            <w:pPr>
              <w:pStyle w:val="SingleTxtG"/>
              <w:ind w:left="3402" w:hanging="2268"/>
              <w:jc w:val="left"/>
            </w:pPr>
            <w:r w:rsidRPr="002B2103">
              <w:rPr>
                <w:b/>
              </w:rPr>
              <w:t>Documents de référence </w:t>
            </w:r>
            <w:r w:rsidRPr="00BA614F">
              <w:t>:</w:t>
            </w:r>
            <w:r w:rsidRPr="002B2103">
              <w:t xml:space="preserve"> </w:t>
            </w:r>
            <w:r w:rsidRPr="002B2103">
              <w:tab/>
              <w:t xml:space="preserve">ECE/TRANS/WP.15/AC.1/2018/19 </w:t>
            </w:r>
            <w:r w:rsidRPr="002B2103">
              <w:br/>
              <w:t xml:space="preserve">Rapport du Sous-Comité d’experts du transport de marchandises dangereuses (TMD) de 2003, publié sous la cote ST/SG/AC.10/C.3/46, paragraphes 13 et 14 </w:t>
            </w:r>
            <w:r w:rsidRPr="002B2103">
              <w:br/>
              <w:t>(Rapport du Sous</w:t>
            </w:r>
            <w:r w:rsidRPr="002B2103">
              <w:noBreakHyphen/>
              <w:t xml:space="preserve">Comité TMD, vingt-troisième session), ST/SG/AC.10/C.3/2003/12 (Association européenne des gaz industriels (EIGA)) </w:t>
            </w:r>
            <w:r w:rsidRPr="002B2103">
              <w:br/>
              <w:t xml:space="preserve">Document informel INF.37 de la vingt-troisième session du Sous-Comité d’experts (Groupe de travail des gaz) </w:t>
            </w:r>
            <w:r w:rsidRPr="002B2103">
              <w:br/>
              <w:t xml:space="preserve">TRANS/WP.15/AC.1/94, paragraphes 10 à 13 </w:t>
            </w:r>
            <w:r w:rsidRPr="002B2103">
              <w:br/>
              <w:t xml:space="preserve">Document informel INF.4 de la session d’automne 2003 de </w:t>
            </w:r>
            <w:r w:rsidRPr="002B2103">
              <w:rPr>
                <w:iCs/>
              </w:rPr>
              <w:t xml:space="preserve">la Réunion commune </w:t>
            </w:r>
            <w:r w:rsidRPr="002B2103">
              <w:t>(Union internationale des chemins de fer (UIC))</w:t>
            </w:r>
            <w:r w:rsidR="00781320">
              <w:t>.</w:t>
            </w:r>
          </w:p>
        </w:tc>
      </w:tr>
      <w:tr w:rsidR="00A324EE" w:rsidRPr="002B2103">
        <w:trPr>
          <w:jc w:val="center"/>
        </w:trPr>
        <w:tc>
          <w:tcPr>
            <w:tcW w:w="9637" w:type="dxa"/>
            <w:shd w:val="clear" w:color="auto" w:fill="auto"/>
          </w:tcPr>
          <w:p w:rsidR="00A324EE" w:rsidRPr="002B2103" w:rsidRDefault="00A324EE"/>
        </w:tc>
      </w:tr>
    </w:tbl>
    <w:p w:rsidR="00A324EE" w:rsidRPr="002B2103" w:rsidRDefault="00A324EE" w:rsidP="00A324EE">
      <w:pPr>
        <w:pStyle w:val="HChG"/>
      </w:pPr>
      <w:r w:rsidRPr="002B2103">
        <w:tab/>
      </w:r>
      <w:r w:rsidRPr="002B2103">
        <w:tab/>
        <w:t>Contexte</w:t>
      </w:r>
    </w:p>
    <w:p w:rsidR="00A324EE" w:rsidRPr="002B2103" w:rsidRDefault="00A324EE" w:rsidP="00A324EE">
      <w:pPr>
        <w:pStyle w:val="SingleTxtG"/>
      </w:pPr>
      <w:r w:rsidRPr="002B2103">
        <w:t>1.</w:t>
      </w:r>
      <w:r w:rsidRPr="002B2103">
        <w:tab/>
        <w:t>Au cours de la session de septembre 2018, le représentant de l’Espagne a appelé l’attention de la Réunion commune, à l’aide du document ECE/TRANS/WP.15/AC.1/</w:t>
      </w:r>
      <w:r w:rsidR="00380016">
        <w:br/>
      </w:r>
      <w:r w:rsidRPr="002B2103">
        <w:t xml:space="preserve">2018/19, sur la différence existant entre le nom et la description du numéro </w:t>
      </w:r>
      <w:r w:rsidR="0082161B" w:rsidRPr="002B2103">
        <w:t>ONU </w:t>
      </w:r>
      <w:r w:rsidRPr="002B2103">
        <w:t>1010 figurant dans le Règlement type d’une part et</w:t>
      </w:r>
      <w:r w:rsidR="0082161B" w:rsidRPr="002B2103">
        <w:t xml:space="preserve"> </w:t>
      </w:r>
      <w:r w:rsidR="003D5A2F">
        <w:t>dans le RID/ADR d’autre part</w:t>
      </w:r>
      <w:r w:rsidR="00380016">
        <w:t>, dans toutes les </w:t>
      </w:r>
      <w:r w:rsidRPr="002B2103">
        <w:t>langues.</w:t>
      </w:r>
    </w:p>
    <w:p w:rsidR="00A324EE" w:rsidRPr="002B2103" w:rsidRDefault="00A324EE" w:rsidP="00380016">
      <w:pPr>
        <w:pStyle w:val="SingleTxtG"/>
        <w:keepNext/>
        <w:keepLines/>
      </w:pPr>
      <w:r w:rsidRPr="002B2103">
        <w:t>2.</w:t>
      </w:r>
      <w:r w:rsidRPr="002B2103">
        <w:tab/>
        <w:t>Dans le Règlement type, la rubrique du numéro ONU 1010 est libellée comme suit</w:t>
      </w:r>
      <w:r w:rsidR="0082161B" w:rsidRPr="002B2103">
        <w:t> :</w:t>
      </w:r>
    </w:p>
    <w:p w:rsidR="00A324EE" w:rsidRPr="00380016" w:rsidRDefault="00A324EE" w:rsidP="00A324EE">
      <w:pPr>
        <w:pStyle w:val="SingleTxtG"/>
        <w:rPr>
          <w:spacing w:val="-3"/>
        </w:rPr>
      </w:pPr>
      <w:r w:rsidRPr="00380016">
        <w:rPr>
          <w:spacing w:val="-3"/>
        </w:rPr>
        <w:t>« N</w:t>
      </w:r>
      <w:r w:rsidR="0082161B" w:rsidRPr="00380016">
        <w:rPr>
          <w:spacing w:val="-3"/>
        </w:rPr>
        <w:t xml:space="preserve">uméro </w:t>
      </w:r>
      <w:r w:rsidRPr="00380016">
        <w:rPr>
          <w:spacing w:val="-3"/>
        </w:rPr>
        <w:t>ONU 1010 BUTADIÈNES STABILISÉS ou BUTADIÈNES ET HYDROCARBURES EN MÉLANGE STABILISÉ, contenant plus de 40 % de butadiènes ».</w:t>
      </w:r>
    </w:p>
    <w:p w:rsidR="00A324EE" w:rsidRPr="002B2103" w:rsidRDefault="00A324EE" w:rsidP="00380016">
      <w:pPr>
        <w:pStyle w:val="SingleTxtG"/>
        <w:keepNext/>
        <w:keepLines/>
      </w:pPr>
      <w:r w:rsidRPr="002B2103">
        <w:t>3.</w:t>
      </w:r>
      <w:r w:rsidRPr="002B2103">
        <w:tab/>
        <w:t>La rubrique correspondante du RID/ADR est quant à elle libellée comme suit :</w:t>
      </w:r>
    </w:p>
    <w:p w:rsidR="00A324EE" w:rsidRPr="002B2103" w:rsidRDefault="00A324EE" w:rsidP="00A324EE">
      <w:pPr>
        <w:pStyle w:val="SingleTxtG"/>
      </w:pPr>
      <w:r w:rsidRPr="002B2103">
        <w:t>« N</w:t>
      </w:r>
      <w:r w:rsidR="0082161B" w:rsidRPr="002B2103">
        <w:t xml:space="preserve">uméro </w:t>
      </w:r>
      <w:r w:rsidRPr="002B2103">
        <w:t>ONU 1010 BUTADIÈNES STABILISÉS ou BUTADIÈNES ET HYDROCARBURES EN MÉLANGE STABILISÉ, qui, à 70 °C, a une pression</w:t>
      </w:r>
      <w:r w:rsidR="0082161B" w:rsidRPr="002B2103">
        <w:t xml:space="preserve"> de vapeur ne dépassant pas 1,1 </w:t>
      </w:r>
      <w:r w:rsidRPr="002B2103">
        <w:t>MPa (11</w:t>
      </w:r>
      <w:r w:rsidR="0082161B" w:rsidRPr="002B2103">
        <w:t> </w:t>
      </w:r>
      <w:r w:rsidRPr="002B2103">
        <w:t>bar) et dont la masse volumique à 50 °C n’</w:t>
      </w:r>
      <w:r w:rsidR="0082161B" w:rsidRPr="002B2103">
        <w:t>est pas inférieure à 0,525 </w:t>
      </w:r>
      <w:r w:rsidRPr="002B2103">
        <w:t>kg/l ».</w:t>
      </w:r>
    </w:p>
    <w:p w:rsidR="00A324EE" w:rsidRPr="002B2103" w:rsidRDefault="00A324EE" w:rsidP="00A324EE">
      <w:pPr>
        <w:pStyle w:val="SingleTxtG"/>
      </w:pPr>
      <w:r w:rsidRPr="002B2103">
        <w:t>4.</w:t>
      </w:r>
      <w:r w:rsidRPr="002B2103">
        <w:tab/>
        <w:t xml:space="preserve">Ces deux définitions ne sont pas équivalentes, et il est clair que des matières différentes peuvent être </w:t>
      </w:r>
      <w:r w:rsidR="0082161B" w:rsidRPr="002B2103">
        <w:t>transportées sous le numéro </w:t>
      </w:r>
      <w:r w:rsidRPr="002B2103">
        <w:t>ONU 1010 si l’on se réfère à la description du Règlement type ou à celle du RID/ADR.</w:t>
      </w:r>
    </w:p>
    <w:p w:rsidR="00A324EE" w:rsidRPr="002B2103" w:rsidRDefault="00A324EE" w:rsidP="00380016">
      <w:pPr>
        <w:pStyle w:val="SingleTxtG"/>
        <w:keepNext/>
        <w:keepLines/>
      </w:pPr>
      <w:r w:rsidRPr="002B2103">
        <w:t>5.</w:t>
      </w:r>
      <w:r w:rsidRPr="002B2103">
        <w:tab/>
        <w:t xml:space="preserve">Au cours de ses débats, la Réunion commune a indiqué ce qui suit </w:t>
      </w:r>
      <w:r w:rsidR="0082161B" w:rsidRPr="002B2103">
        <w:t>(ECE/TRANS/WP.15/AC.1/152, par. </w:t>
      </w:r>
      <w:r w:rsidRPr="002B2103">
        <w:t>25 à 27) :</w:t>
      </w:r>
    </w:p>
    <w:p w:rsidR="00A324EE" w:rsidRPr="002B2103" w:rsidRDefault="00A324EE" w:rsidP="0082161B">
      <w:pPr>
        <w:pStyle w:val="SingleTxtG"/>
        <w:ind w:left="1701"/>
      </w:pPr>
      <w:r w:rsidRPr="002B2103">
        <w:t>«</w:t>
      </w:r>
      <w:r w:rsidR="0082161B" w:rsidRPr="002B2103">
        <w:t> </w:t>
      </w:r>
      <w:r w:rsidRPr="002B2103">
        <w:t>25.</w:t>
      </w:r>
      <w:r w:rsidRPr="002B2103">
        <w:tab/>
        <w:t xml:space="preserve">La Réunion commune a pris note des différences entre le nom et la description du numéro ONU 1010 dans le RID/ADR et ceux figurant dans le Règlement type. Il a été souligné en particulier que la description figurant actuellement dans le RID/ADR pourrait s’appliquer aux butadiènes et aux mélanges de butadiène contenant moins de 40 % de butadiène, tandis que celle du Règlement type ne concernait que les mélanges contenant plus de 40 % de butadiène. </w:t>
      </w:r>
    </w:p>
    <w:p w:rsidR="00A324EE" w:rsidRPr="002B2103" w:rsidRDefault="00A324EE" w:rsidP="0082161B">
      <w:pPr>
        <w:pStyle w:val="SingleTxtG"/>
        <w:ind w:left="1701"/>
      </w:pPr>
      <w:r w:rsidRPr="002B2103">
        <w:t>26.</w:t>
      </w:r>
      <w:r w:rsidRPr="002B2103">
        <w:tab/>
        <w:t xml:space="preserve">La représentante de l’Espagne a indiqué qu’à sa connaissance, tous les butadiènes et les mélanges de butadiène actuellement utilisés et transportés contenaient plus de 40 % de butadiène et que, par conséquent, la description utilisée dans le RID/ADR devrait être alignée sur celle du Règlement type. Le principe de la proposition a reçu un certain appui. Toutefois, des réserves ont été exprimées en ce qui concerne la question de la stabilisation des mélanges de butadiène contenant moins de 40 % de butadiène, le cas échéant, conformément au 2.2.2.2.1, si ces butadiènes devaient être transportés sous une rubrique générique </w:t>
      </w:r>
      <w:r w:rsidRPr="002B2103">
        <w:rPr>
          <w:iCs/>
        </w:rPr>
        <w:t xml:space="preserve">N.S.A. </w:t>
      </w:r>
      <w:r w:rsidRPr="002B2103">
        <w:t>[</w:t>
      </w:r>
      <w:r w:rsidRPr="002B2103">
        <w:rPr>
          <w:iCs/>
        </w:rPr>
        <w:t>non spécifiée par ailleurs].</w:t>
      </w:r>
    </w:p>
    <w:p w:rsidR="00A324EE" w:rsidRPr="002B2103" w:rsidRDefault="00A324EE" w:rsidP="0082161B">
      <w:pPr>
        <w:pStyle w:val="SingleTxtG"/>
        <w:ind w:left="1701"/>
      </w:pPr>
      <w:r w:rsidRPr="002B2103">
        <w:t>27.</w:t>
      </w:r>
      <w:r w:rsidRPr="002B2103">
        <w:tab/>
        <w:t xml:space="preserve">La Réunion commune a invité la représentante de l’Espagne à revenir avec une proposition recensant les rubriques </w:t>
      </w:r>
      <w:r w:rsidRPr="002B2103">
        <w:rPr>
          <w:iCs/>
        </w:rPr>
        <w:t>N.S.A.</w:t>
      </w:r>
      <w:r w:rsidRPr="002B2103">
        <w:t xml:space="preserve"> susceptibles d’être utilisées et indiquant si elles étaient adaptées au transport de ces matières quel que soit le mode de transport employé. » </w:t>
      </w:r>
    </w:p>
    <w:p w:rsidR="00A324EE" w:rsidRPr="002B2103" w:rsidRDefault="00A324EE" w:rsidP="00380016">
      <w:pPr>
        <w:pStyle w:val="HChG"/>
      </w:pPr>
      <w:r w:rsidRPr="002B2103">
        <w:tab/>
      </w:r>
      <w:r w:rsidRPr="002B2103">
        <w:tab/>
        <w:t xml:space="preserve">Autres rubriques pour les butadiènes ne devant </w:t>
      </w:r>
      <w:r w:rsidR="00380016">
        <w:br/>
      </w:r>
      <w:r w:rsidRPr="002B2103">
        <w:t>pas être transportés</w:t>
      </w:r>
      <w:r w:rsidR="00380016">
        <w:t xml:space="preserve"> </w:t>
      </w:r>
      <w:r w:rsidRPr="002B2103">
        <w:t xml:space="preserve">sous le numéro </w:t>
      </w:r>
      <w:r w:rsidR="0082161B" w:rsidRPr="002B2103">
        <w:t>ONU </w:t>
      </w:r>
      <w:r w:rsidRPr="002B2103">
        <w:t>1010</w:t>
      </w:r>
    </w:p>
    <w:p w:rsidR="00A324EE" w:rsidRPr="002B2103" w:rsidRDefault="00A324EE" w:rsidP="00A324EE">
      <w:pPr>
        <w:pStyle w:val="SingleTxtG"/>
      </w:pPr>
      <w:r w:rsidRPr="002B2103">
        <w:t>6.</w:t>
      </w:r>
      <w:r w:rsidRPr="002B2103">
        <w:tab/>
        <w:t>Comme l’avait demandé la Réunion commune, des experts ont analysé d’autres numéros ONU et leurs conditions de transport pour les butadiènes qui ne seraient</w:t>
      </w:r>
      <w:r w:rsidR="0082161B" w:rsidRPr="002B2103">
        <w:t xml:space="preserve"> pas transportés sous le numéro ONU </w:t>
      </w:r>
      <w:r w:rsidRPr="002B2103">
        <w:t>1010 en raison de leur teneur en butadiène inférieure à 40</w:t>
      </w:r>
      <w:r w:rsidR="0082161B" w:rsidRPr="002B2103">
        <w:t> </w:t>
      </w:r>
      <w:r w:rsidRPr="002B2103">
        <w:t>% du mélange.</w:t>
      </w:r>
    </w:p>
    <w:p w:rsidR="00A324EE" w:rsidRPr="002B2103" w:rsidRDefault="00A324EE" w:rsidP="00A324EE">
      <w:pPr>
        <w:pStyle w:val="SingleTxtG"/>
      </w:pPr>
      <w:r w:rsidRPr="002B2103">
        <w:t>7.</w:t>
      </w:r>
      <w:r w:rsidRPr="002B2103">
        <w:tab/>
        <w:t>Il peut exister différentes options pour le transport des</w:t>
      </w:r>
      <w:r w:rsidR="0082161B" w:rsidRPr="002B2103">
        <w:t xml:space="preserve"> </w:t>
      </w:r>
      <w:r w:rsidRPr="002B2103">
        <w:t xml:space="preserve">mélanges considérés, car la classification dépend également des autres composants du mélange. Les options les plus probables, selon l’industrie, seraient </w:t>
      </w:r>
      <w:r w:rsidR="0082161B" w:rsidRPr="002B2103">
        <w:t>le numéro ONU </w:t>
      </w:r>
      <w:r w:rsidRPr="002B2103">
        <w:t xml:space="preserve">1965 HYDROCARBURES </w:t>
      </w:r>
      <w:r w:rsidRPr="002B2103">
        <w:lastRenderedPageBreak/>
        <w:t>GAZEUX EN MÉLANGE LIQUÉFIÉ, N.S.A.</w:t>
      </w:r>
      <w:r w:rsidR="0082161B" w:rsidRPr="002B2103">
        <w:t xml:space="preserve"> </w:t>
      </w:r>
      <w:r w:rsidRPr="002B2103">
        <w:t xml:space="preserve">comme mélange A, A01, A02, A0, B1, B2, B ou C et </w:t>
      </w:r>
      <w:r w:rsidR="0082161B" w:rsidRPr="002B2103">
        <w:t>le numéro ONU </w:t>
      </w:r>
      <w:r w:rsidRPr="002B2103">
        <w:t>3161 GAZ LIQUÉFIÉ INFLAMMABLE, N.S.A. Il convient de noter que ce type de mélange peut également être transporté sous d’autres rubriques, N.S.A.</w:t>
      </w:r>
      <w:r w:rsidRPr="002B2103">
        <w:rPr>
          <w:iCs/>
        </w:rPr>
        <w:t xml:space="preserve"> </w:t>
      </w:r>
      <w:r w:rsidRPr="002B2103">
        <w:t>ou non, selon le mélange particulier qui doit être transporté.</w:t>
      </w:r>
    </w:p>
    <w:p w:rsidR="00A324EE" w:rsidRPr="002B2103" w:rsidRDefault="00A324EE" w:rsidP="003D5A2F">
      <w:pPr>
        <w:pStyle w:val="SingleTxtG"/>
        <w:keepNext/>
        <w:keepLines/>
      </w:pPr>
      <w:r w:rsidRPr="002B2103">
        <w:t>8.</w:t>
      </w:r>
      <w:r w:rsidRPr="002B2103">
        <w:tab/>
        <w:t>Dans le Règlement type, les conditions de</w:t>
      </w:r>
      <w:r w:rsidR="0082161B" w:rsidRPr="002B2103">
        <w:t xml:space="preserve"> transport pour les numéros ONU 1965 et </w:t>
      </w:r>
      <w:r w:rsidRPr="002B2103">
        <w:t>3161 so</w:t>
      </w:r>
      <w:r w:rsidR="0082161B" w:rsidRPr="002B2103">
        <w:t>nt les mêmes que pour le numéro ONU </w:t>
      </w:r>
      <w:r w:rsidRPr="002B2103">
        <w:t xml:space="preserve">1010, à l’exception des dispositions spéciales (DS) </w:t>
      </w:r>
      <w:r w:rsidR="0082161B" w:rsidRPr="002B2103">
        <w:t>applicables :</w:t>
      </w:r>
    </w:p>
    <w:p w:rsidR="00A324EE" w:rsidRPr="002B2103" w:rsidRDefault="0082161B" w:rsidP="0082161B">
      <w:pPr>
        <w:pStyle w:val="Bullet1G"/>
      </w:pPr>
      <w:r w:rsidRPr="002B2103">
        <w:t>Numéro ONU 1010 </w:t>
      </w:r>
      <w:r w:rsidR="00A324EE" w:rsidRPr="002B2103">
        <w:t>: DS 386</w:t>
      </w:r>
    </w:p>
    <w:p w:rsidR="00A324EE" w:rsidRPr="002B2103" w:rsidRDefault="0082161B" w:rsidP="0082161B">
      <w:pPr>
        <w:pStyle w:val="Bullet1G"/>
      </w:pPr>
      <w:r w:rsidRPr="002B2103">
        <w:t>Numéro ONU 1965 </w:t>
      </w:r>
      <w:r w:rsidR="00A324EE" w:rsidRPr="002B2103">
        <w:t>: DS 274+392</w:t>
      </w:r>
    </w:p>
    <w:p w:rsidR="00A324EE" w:rsidRPr="002B2103" w:rsidRDefault="0082161B" w:rsidP="0082161B">
      <w:pPr>
        <w:pStyle w:val="Bullet1G"/>
      </w:pPr>
      <w:r w:rsidRPr="002B2103">
        <w:t>Numéro ONU 3161 </w:t>
      </w:r>
      <w:r w:rsidR="00A324EE" w:rsidRPr="002B2103">
        <w:t>: DS 274</w:t>
      </w:r>
    </w:p>
    <w:p w:rsidR="00A324EE" w:rsidRPr="002B2103" w:rsidRDefault="00A324EE" w:rsidP="00A324EE">
      <w:pPr>
        <w:pStyle w:val="SingleTxtG"/>
      </w:pPr>
      <w:r w:rsidRPr="002B2103">
        <w:t>9.</w:t>
      </w:r>
      <w:r w:rsidRPr="002B2103">
        <w:tab/>
        <w:t>Seule la disposition spécial</w:t>
      </w:r>
      <w:r w:rsidR="003D5A2F">
        <w:t>e </w:t>
      </w:r>
      <w:r w:rsidR="0082161B" w:rsidRPr="002B2103">
        <w:t>386, applicable au numéro ONU </w:t>
      </w:r>
      <w:r w:rsidR="003D5A2F">
        <w:t>1010, et le nom du numéro ONU </w:t>
      </w:r>
      <w:r w:rsidRPr="002B2103">
        <w:t>1010 lui-même donnent des précisions sur la stabilisation.</w:t>
      </w:r>
    </w:p>
    <w:p w:rsidR="00A324EE" w:rsidRPr="002B2103" w:rsidRDefault="00A324EE" w:rsidP="00A324EE">
      <w:pPr>
        <w:pStyle w:val="SingleTxtG"/>
      </w:pPr>
      <w:r w:rsidRPr="002B2103">
        <w:t>10.</w:t>
      </w:r>
      <w:r w:rsidRPr="002B2103">
        <w:tab/>
        <w:t>Dans le RID/ADR, les conditions de transport sont</w:t>
      </w:r>
      <w:r w:rsidR="0082161B" w:rsidRPr="002B2103">
        <w:t xml:space="preserve"> les mêmes pour les numéros ONU </w:t>
      </w:r>
      <w:r w:rsidRPr="002B2103">
        <w:t>1010, 1965 et 3161,</w:t>
      </w:r>
      <w:r w:rsidR="0082161B" w:rsidRPr="002B2103">
        <w:t xml:space="preserve"> </w:t>
      </w:r>
      <w:r w:rsidRPr="002B2103">
        <w:t xml:space="preserve">exception faite des </w:t>
      </w:r>
      <w:r w:rsidR="0082161B" w:rsidRPr="002B2103">
        <w:t>différences suivantes :</w:t>
      </w:r>
    </w:p>
    <w:p w:rsidR="00A324EE" w:rsidRPr="002B2103" w:rsidRDefault="0082161B" w:rsidP="0082161B">
      <w:pPr>
        <w:pStyle w:val="Bullet1G"/>
      </w:pPr>
      <w:r w:rsidRPr="002B2103">
        <w:t>DS (colonne </w:t>
      </w:r>
      <w:r w:rsidR="00A324EE" w:rsidRPr="002B2103">
        <w:t>6) et numéro d’id</w:t>
      </w:r>
      <w:r w:rsidR="003D5A2F">
        <w:t>entification du danger (colonne </w:t>
      </w:r>
      <w:r w:rsidR="00A324EE" w:rsidRPr="002B2103">
        <w:t>20) différents à la fois dans le RID et dans l’ADR</w:t>
      </w:r>
      <w:r w:rsidRPr="002B2103">
        <w:t> ;</w:t>
      </w:r>
    </w:p>
    <w:p w:rsidR="00A324EE" w:rsidRDefault="00A324EE" w:rsidP="00A324EE">
      <w:pPr>
        <w:pStyle w:val="Bullet1G"/>
      </w:pPr>
      <w:r w:rsidRPr="002B2103">
        <w:t>DS différente pour les citernes</w:t>
      </w:r>
      <w:r w:rsidRPr="002B2103">
        <w:rPr>
          <w:b/>
        </w:rPr>
        <w:t xml:space="preserve"> </w:t>
      </w:r>
      <w:r w:rsidR="0082161B" w:rsidRPr="002B2103">
        <w:t>(colonne </w:t>
      </w:r>
      <w:r w:rsidRPr="002B2103">
        <w:t xml:space="preserve">13), pour le transport en colis </w:t>
      </w:r>
      <w:r w:rsidR="0082161B" w:rsidRPr="002B2103">
        <w:t>(colonne </w:t>
      </w:r>
      <w:r w:rsidRPr="002B2103">
        <w:t xml:space="preserve">16) et pour les opérations de transport </w:t>
      </w:r>
      <w:r w:rsidR="0082161B" w:rsidRPr="002B2103">
        <w:t>(colonne </w:t>
      </w:r>
      <w:r w:rsidRPr="002B2103">
        <w:t>19) dans l’ADR</w:t>
      </w:r>
      <w:r w:rsidR="0082161B" w:rsidRPr="002B2103">
        <w:t>.</w:t>
      </w:r>
    </w:p>
    <w:tbl>
      <w:tblPr>
        <w:tblStyle w:val="TableGrid"/>
        <w:tblW w:w="7372" w:type="dxa"/>
        <w:tblInd w:w="1134" w:type="dxa"/>
        <w:tblLayout w:type="fixed"/>
        <w:tblLook w:val="04A0" w:firstRow="1" w:lastRow="0" w:firstColumn="1" w:lastColumn="0" w:noHBand="0" w:noVBand="1"/>
      </w:tblPr>
      <w:tblGrid>
        <w:gridCol w:w="700"/>
        <w:gridCol w:w="2277"/>
        <w:gridCol w:w="879"/>
        <w:gridCol w:w="879"/>
        <w:gridCol w:w="879"/>
        <w:gridCol w:w="879"/>
        <w:gridCol w:w="879"/>
      </w:tblGrid>
      <w:tr w:rsidR="003D5A2F" w:rsidRPr="003D5A2F" w:rsidTr="0051183A">
        <w:trPr>
          <w:cantSplit/>
          <w:trHeight w:val="2512"/>
        </w:trPr>
        <w:tc>
          <w:tcPr>
            <w:tcW w:w="700" w:type="dxa"/>
            <w:shd w:val="clear" w:color="auto" w:fill="auto"/>
            <w:textDirection w:val="btLr"/>
          </w:tcPr>
          <w:p w:rsidR="003D5A2F" w:rsidRPr="003D5A2F" w:rsidRDefault="003D5A2F" w:rsidP="003D5A2F">
            <w:pPr>
              <w:spacing w:before="80" w:after="80" w:line="200" w:lineRule="exact"/>
              <w:ind w:left="57" w:right="57"/>
              <w:rPr>
                <w:i/>
                <w:sz w:val="16"/>
              </w:rPr>
            </w:pPr>
            <w:r w:rsidRPr="003D5A2F">
              <w:rPr>
                <w:i/>
                <w:sz w:val="16"/>
              </w:rPr>
              <w:t>N</w:t>
            </w:r>
            <w:r w:rsidRPr="0051183A">
              <w:rPr>
                <w:i/>
                <w:sz w:val="16"/>
                <w:vertAlign w:val="superscript"/>
              </w:rPr>
              <w:t>o</w:t>
            </w:r>
            <w:r w:rsidRPr="003D5A2F">
              <w:rPr>
                <w:i/>
                <w:sz w:val="16"/>
              </w:rPr>
              <w:t> ONU</w:t>
            </w:r>
          </w:p>
        </w:tc>
        <w:tc>
          <w:tcPr>
            <w:tcW w:w="2277" w:type="dxa"/>
            <w:shd w:val="clear" w:color="auto" w:fill="auto"/>
            <w:textDirection w:val="btLr"/>
          </w:tcPr>
          <w:p w:rsidR="003D5A2F" w:rsidRPr="003D5A2F" w:rsidRDefault="003D5A2F" w:rsidP="003D5A2F">
            <w:pPr>
              <w:spacing w:before="40" w:after="120" w:line="200" w:lineRule="exact"/>
              <w:ind w:left="57" w:right="57"/>
              <w:rPr>
                <w:i/>
                <w:sz w:val="16"/>
              </w:rPr>
            </w:pPr>
            <w:r w:rsidRPr="003D5A2F">
              <w:rPr>
                <w:i/>
                <w:sz w:val="16"/>
              </w:rPr>
              <w:t>Nom et description</w:t>
            </w:r>
          </w:p>
        </w:tc>
        <w:tc>
          <w:tcPr>
            <w:tcW w:w="879" w:type="dxa"/>
            <w:shd w:val="clear" w:color="auto" w:fill="auto"/>
            <w:textDirection w:val="btLr"/>
          </w:tcPr>
          <w:p w:rsidR="003D5A2F" w:rsidRPr="003D5A2F" w:rsidRDefault="003D5A2F" w:rsidP="003D5A2F">
            <w:pPr>
              <w:spacing w:before="40" w:after="120" w:line="200" w:lineRule="exact"/>
              <w:ind w:left="57" w:right="57"/>
              <w:rPr>
                <w:i/>
                <w:sz w:val="16"/>
              </w:rPr>
            </w:pPr>
            <w:r w:rsidRPr="003D5A2F">
              <w:rPr>
                <w:i/>
                <w:sz w:val="16"/>
              </w:rPr>
              <w:t>Dispositions spéciales (6)</w:t>
            </w:r>
          </w:p>
        </w:tc>
        <w:tc>
          <w:tcPr>
            <w:tcW w:w="879" w:type="dxa"/>
            <w:shd w:val="clear" w:color="auto" w:fill="auto"/>
            <w:textDirection w:val="btLr"/>
          </w:tcPr>
          <w:p w:rsidR="003D5A2F" w:rsidRPr="00BF5EBE" w:rsidRDefault="003D5A2F" w:rsidP="00BF5EBE">
            <w:pPr>
              <w:spacing w:before="40" w:after="120" w:line="200" w:lineRule="exact"/>
              <w:ind w:left="57" w:right="57"/>
              <w:rPr>
                <w:i/>
                <w:spacing w:val="-3"/>
                <w:sz w:val="16"/>
              </w:rPr>
            </w:pPr>
            <w:r w:rsidRPr="00BF5EBE">
              <w:rPr>
                <w:i/>
                <w:spacing w:val="-3"/>
                <w:sz w:val="16"/>
              </w:rPr>
              <w:t xml:space="preserve">DS pour les </w:t>
            </w:r>
            <w:r w:rsidRPr="00BF5EBE">
              <w:rPr>
                <w:bCs/>
                <w:i/>
                <w:spacing w:val="-3"/>
                <w:sz w:val="16"/>
              </w:rPr>
              <w:t>citernes</w:t>
            </w:r>
            <w:r w:rsidRPr="00BF5EBE">
              <w:rPr>
                <w:i/>
                <w:spacing w:val="-3"/>
                <w:sz w:val="16"/>
              </w:rPr>
              <w:t xml:space="preserve"> (13) </w:t>
            </w:r>
            <w:r w:rsidR="00BF5EBE" w:rsidRPr="00BF5EBE">
              <w:rPr>
                <w:i/>
                <w:spacing w:val="-3"/>
                <w:sz w:val="16"/>
              </w:rPr>
              <w:br/>
              <w:t>(différente uniquement dans l’</w:t>
            </w:r>
            <w:r w:rsidRPr="00BF5EBE">
              <w:rPr>
                <w:i/>
                <w:spacing w:val="-3"/>
                <w:sz w:val="16"/>
              </w:rPr>
              <w:t>ADR)</w:t>
            </w:r>
          </w:p>
        </w:tc>
        <w:tc>
          <w:tcPr>
            <w:tcW w:w="879" w:type="dxa"/>
            <w:shd w:val="clear" w:color="auto" w:fill="auto"/>
            <w:textDirection w:val="btLr"/>
          </w:tcPr>
          <w:p w:rsidR="003D5A2F" w:rsidRPr="00BF5EBE" w:rsidRDefault="003D5A2F" w:rsidP="003D5A2F">
            <w:pPr>
              <w:spacing w:before="40" w:after="120" w:line="200" w:lineRule="exact"/>
              <w:ind w:left="57" w:right="57"/>
              <w:rPr>
                <w:i/>
                <w:spacing w:val="-3"/>
                <w:sz w:val="16"/>
              </w:rPr>
            </w:pPr>
            <w:r w:rsidRPr="00BF5EBE">
              <w:rPr>
                <w:i/>
                <w:spacing w:val="-3"/>
                <w:sz w:val="16"/>
              </w:rPr>
              <w:t>DS pour le transport en colis (16) (différente uniquement dans l’ADR)</w:t>
            </w:r>
          </w:p>
        </w:tc>
        <w:tc>
          <w:tcPr>
            <w:tcW w:w="879" w:type="dxa"/>
            <w:shd w:val="clear" w:color="auto" w:fill="auto"/>
            <w:textDirection w:val="btLr"/>
          </w:tcPr>
          <w:p w:rsidR="003D5A2F" w:rsidRPr="003D5A2F" w:rsidRDefault="003D5A2F" w:rsidP="003D5A2F">
            <w:pPr>
              <w:spacing w:before="40" w:after="120" w:line="200" w:lineRule="exact"/>
              <w:ind w:left="57" w:right="57"/>
              <w:rPr>
                <w:i/>
                <w:sz w:val="16"/>
              </w:rPr>
            </w:pPr>
            <w:r w:rsidRPr="003D5A2F">
              <w:rPr>
                <w:i/>
                <w:sz w:val="16"/>
              </w:rPr>
              <w:t xml:space="preserve">DS pour les </w:t>
            </w:r>
            <w:r w:rsidRPr="003D5A2F">
              <w:rPr>
                <w:bCs/>
                <w:i/>
                <w:sz w:val="16"/>
              </w:rPr>
              <w:t>opérations de transport</w:t>
            </w:r>
            <w:r w:rsidRPr="003D5A2F">
              <w:rPr>
                <w:i/>
                <w:sz w:val="16"/>
              </w:rPr>
              <w:t xml:space="preserve"> (19) (différente uniquement dans l’ADR)</w:t>
            </w:r>
          </w:p>
        </w:tc>
        <w:tc>
          <w:tcPr>
            <w:tcW w:w="879" w:type="dxa"/>
            <w:shd w:val="clear" w:color="auto" w:fill="auto"/>
            <w:textDirection w:val="btLr"/>
          </w:tcPr>
          <w:p w:rsidR="003D5A2F" w:rsidRPr="003D5A2F" w:rsidRDefault="003D5A2F" w:rsidP="003D5A2F">
            <w:pPr>
              <w:spacing w:before="40" w:after="120" w:line="200" w:lineRule="exact"/>
              <w:ind w:left="57" w:right="57"/>
              <w:rPr>
                <w:i/>
                <w:sz w:val="16"/>
              </w:rPr>
            </w:pPr>
            <w:r w:rsidRPr="003D5A2F">
              <w:rPr>
                <w:i/>
                <w:iCs/>
                <w:sz w:val="16"/>
              </w:rPr>
              <w:t xml:space="preserve">Numéro d’identification du danger </w:t>
            </w:r>
            <w:r w:rsidRPr="003D5A2F">
              <w:rPr>
                <w:i/>
                <w:sz w:val="16"/>
              </w:rPr>
              <w:t>(20)</w:t>
            </w:r>
          </w:p>
        </w:tc>
      </w:tr>
      <w:tr w:rsidR="003D5A2F" w:rsidRPr="0051183A" w:rsidTr="0051183A">
        <w:tc>
          <w:tcPr>
            <w:tcW w:w="700" w:type="dxa"/>
            <w:shd w:val="clear" w:color="auto" w:fill="auto"/>
          </w:tcPr>
          <w:p w:rsidR="003D5A2F" w:rsidRPr="0051183A" w:rsidRDefault="003D5A2F" w:rsidP="003D5A2F">
            <w:pPr>
              <w:spacing w:before="40" w:after="120"/>
              <w:ind w:right="113"/>
              <w:rPr>
                <w:sz w:val="18"/>
                <w:szCs w:val="18"/>
              </w:rPr>
            </w:pPr>
            <w:r w:rsidRPr="0051183A">
              <w:rPr>
                <w:sz w:val="18"/>
                <w:szCs w:val="18"/>
              </w:rPr>
              <w:t xml:space="preserve">1010 </w:t>
            </w:r>
          </w:p>
        </w:tc>
        <w:tc>
          <w:tcPr>
            <w:tcW w:w="2277" w:type="dxa"/>
            <w:shd w:val="clear" w:color="auto" w:fill="auto"/>
          </w:tcPr>
          <w:p w:rsidR="003D5A2F" w:rsidRPr="0051183A" w:rsidRDefault="003D5A2F" w:rsidP="003D5A2F">
            <w:pPr>
              <w:spacing w:before="40" w:after="120"/>
              <w:ind w:right="113"/>
              <w:rPr>
                <w:sz w:val="18"/>
                <w:szCs w:val="18"/>
              </w:rPr>
            </w:pPr>
            <w:r w:rsidRPr="0051183A">
              <w:rPr>
                <w:iCs/>
                <w:sz w:val="18"/>
                <w:szCs w:val="18"/>
              </w:rPr>
              <w:t>BUTADIÈNES STABILISÉS ou BUTADIÈNES ET HYDROCARBURES EN MÉLANGE STABILISÉ, qui, à </w:t>
            </w:r>
            <w:r w:rsidR="0051183A">
              <w:rPr>
                <w:iCs/>
                <w:sz w:val="18"/>
                <w:szCs w:val="18"/>
              </w:rPr>
              <w:t>70 </w:t>
            </w:r>
            <w:r w:rsidRPr="0051183A">
              <w:rPr>
                <w:iCs/>
                <w:sz w:val="18"/>
                <w:szCs w:val="18"/>
              </w:rPr>
              <w:t>°C, a une pression de vapeur ne dépassant pas 1,1 MPa (11 bar) et dont la masse volumique à 50 °C n’est pas inférieure à 0,525 kg/l</w:t>
            </w:r>
          </w:p>
        </w:tc>
        <w:tc>
          <w:tcPr>
            <w:tcW w:w="879" w:type="dxa"/>
            <w:shd w:val="clear" w:color="auto" w:fill="auto"/>
          </w:tcPr>
          <w:p w:rsidR="003D5A2F" w:rsidRPr="0051183A" w:rsidRDefault="003D5A2F" w:rsidP="0051183A">
            <w:pPr>
              <w:spacing w:before="40" w:after="120"/>
              <w:ind w:right="113"/>
              <w:rPr>
                <w:sz w:val="18"/>
                <w:szCs w:val="18"/>
              </w:rPr>
            </w:pPr>
            <w:r w:rsidRPr="0051183A">
              <w:rPr>
                <w:sz w:val="18"/>
                <w:szCs w:val="18"/>
              </w:rPr>
              <w:t>386</w:t>
            </w:r>
            <w:r w:rsidR="0051183A">
              <w:rPr>
                <w:sz w:val="18"/>
                <w:szCs w:val="18"/>
              </w:rPr>
              <w:t xml:space="preserve"> </w:t>
            </w:r>
            <w:r w:rsidR="0051183A">
              <w:rPr>
                <w:sz w:val="18"/>
                <w:szCs w:val="18"/>
              </w:rPr>
              <w:br/>
            </w:r>
            <w:r w:rsidRPr="0051183A">
              <w:rPr>
                <w:sz w:val="18"/>
                <w:szCs w:val="18"/>
              </w:rPr>
              <w:t>618</w:t>
            </w:r>
            <w:r w:rsidR="0051183A">
              <w:rPr>
                <w:sz w:val="18"/>
                <w:szCs w:val="18"/>
              </w:rPr>
              <w:t xml:space="preserve"> </w:t>
            </w:r>
            <w:r w:rsidR="0051183A">
              <w:rPr>
                <w:sz w:val="18"/>
                <w:szCs w:val="18"/>
              </w:rPr>
              <w:br/>
            </w:r>
            <w:r w:rsidRPr="0051183A">
              <w:rPr>
                <w:sz w:val="18"/>
                <w:szCs w:val="18"/>
              </w:rPr>
              <w:t>662</w:t>
            </w:r>
          </w:p>
        </w:tc>
        <w:tc>
          <w:tcPr>
            <w:tcW w:w="879" w:type="dxa"/>
            <w:shd w:val="clear" w:color="auto" w:fill="auto"/>
          </w:tcPr>
          <w:p w:rsidR="003D5A2F" w:rsidRPr="0051183A" w:rsidRDefault="003D5A2F" w:rsidP="0051183A">
            <w:pPr>
              <w:spacing w:before="40" w:after="120"/>
              <w:ind w:right="113"/>
              <w:rPr>
                <w:sz w:val="18"/>
                <w:szCs w:val="18"/>
              </w:rPr>
            </w:pPr>
            <w:r w:rsidRPr="0051183A">
              <w:rPr>
                <w:sz w:val="18"/>
                <w:szCs w:val="18"/>
              </w:rPr>
              <w:t>TA4</w:t>
            </w:r>
            <w:r w:rsidR="0051183A">
              <w:rPr>
                <w:sz w:val="18"/>
                <w:szCs w:val="18"/>
              </w:rPr>
              <w:t xml:space="preserve"> </w:t>
            </w:r>
            <w:r w:rsidR="0051183A">
              <w:rPr>
                <w:sz w:val="18"/>
                <w:szCs w:val="18"/>
              </w:rPr>
              <w:br/>
            </w:r>
            <w:r w:rsidRPr="0051183A">
              <w:rPr>
                <w:sz w:val="18"/>
                <w:szCs w:val="18"/>
              </w:rPr>
              <w:t>TT9</w:t>
            </w:r>
          </w:p>
        </w:tc>
        <w:tc>
          <w:tcPr>
            <w:tcW w:w="879" w:type="dxa"/>
            <w:shd w:val="clear" w:color="auto" w:fill="auto"/>
          </w:tcPr>
          <w:p w:rsidR="003D5A2F" w:rsidRPr="0051183A" w:rsidRDefault="003D5A2F" w:rsidP="003D5A2F">
            <w:pPr>
              <w:spacing w:before="40" w:after="120"/>
              <w:ind w:right="113"/>
              <w:rPr>
                <w:sz w:val="18"/>
                <w:szCs w:val="18"/>
              </w:rPr>
            </w:pPr>
            <w:r w:rsidRPr="0051183A">
              <w:rPr>
                <w:sz w:val="18"/>
                <w:szCs w:val="18"/>
              </w:rPr>
              <w:t>V8</w:t>
            </w:r>
          </w:p>
        </w:tc>
        <w:tc>
          <w:tcPr>
            <w:tcW w:w="879" w:type="dxa"/>
            <w:shd w:val="clear" w:color="auto" w:fill="auto"/>
          </w:tcPr>
          <w:p w:rsidR="003D5A2F" w:rsidRPr="0051183A" w:rsidRDefault="003D5A2F" w:rsidP="0051183A">
            <w:pPr>
              <w:spacing w:before="40" w:after="120"/>
              <w:ind w:right="113"/>
              <w:rPr>
                <w:sz w:val="18"/>
                <w:szCs w:val="18"/>
              </w:rPr>
            </w:pPr>
            <w:r w:rsidRPr="0051183A">
              <w:rPr>
                <w:sz w:val="18"/>
                <w:szCs w:val="18"/>
              </w:rPr>
              <w:t>S2</w:t>
            </w:r>
            <w:r w:rsidR="0051183A">
              <w:rPr>
                <w:sz w:val="18"/>
                <w:szCs w:val="18"/>
              </w:rPr>
              <w:t xml:space="preserve"> </w:t>
            </w:r>
            <w:r w:rsidR="0051183A">
              <w:rPr>
                <w:sz w:val="18"/>
                <w:szCs w:val="18"/>
              </w:rPr>
              <w:br/>
            </w:r>
            <w:r w:rsidRPr="0051183A">
              <w:rPr>
                <w:sz w:val="18"/>
                <w:szCs w:val="18"/>
              </w:rPr>
              <w:t>S4</w:t>
            </w:r>
            <w:r w:rsidR="0051183A">
              <w:rPr>
                <w:sz w:val="18"/>
                <w:szCs w:val="18"/>
              </w:rPr>
              <w:t xml:space="preserve"> </w:t>
            </w:r>
            <w:r w:rsidR="0051183A">
              <w:rPr>
                <w:sz w:val="18"/>
                <w:szCs w:val="18"/>
              </w:rPr>
              <w:br/>
            </w:r>
            <w:r w:rsidRPr="0051183A">
              <w:rPr>
                <w:sz w:val="18"/>
                <w:szCs w:val="18"/>
              </w:rPr>
              <w:t>S20</w:t>
            </w:r>
          </w:p>
        </w:tc>
        <w:tc>
          <w:tcPr>
            <w:tcW w:w="879" w:type="dxa"/>
            <w:shd w:val="clear" w:color="auto" w:fill="auto"/>
          </w:tcPr>
          <w:p w:rsidR="003D5A2F" w:rsidRPr="0051183A" w:rsidRDefault="003D5A2F" w:rsidP="003D5A2F">
            <w:pPr>
              <w:spacing w:before="40" w:after="120"/>
              <w:ind w:right="113"/>
              <w:rPr>
                <w:sz w:val="18"/>
                <w:szCs w:val="18"/>
              </w:rPr>
            </w:pPr>
            <w:r w:rsidRPr="0051183A">
              <w:rPr>
                <w:sz w:val="18"/>
                <w:szCs w:val="18"/>
              </w:rPr>
              <w:t>239</w:t>
            </w:r>
          </w:p>
        </w:tc>
      </w:tr>
      <w:tr w:rsidR="003D5A2F" w:rsidRPr="0051183A" w:rsidTr="0051183A">
        <w:tc>
          <w:tcPr>
            <w:tcW w:w="700" w:type="dxa"/>
            <w:shd w:val="clear" w:color="auto" w:fill="auto"/>
          </w:tcPr>
          <w:p w:rsidR="003D5A2F" w:rsidRPr="0051183A" w:rsidRDefault="003D5A2F" w:rsidP="003D5A2F">
            <w:pPr>
              <w:spacing w:before="40" w:after="120"/>
              <w:ind w:right="113"/>
              <w:rPr>
                <w:sz w:val="18"/>
                <w:szCs w:val="18"/>
              </w:rPr>
            </w:pPr>
            <w:r w:rsidRPr="0051183A">
              <w:rPr>
                <w:sz w:val="18"/>
                <w:szCs w:val="18"/>
              </w:rPr>
              <w:t>1965</w:t>
            </w:r>
          </w:p>
        </w:tc>
        <w:tc>
          <w:tcPr>
            <w:tcW w:w="2277" w:type="dxa"/>
            <w:shd w:val="clear" w:color="auto" w:fill="auto"/>
          </w:tcPr>
          <w:p w:rsidR="003D5A2F" w:rsidRPr="0051183A" w:rsidRDefault="003D5A2F" w:rsidP="003D5A2F">
            <w:pPr>
              <w:spacing w:before="40" w:after="120"/>
              <w:ind w:right="113"/>
              <w:rPr>
                <w:sz w:val="18"/>
                <w:szCs w:val="18"/>
              </w:rPr>
            </w:pPr>
            <w:r w:rsidRPr="0051183A">
              <w:rPr>
                <w:iCs/>
                <w:sz w:val="18"/>
                <w:szCs w:val="18"/>
              </w:rPr>
              <w:t>HYDROCARBURES GAZEUX EN MÉLANGE LIQUÉFIÉ, N.S.A. comme mélange A, A01, A02, A0, B1, B2, B ou C</w:t>
            </w:r>
          </w:p>
        </w:tc>
        <w:tc>
          <w:tcPr>
            <w:tcW w:w="879" w:type="dxa"/>
            <w:shd w:val="clear" w:color="auto" w:fill="auto"/>
          </w:tcPr>
          <w:p w:rsidR="003D5A2F" w:rsidRPr="0051183A" w:rsidRDefault="003D5A2F" w:rsidP="0051183A">
            <w:pPr>
              <w:spacing w:before="40" w:after="120"/>
              <w:ind w:right="113"/>
              <w:rPr>
                <w:sz w:val="18"/>
                <w:szCs w:val="18"/>
              </w:rPr>
            </w:pPr>
            <w:r w:rsidRPr="0051183A">
              <w:rPr>
                <w:sz w:val="18"/>
                <w:szCs w:val="18"/>
              </w:rPr>
              <w:t>274</w:t>
            </w:r>
            <w:r w:rsidR="0051183A">
              <w:rPr>
                <w:sz w:val="18"/>
                <w:szCs w:val="18"/>
              </w:rPr>
              <w:t xml:space="preserve"> </w:t>
            </w:r>
            <w:r w:rsidR="0051183A">
              <w:rPr>
                <w:sz w:val="18"/>
                <w:szCs w:val="18"/>
              </w:rPr>
              <w:br/>
            </w:r>
            <w:r w:rsidRPr="0051183A">
              <w:rPr>
                <w:sz w:val="18"/>
                <w:szCs w:val="18"/>
              </w:rPr>
              <w:t>583</w:t>
            </w:r>
            <w:r w:rsidR="0051183A">
              <w:rPr>
                <w:sz w:val="18"/>
                <w:szCs w:val="18"/>
              </w:rPr>
              <w:t xml:space="preserve"> </w:t>
            </w:r>
            <w:r w:rsidR="0051183A">
              <w:rPr>
                <w:sz w:val="18"/>
                <w:szCs w:val="18"/>
              </w:rPr>
              <w:br/>
            </w:r>
            <w:r w:rsidRPr="0051183A">
              <w:rPr>
                <w:sz w:val="18"/>
                <w:szCs w:val="18"/>
              </w:rPr>
              <w:t>652</w:t>
            </w:r>
            <w:r w:rsidR="0051183A">
              <w:rPr>
                <w:sz w:val="18"/>
                <w:szCs w:val="18"/>
              </w:rPr>
              <w:t xml:space="preserve"> </w:t>
            </w:r>
            <w:r w:rsidR="0051183A">
              <w:rPr>
                <w:sz w:val="18"/>
                <w:szCs w:val="18"/>
              </w:rPr>
              <w:br/>
            </w:r>
            <w:r w:rsidRPr="0051183A">
              <w:rPr>
                <w:sz w:val="18"/>
                <w:szCs w:val="18"/>
              </w:rPr>
              <w:t>660</w:t>
            </w:r>
            <w:r w:rsidR="0051183A">
              <w:rPr>
                <w:sz w:val="18"/>
                <w:szCs w:val="18"/>
              </w:rPr>
              <w:t xml:space="preserve"> </w:t>
            </w:r>
            <w:r w:rsidR="0051183A">
              <w:rPr>
                <w:sz w:val="18"/>
                <w:szCs w:val="18"/>
              </w:rPr>
              <w:br/>
            </w:r>
            <w:r w:rsidRPr="0051183A">
              <w:rPr>
                <w:sz w:val="18"/>
                <w:szCs w:val="18"/>
              </w:rPr>
              <w:t>662</w:t>
            </w:r>
          </w:p>
        </w:tc>
        <w:tc>
          <w:tcPr>
            <w:tcW w:w="879" w:type="dxa"/>
            <w:shd w:val="clear" w:color="auto" w:fill="auto"/>
          </w:tcPr>
          <w:p w:rsidR="003D5A2F" w:rsidRPr="0051183A" w:rsidRDefault="003D5A2F" w:rsidP="0051183A">
            <w:pPr>
              <w:spacing w:before="40" w:after="120"/>
              <w:ind w:right="113"/>
              <w:rPr>
                <w:sz w:val="18"/>
                <w:szCs w:val="18"/>
              </w:rPr>
            </w:pPr>
            <w:r w:rsidRPr="0051183A">
              <w:rPr>
                <w:sz w:val="18"/>
                <w:szCs w:val="18"/>
              </w:rPr>
              <w:t>TA4</w:t>
            </w:r>
            <w:r w:rsidR="0051183A">
              <w:rPr>
                <w:sz w:val="18"/>
                <w:szCs w:val="18"/>
              </w:rPr>
              <w:t xml:space="preserve"> </w:t>
            </w:r>
            <w:r w:rsidR="0051183A">
              <w:rPr>
                <w:sz w:val="18"/>
                <w:szCs w:val="18"/>
              </w:rPr>
              <w:br/>
            </w:r>
            <w:r w:rsidRPr="0051183A">
              <w:rPr>
                <w:sz w:val="18"/>
                <w:szCs w:val="18"/>
              </w:rPr>
              <w:t>TT9</w:t>
            </w:r>
            <w:r w:rsidR="0051183A">
              <w:rPr>
                <w:sz w:val="18"/>
                <w:szCs w:val="18"/>
              </w:rPr>
              <w:t xml:space="preserve"> </w:t>
            </w:r>
            <w:r w:rsidR="0051183A">
              <w:rPr>
                <w:sz w:val="18"/>
                <w:szCs w:val="18"/>
              </w:rPr>
              <w:br/>
            </w:r>
            <w:r w:rsidRPr="0051183A">
              <w:rPr>
                <w:sz w:val="18"/>
                <w:szCs w:val="18"/>
              </w:rPr>
              <w:t>TT 11</w:t>
            </w:r>
          </w:p>
        </w:tc>
        <w:tc>
          <w:tcPr>
            <w:tcW w:w="879" w:type="dxa"/>
            <w:shd w:val="clear" w:color="auto" w:fill="auto"/>
          </w:tcPr>
          <w:p w:rsidR="003D5A2F" w:rsidRPr="0051183A" w:rsidRDefault="003D5A2F" w:rsidP="003D5A2F">
            <w:pPr>
              <w:spacing w:before="40" w:after="120"/>
              <w:ind w:right="113"/>
              <w:rPr>
                <w:sz w:val="18"/>
                <w:szCs w:val="18"/>
              </w:rPr>
            </w:pPr>
            <w:r w:rsidRPr="0051183A">
              <w:rPr>
                <w:sz w:val="18"/>
                <w:szCs w:val="18"/>
              </w:rPr>
              <w:t>-</w:t>
            </w:r>
          </w:p>
        </w:tc>
        <w:tc>
          <w:tcPr>
            <w:tcW w:w="879" w:type="dxa"/>
            <w:shd w:val="clear" w:color="auto" w:fill="auto"/>
          </w:tcPr>
          <w:p w:rsidR="003D5A2F" w:rsidRPr="0051183A" w:rsidRDefault="003D5A2F" w:rsidP="003D5A2F">
            <w:pPr>
              <w:spacing w:before="40" w:after="120"/>
              <w:ind w:right="113"/>
              <w:rPr>
                <w:sz w:val="18"/>
                <w:szCs w:val="18"/>
              </w:rPr>
            </w:pPr>
            <w:r w:rsidRPr="0051183A">
              <w:rPr>
                <w:sz w:val="18"/>
                <w:szCs w:val="18"/>
              </w:rPr>
              <w:t>S2</w:t>
            </w:r>
            <w:r w:rsidR="0051183A">
              <w:rPr>
                <w:sz w:val="18"/>
                <w:szCs w:val="18"/>
              </w:rPr>
              <w:t xml:space="preserve"> </w:t>
            </w:r>
            <w:r w:rsidR="0051183A">
              <w:rPr>
                <w:sz w:val="18"/>
                <w:szCs w:val="18"/>
              </w:rPr>
              <w:br/>
            </w:r>
            <w:r w:rsidRPr="0051183A">
              <w:rPr>
                <w:sz w:val="18"/>
                <w:szCs w:val="18"/>
              </w:rPr>
              <w:t>S20</w:t>
            </w:r>
          </w:p>
        </w:tc>
        <w:tc>
          <w:tcPr>
            <w:tcW w:w="879" w:type="dxa"/>
            <w:shd w:val="clear" w:color="auto" w:fill="auto"/>
          </w:tcPr>
          <w:p w:rsidR="003D5A2F" w:rsidRPr="0051183A" w:rsidRDefault="003D5A2F" w:rsidP="003D5A2F">
            <w:pPr>
              <w:spacing w:before="40" w:after="120"/>
              <w:ind w:right="113"/>
              <w:rPr>
                <w:sz w:val="18"/>
                <w:szCs w:val="18"/>
              </w:rPr>
            </w:pPr>
            <w:r w:rsidRPr="0051183A">
              <w:rPr>
                <w:sz w:val="18"/>
                <w:szCs w:val="18"/>
              </w:rPr>
              <w:t>23</w:t>
            </w:r>
          </w:p>
        </w:tc>
      </w:tr>
      <w:tr w:rsidR="003D5A2F" w:rsidRPr="0051183A" w:rsidTr="0051183A">
        <w:tc>
          <w:tcPr>
            <w:tcW w:w="700" w:type="dxa"/>
            <w:shd w:val="clear" w:color="auto" w:fill="auto"/>
          </w:tcPr>
          <w:p w:rsidR="003D5A2F" w:rsidRPr="0051183A" w:rsidRDefault="003D5A2F" w:rsidP="003D5A2F">
            <w:pPr>
              <w:spacing w:before="40" w:after="120"/>
              <w:ind w:right="113"/>
              <w:rPr>
                <w:sz w:val="18"/>
                <w:szCs w:val="18"/>
              </w:rPr>
            </w:pPr>
            <w:r w:rsidRPr="0051183A">
              <w:rPr>
                <w:sz w:val="18"/>
                <w:szCs w:val="18"/>
              </w:rPr>
              <w:t>3161</w:t>
            </w:r>
          </w:p>
        </w:tc>
        <w:tc>
          <w:tcPr>
            <w:tcW w:w="2277" w:type="dxa"/>
            <w:shd w:val="clear" w:color="auto" w:fill="auto"/>
          </w:tcPr>
          <w:p w:rsidR="003D5A2F" w:rsidRPr="0051183A" w:rsidRDefault="003D5A2F" w:rsidP="003D5A2F">
            <w:pPr>
              <w:spacing w:before="40" w:after="120"/>
              <w:ind w:right="113"/>
              <w:rPr>
                <w:sz w:val="18"/>
                <w:szCs w:val="18"/>
              </w:rPr>
            </w:pPr>
            <w:r w:rsidRPr="0051183A">
              <w:rPr>
                <w:iCs/>
                <w:sz w:val="18"/>
                <w:szCs w:val="18"/>
              </w:rPr>
              <w:t>GAZ LIQUÉFIÉ INFLAMMABLE, N.S.A.</w:t>
            </w:r>
          </w:p>
        </w:tc>
        <w:tc>
          <w:tcPr>
            <w:tcW w:w="879" w:type="dxa"/>
            <w:shd w:val="clear" w:color="auto" w:fill="auto"/>
          </w:tcPr>
          <w:p w:rsidR="003D5A2F" w:rsidRPr="0051183A" w:rsidRDefault="003D5A2F" w:rsidP="0051183A">
            <w:pPr>
              <w:spacing w:before="40" w:after="120"/>
              <w:ind w:right="113"/>
              <w:rPr>
                <w:sz w:val="18"/>
                <w:szCs w:val="18"/>
              </w:rPr>
            </w:pPr>
            <w:r w:rsidRPr="0051183A">
              <w:rPr>
                <w:sz w:val="18"/>
                <w:szCs w:val="18"/>
              </w:rPr>
              <w:t>274</w:t>
            </w:r>
            <w:r w:rsidR="0051183A">
              <w:rPr>
                <w:sz w:val="18"/>
                <w:szCs w:val="18"/>
              </w:rPr>
              <w:t xml:space="preserve"> </w:t>
            </w:r>
            <w:r w:rsidR="0051183A">
              <w:rPr>
                <w:sz w:val="18"/>
                <w:szCs w:val="18"/>
              </w:rPr>
              <w:br/>
            </w:r>
            <w:r w:rsidRPr="0051183A">
              <w:rPr>
                <w:sz w:val="18"/>
                <w:szCs w:val="18"/>
              </w:rPr>
              <w:t>662</w:t>
            </w:r>
          </w:p>
        </w:tc>
        <w:tc>
          <w:tcPr>
            <w:tcW w:w="879" w:type="dxa"/>
            <w:shd w:val="clear" w:color="auto" w:fill="auto"/>
          </w:tcPr>
          <w:p w:rsidR="003D5A2F" w:rsidRPr="0051183A" w:rsidRDefault="003D5A2F" w:rsidP="0051183A">
            <w:pPr>
              <w:spacing w:before="40" w:after="120"/>
              <w:ind w:right="113"/>
              <w:rPr>
                <w:sz w:val="18"/>
                <w:szCs w:val="18"/>
              </w:rPr>
            </w:pPr>
            <w:r w:rsidRPr="0051183A">
              <w:rPr>
                <w:sz w:val="18"/>
                <w:szCs w:val="18"/>
              </w:rPr>
              <w:t>TA4</w:t>
            </w:r>
            <w:r w:rsidR="0051183A">
              <w:rPr>
                <w:sz w:val="18"/>
                <w:szCs w:val="18"/>
              </w:rPr>
              <w:t xml:space="preserve"> </w:t>
            </w:r>
            <w:r w:rsidR="0051183A">
              <w:rPr>
                <w:sz w:val="18"/>
                <w:szCs w:val="18"/>
              </w:rPr>
              <w:br/>
            </w:r>
            <w:r w:rsidRPr="0051183A">
              <w:rPr>
                <w:sz w:val="18"/>
                <w:szCs w:val="18"/>
              </w:rPr>
              <w:t>TT9</w:t>
            </w:r>
          </w:p>
        </w:tc>
        <w:tc>
          <w:tcPr>
            <w:tcW w:w="879" w:type="dxa"/>
            <w:shd w:val="clear" w:color="auto" w:fill="auto"/>
          </w:tcPr>
          <w:p w:rsidR="003D5A2F" w:rsidRPr="0051183A" w:rsidRDefault="003D5A2F" w:rsidP="003D5A2F">
            <w:pPr>
              <w:spacing w:before="40" w:after="120"/>
              <w:ind w:right="113"/>
              <w:rPr>
                <w:sz w:val="18"/>
                <w:szCs w:val="18"/>
              </w:rPr>
            </w:pPr>
            <w:r w:rsidRPr="0051183A">
              <w:rPr>
                <w:sz w:val="18"/>
                <w:szCs w:val="18"/>
              </w:rPr>
              <w:t>-</w:t>
            </w:r>
          </w:p>
        </w:tc>
        <w:tc>
          <w:tcPr>
            <w:tcW w:w="879" w:type="dxa"/>
            <w:shd w:val="clear" w:color="auto" w:fill="auto"/>
          </w:tcPr>
          <w:p w:rsidR="003D5A2F" w:rsidRPr="0051183A" w:rsidRDefault="003D5A2F" w:rsidP="0051183A">
            <w:pPr>
              <w:spacing w:before="40" w:after="120"/>
              <w:ind w:right="113"/>
              <w:rPr>
                <w:sz w:val="18"/>
                <w:szCs w:val="18"/>
              </w:rPr>
            </w:pPr>
            <w:r w:rsidRPr="0051183A">
              <w:rPr>
                <w:sz w:val="18"/>
                <w:szCs w:val="18"/>
              </w:rPr>
              <w:t>S2</w:t>
            </w:r>
            <w:r w:rsidR="0051183A">
              <w:rPr>
                <w:sz w:val="18"/>
                <w:szCs w:val="18"/>
              </w:rPr>
              <w:t xml:space="preserve"> </w:t>
            </w:r>
            <w:r w:rsidR="0051183A">
              <w:rPr>
                <w:sz w:val="18"/>
                <w:szCs w:val="18"/>
              </w:rPr>
              <w:br/>
            </w:r>
            <w:r w:rsidRPr="0051183A">
              <w:rPr>
                <w:sz w:val="18"/>
                <w:szCs w:val="18"/>
              </w:rPr>
              <w:t>S20</w:t>
            </w:r>
          </w:p>
        </w:tc>
        <w:tc>
          <w:tcPr>
            <w:tcW w:w="879" w:type="dxa"/>
            <w:shd w:val="clear" w:color="auto" w:fill="auto"/>
          </w:tcPr>
          <w:p w:rsidR="003D5A2F" w:rsidRPr="0051183A" w:rsidRDefault="003D5A2F" w:rsidP="003D5A2F">
            <w:pPr>
              <w:spacing w:before="40" w:after="120"/>
              <w:ind w:right="113"/>
              <w:rPr>
                <w:sz w:val="18"/>
                <w:szCs w:val="18"/>
              </w:rPr>
            </w:pPr>
            <w:r w:rsidRPr="0051183A">
              <w:rPr>
                <w:sz w:val="18"/>
                <w:szCs w:val="18"/>
              </w:rPr>
              <w:t>23</w:t>
            </w:r>
          </w:p>
        </w:tc>
      </w:tr>
    </w:tbl>
    <w:p w:rsidR="00A324EE" w:rsidRPr="002B2103" w:rsidRDefault="00A324EE" w:rsidP="006750C0">
      <w:pPr>
        <w:pStyle w:val="SingleTxtG"/>
        <w:spacing w:before="240"/>
      </w:pPr>
      <w:r w:rsidRPr="003D5A2F">
        <w:t>11.</w:t>
      </w:r>
      <w:r w:rsidRPr="003D5A2F">
        <w:tab/>
        <w:t>Malgré ces différences, on peut considérer que les conditions de transport de bas</w:t>
      </w:r>
      <w:r w:rsidRPr="002B2103">
        <w:t>e</w:t>
      </w:r>
      <w:r w:rsidR="0082161B" w:rsidRPr="002B2103">
        <w:t xml:space="preserve"> </w:t>
      </w:r>
      <w:r w:rsidRPr="002B2103">
        <w:t>sont les mêmes pour tous les modes. Les principales différences résident dans les DS applicables. Comme précédemment dans le Règlement type, seule la disposition spéciale 386, applicable au numéro ONU 1010, donne des précisions sur la stabilisation.</w:t>
      </w:r>
    </w:p>
    <w:p w:rsidR="00A324EE" w:rsidRPr="002B2103" w:rsidRDefault="00A324EE" w:rsidP="0051183A">
      <w:pPr>
        <w:pStyle w:val="HChG"/>
      </w:pPr>
      <w:r w:rsidRPr="002B2103">
        <w:lastRenderedPageBreak/>
        <w:tab/>
      </w:r>
      <w:r w:rsidR="003D5A2F">
        <w:tab/>
      </w:r>
      <w:r w:rsidRPr="002B2103">
        <w:t>Analyse</w:t>
      </w:r>
    </w:p>
    <w:p w:rsidR="00A324EE" w:rsidRPr="002B2103" w:rsidRDefault="00A324EE" w:rsidP="00A324EE">
      <w:pPr>
        <w:pStyle w:val="SingleTxtG"/>
      </w:pPr>
      <w:r w:rsidRPr="002B2103">
        <w:t>12.</w:t>
      </w:r>
      <w:r w:rsidRPr="002B2103">
        <w:tab/>
        <w:t>L’analyse d’autres numéros ONU qui pourraient être utilisés pour le transport de</w:t>
      </w:r>
      <w:r w:rsidR="0082161B" w:rsidRPr="002B2103">
        <w:t xml:space="preserve"> </w:t>
      </w:r>
      <w:r w:rsidR="003D5A2F">
        <w:rPr>
          <w:iCs/>
        </w:rPr>
        <w:t>matières contenant moins de 40 </w:t>
      </w:r>
      <w:r w:rsidRPr="002B2103">
        <w:rPr>
          <w:iCs/>
        </w:rPr>
        <w:t xml:space="preserve">% de butadiènes </w:t>
      </w:r>
      <w:r w:rsidRPr="002B2103">
        <w:t>montre que les conditions de transport sont</w:t>
      </w:r>
      <w:r w:rsidR="0082161B" w:rsidRPr="002B2103">
        <w:t xml:space="preserve"> </w:t>
      </w:r>
      <w:r w:rsidRPr="002B2103">
        <w:t>semblables pour les autres numéros ONU les plus courants. Néanmoins, en ce qui concerne la stab</w:t>
      </w:r>
      <w:r w:rsidR="003D5A2F">
        <w:t>ilisation, le nom du numéro ONU 1010 et la DS </w:t>
      </w:r>
      <w:r w:rsidRPr="002B2103">
        <w:t xml:space="preserve">386 indiquent clairement la nécessité d’une stabilisation, ce qui n’est pas le cas pour les autres numéros ONU. </w:t>
      </w:r>
    </w:p>
    <w:p w:rsidR="00A324EE" w:rsidRPr="002B2103" w:rsidRDefault="00A324EE" w:rsidP="003D5A2F">
      <w:pPr>
        <w:pStyle w:val="SingleTxtG"/>
        <w:keepNext/>
        <w:keepLines/>
      </w:pPr>
      <w:r w:rsidRPr="002B2103">
        <w:t>13.</w:t>
      </w:r>
      <w:r w:rsidRPr="002B2103">
        <w:tab/>
        <w:t>La décision d’introduire dans le RID/A</w:t>
      </w:r>
      <w:r w:rsidR="003D5A2F">
        <w:t>DR une définition du numéro ONU </w:t>
      </w:r>
      <w:r w:rsidRPr="002B2103">
        <w:t>1010 différente de celle du Règlement type a été prise il y a</w:t>
      </w:r>
      <w:r w:rsidR="003D5A2F">
        <w:t xml:space="preserve"> plusieurs années. Depuis lors :</w:t>
      </w:r>
    </w:p>
    <w:p w:rsidR="00A324EE" w:rsidRPr="002B2103" w:rsidRDefault="00A324EE" w:rsidP="003D5A2F">
      <w:pPr>
        <w:pStyle w:val="Bullet1G"/>
      </w:pPr>
      <w:r w:rsidRPr="002B2103">
        <w:t>Aucun accident, incident ou problème notoire n’a été observé aux États-Unis d’Amérique dans le cadre du transport de</w:t>
      </w:r>
      <w:r w:rsidR="0082161B" w:rsidRPr="002B2103">
        <w:t xml:space="preserve"> </w:t>
      </w:r>
      <w:r w:rsidRPr="002B2103">
        <w:t>matières correspondant au nom et à la description du numéro O</w:t>
      </w:r>
      <w:r w:rsidR="003D5A2F">
        <w:t>NU 1010 dans le Règlement type ;</w:t>
      </w:r>
    </w:p>
    <w:p w:rsidR="00A324EE" w:rsidRPr="002B2103" w:rsidRDefault="00A324EE" w:rsidP="003D5A2F">
      <w:pPr>
        <w:pStyle w:val="Bullet1G"/>
      </w:pPr>
      <w:r w:rsidRPr="002B2103">
        <w:t>En Espagne, et dans d’autres pays ayant été consultés, on ne transporte pas de butadiènes ni de mélanges contenant moins de 40 % de butadiènes</w:t>
      </w:r>
      <w:r w:rsidR="003D5A2F">
        <w:t> ;</w:t>
      </w:r>
    </w:p>
    <w:p w:rsidR="00A324EE" w:rsidRPr="002B2103" w:rsidRDefault="00A324EE" w:rsidP="003D5A2F">
      <w:pPr>
        <w:pStyle w:val="Bullet1G"/>
      </w:pPr>
      <w:r w:rsidRPr="002B2103">
        <w:t xml:space="preserve"> Il a été ajouté au RID/ADR un paragraphe, 2.2.2.2.1, indiquant d’une manière générale que les gaz chimiquement instables ne sont pas acceptés au transport à moins que les précautions nécessaires aient été prises pour en prévenir une éventuelle décomposition ou polymérisation dangereuse.</w:t>
      </w:r>
    </w:p>
    <w:p w:rsidR="00A324EE" w:rsidRPr="002B2103" w:rsidRDefault="00A324EE" w:rsidP="00A324EE">
      <w:pPr>
        <w:pStyle w:val="SingleTxtG"/>
      </w:pPr>
      <w:r w:rsidRPr="002B2103">
        <w:t>14.</w:t>
      </w:r>
      <w:r w:rsidRPr="002B2103">
        <w:tab/>
        <w:t xml:space="preserve">Selon le paragraphe 2.2.2.2.1 du RID/ADR, </w:t>
      </w:r>
      <w:r w:rsidRPr="002B2103">
        <w:rPr>
          <w:iCs/>
        </w:rPr>
        <w:t>même si des</w:t>
      </w:r>
      <w:r w:rsidR="0082161B" w:rsidRPr="002B2103">
        <w:rPr>
          <w:iCs/>
        </w:rPr>
        <w:t xml:space="preserve"> </w:t>
      </w:r>
      <w:r w:rsidR="003D5A2F">
        <w:rPr>
          <w:iCs/>
        </w:rPr>
        <w:t>matières contenant moins de 40 </w:t>
      </w:r>
      <w:r w:rsidRPr="002B2103">
        <w:rPr>
          <w:iCs/>
        </w:rPr>
        <w:t xml:space="preserve">% de butadiènes étaient transportées </w:t>
      </w:r>
      <w:r w:rsidRPr="002B2103">
        <w:t xml:space="preserve">sous d’autres numéros ONU, </w:t>
      </w:r>
      <w:r w:rsidRPr="002B2103">
        <w:rPr>
          <w:iCs/>
        </w:rPr>
        <w:t>il faudrait prendre les précautions nécessaires (stabilis</w:t>
      </w:r>
      <w:r w:rsidR="003D5A2F">
        <w:rPr>
          <w:iCs/>
        </w:rPr>
        <w:t>ation), quel que soit le numéro </w:t>
      </w:r>
      <w:r w:rsidRPr="002B2103">
        <w:rPr>
          <w:iCs/>
        </w:rPr>
        <w:t xml:space="preserve">ONU </w:t>
      </w:r>
      <w:r w:rsidRPr="002B2103">
        <w:t>correspondant à ces</w:t>
      </w:r>
      <w:r w:rsidR="0082161B" w:rsidRPr="002B2103">
        <w:t xml:space="preserve"> </w:t>
      </w:r>
      <w:r w:rsidRPr="002B2103">
        <w:t>matières.</w:t>
      </w:r>
    </w:p>
    <w:p w:rsidR="00A324EE" w:rsidRPr="002B2103" w:rsidRDefault="00A324EE" w:rsidP="00A324EE">
      <w:pPr>
        <w:pStyle w:val="SingleTxtG"/>
      </w:pPr>
      <w:r w:rsidRPr="002B2103">
        <w:t>15.</w:t>
      </w:r>
      <w:r w:rsidRPr="002B2103">
        <w:tab/>
        <w:t>Le transport des butadiènes est effectué pour un très petit nombre d’entreprises. Ces entreprises ont les moyens d’effectuer une classification en décidant au cas par cas quelle classification est la plus appropriée. De plus, elles savent bien</w:t>
      </w:r>
      <w:r w:rsidR="0082161B" w:rsidRPr="002B2103">
        <w:t xml:space="preserve"> </w:t>
      </w:r>
      <w:r w:rsidRPr="002B2103">
        <w:t>dans quelles conditions leur produit doit être stabilisé.</w:t>
      </w:r>
    </w:p>
    <w:p w:rsidR="00A324EE" w:rsidRPr="002B2103" w:rsidRDefault="00A324EE" w:rsidP="00A324EE">
      <w:pPr>
        <w:pStyle w:val="SingleTxtG"/>
      </w:pPr>
      <w:r w:rsidRPr="002B2103">
        <w:t>16.</w:t>
      </w:r>
      <w:r w:rsidRPr="002B2103">
        <w:tab/>
        <w:t>Compte tenu de l’ensemble des éléments présentés ci-dessus, la modification du nom et de la description du</w:t>
      </w:r>
      <w:r w:rsidR="003D5A2F">
        <w:t xml:space="preserve"> numéro ONU </w:t>
      </w:r>
      <w:r w:rsidRPr="002B2103">
        <w:t>1010 de manière à ce qu’ils correspondent à ceux qui figurent dans le Règlement type n’aurait pas de conséquences importantes, y compris du point de vue de la sécurité, mais permettrait une harmonisation avec le Règlement type et avec d’autres modes de transport, ainsi qu’un allégement des charges administratives.</w:t>
      </w:r>
    </w:p>
    <w:p w:rsidR="00A324EE" w:rsidRPr="002B2103" w:rsidRDefault="00A324EE" w:rsidP="00A324EE">
      <w:pPr>
        <w:pStyle w:val="SingleTxtG"/>
      </w:pPr>
      <w:r w:rsidRPr="002B2103">
        <w:t>17.</w:t>
      </w:r>
      <w:r w:rsidRPr="002B2103">
        <w:tab/>
        <w:t>En outre, s’il est jugé nécessaire de conserver une référence directe à la stabilisation, une disposition spéciale</w:t>
      </w:r>
      <w:r w:rsidR="0082161B" w:rsidRPr="002B2103">
        <w:t xml:space="preserve"> </w:t>
      </w:r>
      <w:r w:rsidRPr="002B2103">
        <w:t>s’appliquant au numéro ONU 1010 pourrait être introduite pour indiquer la nécessité d’évaluer si une stabilisation est nécessaire dans chaque cas, même si la teneur en butadiènes</w:t>
      </w:r>
      <w:r w:rsidR="003D5A2F">
        <w:t xml:space="preserve"> du mélange est inférieure à 40 </w:t>
      </w:r>
      <w:r w:rsidRPr="002B2103">
        <w:t xml:space="preserve">%. Cette proposition a été </w:t>
      </w:r>
      <w:r w:rsidR="003D5A2F">
        <w:t>incluse en tant que proposition </w:t>
      </w:r>
      <w:r w:rsidRPr="002B2103">
        <w:t>2 et peut être adoptée en complément de la propositi</w:t>
      </w:r>
      <w:r w:rsidR="003D5A2F">
        <w:t>on </w:t>
      </w:r>
      <w:r w:rsidRPr="002B2103">
        <w:t xml:space="preserve">1. </w:t>
      </w:r>
    </w:p>
    <w:p w:rsidR="00A324EE" w:rsidRPr="002B2103" w:rsidRDefault="00A324EE" w:rsidP="0051183A">
      <w:pPr>
        <w:pStyle w:val="HChG"/>
      </w:pPr>
      <w:r w:rsidRPr="002B2103">
        <w:tab/>
      </w:r>
      <w:r w:rsidR="003D5A2F">
        <w:tab/>
      </w:r>
      <w:r w:rsidRPr="002B2103">
        <w:t>Propositions</w:t>
      </w:r>
    </w:p>
    <w:p w:rsidR="00A324EE" w:rsidRPr="002B2103" w:rsidRDefault="00A324EE" w:rsidP="0051183A">
      <w:pPr>
        <w:pStyle w:val="H1G"/>
      </w:pPr>
      <w:r w:rsidRPr="002B2103">
        <w:tab/>
      </w:r>
      <w:r w:rsidR="003D5A2F">
        <w:tab/>
        <w:t>Proposition </w:t>
      </w:r>
      <w:r w:rsidRPr="002B2103">
        <w:t>1</w:t>
      </w:r>
    </w:p>
    <w:p w:rsidR="00A324EE" w:rsidRPr="002B2103" w:rsidRDefault="00A324EE" w:rsidP="00A324EE">
      <w:pPr>
        <w:pStyle w:val="SingleTxtG"/>
      </w:pPr>
      <w:r w:rsidRPr="002B2103">
        <w:t>18.</w:t>
      </w:r>
      <w:r w:rsidRPr="002B2103">
        <w:tab/>
        <w:t>L’Espagne propose d’harmoniser le nom et la description du numéro ONU 1010 dans le RID/ADR avec ceux du Règlement type, comme suit :</w:t>
      </w:r>
    </w:p>
    <w:p w:rsidR="00A324EE" w:rsidRPr="002B2103" w:rsidRDefault="003D5A2F" w:rsidP="00A324EE">
      <w:pPr>
        <w:pStyle w:val="SingleTxtG"/>
      </w:pPr>
      <w:r>
        <w:t>« </w:t>
      </w:r>
      <w:r w:rsidR="00A324EE" w:rsidRPr="002B2103">
        <w:rPr>
          <w:iCs/>
        </w:rPr>
        <w:t>N</w:t>
      </w:r>
      <w:r>
        <w:rPr>
          <w:iCs/>
        </w:rPr>
        <w:t>uméro ONU </w:t>
      </w:r>
      <w:r w:rsidR="00A324EE" w:rsidRPr="002B2103">
        <w:rPr>
          <w:iCs/>
        </w:rPr>
        <w:t xml:space="preserve">1010 BUTADIÈNES STABILISÉS ou BUTADIÈNES ET HYDROCARBURES EN MÉLANGE </w:t>
      </w:r>
      <w:r>
        <w:rPr>
          <w:iCs/>
        </w:rPr>
        <w:t>STABILISÉ, contenant plus de 40 % de butadiènes </w:t>
      </w:r>
      <w:r w:rsidR="00A324EE" w:rsidRPr="002B2103">
        <w:t>».</w:t>
      </w:r>
    </w:p>
    <w:p w:rsidR="00A324EE" w:rsidRPr="002B2103" w:rsidRDefault="00A324EE" w:rsidP="00A324EE">
      <w:pPr>
        <w:pStyle w:val="SingleTxtG"/>
      </w:pPr>
      <w:r w:rsidRPr="002B2103">
        <w:t xml:space="preserve">Ce nom et cette description doivent également être modifiés </w:t>
      </w:r>
      <w:r w:rsidRPr="002B2103">
        <w:rPr>
          <w:iCs/>
        </w:rPr>
        <w:t xml:space="preserve">dans la liste des rubriques collectives </w:t>
      </w:r>
      <w:r w:rsidRPr="002B2103">
        <w:t xml:space="preserve">au paragraphe 2.2.2.3 et dans </w:t>
      </w:r>
      <w:r w:rsidR="003D5A2F">
        <w:t>les tableaux A et B du chapitre </w:t>
      </w:r>
      <w:r w:rsidRPr="002B2103">
        <w:t>3.2 du RID/ADR.</w:t>
      </w:r>
    </w:p>
    <w:p w:rsidR="00A324EE" w:rsidRPr="002B2103" w:rsidRDefault="00A324EE" w:rsidP="0051183A">
      <w:pPr>
        <w:pStyle w:val="H1G"/>
      </w:pPr>
      <w:r w:rsidRPr="002B2103">
        <w:lastRenderedPageBreak/>
        <w:tab/>
      </w:r>
      <w:r w:rsidR="003D5A2F">
        <w:tab/>
        <w:t>Proposition </w:t>
      </w:r>
      <w:r w:rsidRPr="002B2103">
        <w:t>2</w:t>
      </w:r>
    </w:p>
    <w:p w:rsidR="00A324EE" w:rsidRPr="002B2103" w:rsidRDefault="00A324EE" w:rsidP="00A324EE">
      <w:pPr>
        <w:pStyle w:val="SingleTxtG"/>
      </w:pPr>
      <w:r w:rsidRPr="002B2103">
        <w:t>19.</w:t>
      </w:r>
      <w:r w:rsidRPr="002B2103">
        <w:tab/>
        <w:t>En plus de la proposition</w:t>
      </w:r>
      <w:r w:rsidR="003D5A2F">
        <w:t> </w:t>
      </w:r>
      <w:r w:rsidRPr="002B2103">
        <w:t>1, la disposition spéciale suivante peut être intr</w:t>
      </w:r>
      <w:r w:rsidR="003D5A2F">
        <w:t>oduite pour le numéro ONU 1010 :</w:t>
      </w:r>
    </w:p>
    <w:p w:rsidR="00A324EE" w:rsidRPr="002B2103" w:rsidRDefault="00A324EE" w:rsidP="00A324EE">
      <w:pPr>
        <w:pStyle w:val="SingleTxtG"/>
        <w:rPr>
          <w:u w:val="single"/>
        </w:rPr>
      </w:pPr>
      <w:r w:rsidRPr="00FA42EB">
        <w:rPr>
          <w:spacing w:val="-3"/>
        </w:rPr>
        <w:t>« DS XXX Pour les butadiènes ou les mélanges de butadiènes et d’hydrocarbures n’ayant pas la teneur minimale en butadiène correspondant à cette rubrique, la nécessité d’une stabilisation pendant le transport doit être analysée [conformém</w:t>
      </w:r>
      <w:r w:rsidR="003D5A2F" w:rsidRPr="00FA42EB">
        <w:rPr>
          <w:spacing w:val="-3"/>
        </w:rPr>
        <w:t>ent au paragraphe 2.2.2.2.1]. </w:t>
      </w:r>
      <w:r w:rsidR="003D5A2F">
        <w:t>»</w:t>
      </w:r>
    </w:p>
    <w:p w:rsidR="00A324EE" w:rsidRPr="003D5A2F" w:rsidRDefault="003D5A2F" w:rsidP="003D5A2F">
      <w:pPr>
        <w:pStyle w:val="SingleTxtG"/>
        <w:spacing w:before="240" w:after="0"/>
        <w:jc w:val="center"/>
        <w:rPr>
          <w:u w:val="single"/>
        </w:rPr>
      </w:pPr>
      <w:r>
        <w:rPr>
          <w:u w:val="single"/>
        </w:rPr>
        <w:tab/>
      </w:r>
      <w:r>
        <w:rPr>
          <w:u w:val="single"/>
        </w:rPr>
        <w:tab/>
      </w:r>
      <w:r>
        <w:rPr>
          <w:u w:val="single"/>
        </w:rPr>
        <w:tab/>
      </w:r>
    </w:p>
    <w:sectPr w:rsidR="00A324EE" w:rsidRPr="003D5A2F" w:rsidSect="00A324EE">
      <w:headerReference w:type="even" r:id="rId8"/>
      <w:headerReference w:type="default" r:id="rId9"/>
      <w:footerReference w:type="even" r:id="rId10"/>
      <w:footerReference w:type="default" r:id="rId11"/>
      <w:footerReference w:type="first" r:id="rId12"/>
      <w:footnotePr>
        <w:numFmt w:val="chicago"/>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4F4" w:rsidRDefault="00A214F4" w:rsidP="00F95C08">
      <w:pPr>
        <w:spacing w:line="240" w:lineRule="auto"/>
      </w:pPr>
    </w:p>
  </w:endnote>
  <w:endnote w:type="continuationSeparator" w:id="0">
    <w:p w:rsidR="00A214F4" w:rsidRPr="00AC3823" w:rsidRDefault="00A214F4" w:rsidP="00AC3823">
      <w:pPr>
        <w:pStyle w:val="Footer"/>
      </w:pPr>
    </w:p>
  </w:endnote>
  <w:endnote w:type="continuationNotice" w:id="1">
    <w:p w:rsidR="00A214F4" w:rsidRDefault="00A214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4EE" w:rsidRPr="00A324EE" w:rsidRDefault="00A324EE" w:rsidP="00A324EE">
    <w:pPr>
      <w:pStyle w:val="Footer"/>
      <w:tabs>
        <w:tab w:val="right" w:pos="9638"/>
      </w:tabs>
    </w:pPr>
    <w:r w:rsidRPr="00A324EE">
      <w:rPr>
        <w:b/>
        <w:sz w:val="18"/>
      </w:rPr>
      <w:fldChar w:fldCharType="begin"/>
    </w:r>
    <w:r w:rsidRPr="00A324EE">
      <w:rPr>
        <w:b/>
        <w:sz w:val="18"/>
      </w:rPr>
      <w:instrText xml:space="preserve"> PAGE  \* MERGEFORMAT </w:instrText>
    </w:r>
    <w:r w:rsidRPr="00A324EE">
      <w:rPr>
        <w:b/>
        <w:sz w:val="18"/>
      </w:rPr>
      <w:fldChar w:fldCharType="separate"/>
    </w:r>
    <w:r w:rsidR="00F74643">
      <w:rPr>
        <w:b/>
        <w:noProof/>
        <w:sz w:val="18"/>
      </w:rPr>
      <w:t>4</w:t>
    </w:r>
    <w:r w:rsidRPr="00A324EE">
      <w:rPr>
        <w:b/>
        <w:sz w:val="18"/>
      </w:rPr>
      <w:fldChar w:fldCharType="end"/>
    </w:r>
    <w:r>
      <w:rPr>
        <w:b/>
        <w:sz w:val="18"/>
      </w:rPr>
      <w:tab/>
    </w:r>
    <w:r>
      <w:t>GE.18-22802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4EE" w:rsidRPr="00A324EE" w:rsidRDefault="00A324EE" w:rsidP="00A324EE">
    <w:pPr>
      <w:pStyle w:val="Footer"/>
      <w:tabs>
        <w:tab w:val="right" w:pos="9638"/>
      </w:tabs>
      <w:rPr>
        <w:b/>
        <w:sz w:val="18"/>
      </w:rPr>
    </w:pPr>
    <w:r>
      <w:t>GE.18-22802</w:t>
    </w:r>
    <w:r>
      <w:tab/>
    </w:r>
    <w:r w:rsidRPr="00A324EE">
      <w:rPr>
        <w:b/>
        <w:sz w:val="18"/>
      </w:rPr>
      <w:fldChar w:fldCharType="begin"/>
    </w:r>
    <w:r w:rsidRPr="00A324EE">
      <w:rPr>
        <w:b/>
        <w:sz w:val="18"/>
      </w:rPr>
      <w:instrText xml:space="preserve"> PAGE  \* MERGEFORMAT </w:instrText>
    </w:r>
    <w:r w:rsidRPr="00A324EE">
      <w:rPr>
        <w:b/>
        <w:sz w:val="18"/>
      </w:rPr>
      <w:fldChar w:fldCharType="separate"/>
    </w:r>
    <w:r w:rsidR="00F74643">
      <w:rPr>
        <w:b/>
        <w:noProof/>
        <w:sz w:val="18"/>
      </w:rPr>
      <w:t>5</w:t>
    </w:r>
    <w:r w:rsidRPr="00A324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A324EE" w:rsidRDefault="00A324EE" w:rsidP="00A324EE">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18-22802</w:t>
    </w:r>
    <w:r w:rsidR="0082161B">
      <w:rPr>
        <w:sz w:val="20"/>
      </w:rPr>
      <w:t xml:space="preserve"> </w:t>
    </w:r>
    <w:r>
      <w:rPr>
        <w:sz w:val="20"/>
      </w:rPr>
      <w:t>(F)</w:t>
    </w:r>
    <w:r w:rsidR="0082161B">
      <w:rPr>
        <w:sz w:val="20"/>
      </w:rPr>
      <w:t xml:space="preserve">  </w:t>
    </w:r>
    <w:r w:rsidR="003D5A2F">
      <w:rPr>
        <w:sz w:val="20"/>
      </w:rPr>
      <w:t xml:space="preserve">  </w:t>
    </w:r>
    <w:r>
      <w:rPr>
        <w:sz w:val="20"/>
      </w:rPr>
      <w:t>180119</w:t>
    </w:r>
    <w:r w:rsidR="0082161B">
      <w:rPr>
        <w:sz w:val="20"/>
      </w:rPr>
      <w:t xml:space="preserve">  </w:t>
    </w:r>
    <w:r w:rsidR="003D5A2F">
      <w:rPr>
        <w:sz w:val="20"/>
      </w:rPr>
      <w:t xml:space="preserve">  </w:t>
    </w:r>
    <w:r>
      <w:rPr>
        <w:sz w:val="20"/>
      </w:rPr>
      <w:t>290119</w:t>
    </w:r>
    <w:r>
      <w:rPr>
        <w:sz w:val="20"/>
      </w:rPr>
      <w:br/>
    </w:r>
    <w:r w:rsidRPr="00A324EE">
      <w:rPr>
        <w:rFonts w:ascii="C39T30Lfz" w:hAnsi="C39T30Lfz"/>
        <w:sz w:val="56"/>
      </w:rPr>
      <w:t></w:t>
    </w:r>
    <w:r w:rsidRPr="00A324EE">
      <w:rPr>
        <w:rFonts w:ascii="C39T30Lfz" w:hAnsi="C39T30Lfz"/>
        <w:sz w:val="56"/>
      </w:rPr>
      <w:t></w:t>
    </w:r>
    <w:r w:rsidRPr="00A324EE">
      <w:rPr>
        <w:rFonts w:ascii="C39T30Lfz" w:hAnsi="C39T30Lfz"/>
        <w:sz w:val="56"/>
      </w:rPr>
      <w:t></w:t>
    </w:r>
    <w:r w:rsidRPr="00A324EE">
      <w:rPr>
        <w:rFonts w:ascii="C39T30Lfz" w:hAnsi="C39T30Lfz"/>
        <w:sz w:val="56"/>
      </w:rPr>
      <w:t></w:t>
    </w:r>
    <w:r w:rsidRPr="00A324EE">
      <w:rPr>
        <w:rFonts w:ascii="C39T30Lfz" w:hAnsi="C39T30Lfz"/>
        <w:sz w:val="56"/>
      </w:rPr>
      <w:t></w:t>
    </w:r>
    <w:r w:rsidRPr="00A324EE">
      <w:rPr>
        <w:rFonts w:ascii="C39T30Lfz" w:hAnsi="C39T30Lfz"/>
        <w:sz w:val="56"/>
      </w:rPr>
      <w:t></w:t>
    </w:r>
    <w:r w:rsidRPr="00A324EE">
      <w:rPr>
        <w:rFonts w:ascii="C39T30Lfz" w:hAnsi="C39T30Lfz"/>
        <w:sz w:val="56"/>
      </w:rPr>
      <w:t></w:t>
    </w:r>
    <w:r w:rsidRPr="00A324EE">
      <w:rPr>
        <w:rFonts w:ascii="C39T30Lfz" w:hAnsi="C39T30Lfz"/>
        <w:sz w:val="56"/>
      </w:rPr>
      <w:t></w:t>
    </w:r>
    <w:r w:rsidRPr="00A324EE">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4F4" w:rsidRPr="00AC3823" w:rsidRDefault="00A214F4" w:rsidP="00AC3823">
      <w:pPr>
        <w:pStyle w:val="Footer"/>
        <w:tabs>
          <w:tab w:val="right" w:pos="2155"/>
        </w:tabs>
        <w:spacing w:after="80" w:line="240" w:lineRule="atLeast"/>
        <w:ind w:left="680"/>
        <w:rPr>
          <w:u w:val="single"/>
        </w:rPr>
      </w:pPr>
      <w:r>
        <w:rPr>
          <w:u w:val="single"/>
        </w:rPr>
        <w:tab/>
      </w:r>
    </w:p>
  </w:footnote>
  <w:footnote w:type="continuationSeparator" w:id="0">
    <w:p w:rsidR="00A214F4" w:rsidRPr="00AC3823" w:rsidRDefault="00A214F4" w:rsidP="00AC3823">
      <w:pPr>
        <w:pStyle w:val="Footer"/>
        <w:tabs>
          <w:tab w:val="right" w:pos="2155"/>
        </w:tabs>
        <w:spacing w:after="80" w:line="240" w:lineRule="atLeast"/>
        <w:ind w:left="680"/>
        <w:rPr>
          <w:u w:val="single"/>
        </w:rPr>
      </w:pPr>
      <w:r>
        <w:rPr>
          <w:u w:val="single"/>
        </w:rPr>
        <w:tab/>
      </w:r>
    </w:p>
  </w:footnote>
  <w:footnote w:type="continuationNotice" w:id="1">
    <w:p w:rsidR="00A214F4" w:rsidRPr="00AC3823" w:rsidRDefault="00A214F4">
      <w:pPr>
        <w:spacing w:line="240" w:lineRule="auto"/>
        <w:rPr>
          <w:sz w:val="2"/>
          <w:szCs w:val="2"/>
        </w:rPr>
      </w:pPr>
    </w:p>
  </w:footnote>
  <w:footnote w:id="2">
    <w:p w:rsidR="00A324EE" w:rsidRPr="006E5117" w:rsidRDefault="00A324EE" w:rsidP="00A324EE">
      <w:pPr>
        <w:pStyle w:val="FootnoteText"/>
      </w:pPr>
      <w:r>
        <w:rPr>
          <w:lang w:val="fr-FR"/>
        </w:rPr>
        <w:tab/>
      </w:r>
      <w:r>
        <w:rPr>
          <w:rStyle w:val="FootnoteReference"/>
        </w:rPr>
        <w:footnoteRef/>
      </w:r>
      <w:r>
        <w:rPr>
          <w:lang w:val="fr-FR"/>
        </w:rPr>
        <w:tab/>
        <w:t>Conformément au programme de travail du Comité des transports intérieurs pour la période 2018</w:t>
      </w:r>
      <w:r>
        <w:rPr>
          <w:lang w:val="fr-FR"/>
        </w:rPr>
        <w:noBreakHyphen/>
        <w:t>20</w:t>
      </w:r>
      <w:r w:rsidR="003D5A2F">
        <w:rPr>
          <w:lang w:val="fr-FR"/>
        </w:rPr>
        <w:t>19 (ECE/TRANS/WP.15/237, annexe </w:t>
      </w:r>
      <w:r>
        <w:rPr>
          <w:lang w:val="fr-FR"/>
        </w:rPr>
        <w:t>V (9.2)).</w:t>
      </w:r>
    </w:p>
  </w:footnote>
  <w:footnote w:id="3">
    <w:p w:rsidR="00A324EE" w:rsidRPr="00004AD5" w:rsidRDefault="00A324EE" w:rsidP="00A324EE">
      <w:pPr>
        <w:pStyle w:val="FootnoteText"/>
      </w:pPr>
      <w:r>
        <w:rPr>
          <w:lang w:val="fr-FR"/>
        </w:rPr>
        <w:tab/>
      </w:r>
      <w:r>
        <w:rPr>
          <w:vertAlign w:val="superscript"/>
          <w:lang w:val="fr-FR"/>
        </w:rPr>
        <w:t>**</w:t>
      </w:r>
      <w:r>
        <w:rPr>
          <w:lang w:val="fr-FR"/>
        </w:rPr>
        <w:tab/>
        <w:t>Diffusée par l’Organisation intergouvernementale pour les transports internationaux ferroviaires (OTIF) sous la cote OTIF/RID/RC/2019/16.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4EE" w:rsidRPr="00A324EE" w:rsidRDefault="00F74643">
    <w:pPr>
      <w:pStyle w:val="Header"/>
    </w:pPr>
    <w:fldSimple w:instr=" TITLE  \* MERGEFORMAT ">
      <w:r>
        <w:t>ECE/TRANS/WP.15/AC.1/2019/16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4EE" w:rsidRPr="00A324EE" w:rsidRDefault="00F74643" w:rsidP="00A324EE">
    <w:pPr>
      <w:pStyle w:val="Header"/>
      <w:jc w:val="right"/>
    </w:pPr>
    <w:fldSimple w:instr=" TITLE  \* MERGEFORMAT ">
      <w:r>
        <w:t>ECE/TRANS/WP.15/AC.1/2019/16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4483329"/>
    <w:multiLevelType w:val="hybridMultilevel"/>
    <w:tmpl w:val="FF54FF66"/>
    <w:lvl w:ilvl="0" w:tplc="0C0A0001">
      <w:start w:val="1"/>
      <w:numFmt w:val="bullet"/>
      <w:lvlText w:val=""/>
      <w:lvlJc w:val="left"/>
      <w:pPr>
        <w:ind w:left="1905" w:hanging="360"/>
      </w:pPr>
      <w:rPr>
        <w:rFonts w:ascii="Symbol" w:hAnsi="Symbol" w:hint="default"/>
      </w:rPr>
    </w:lvl>
    <w:lvl w:ilvl="1" w:tplc="0C0A0003" w:tentative="1">
      <w:start w:val="1"/>
      <w:numFmt w:val="bullet"/>
      <w:lvlText w:val="o"/>
      <w:lvlJc w:val="left"/>
      <w:pPr>
        <w:ind w:left="2625" w:hanging="360"/>
      </w:pPr>
      <w:rPr>
        <w:rFonts w:ascii="Courier New" w:hAnsi="Courier New" w:cs="Courier New" w:hint="default"/>
      </w:rPr>
    </w:lvl>
    <w:lvl w:ilvl="2" w:tplc="0C0A0005" w:tentative="1">
      <w:start w:val="1"/>
      <w:numFmt w:val="bullet"/>
      <w:lvlText w:val=""/>
      <w:lvlJc w:val="left"/>
      <w:pPr>
        <w:ind w:left="3345" w:hanging="360"/>
      </w:pPr>
      <w:rPr>
        <w:rFonts w:ascii="Wingdings" w:hAnsi="Wingdings" w:hint="default"/>
      </w:rPr>
    </w:lvl>
    <w:lvl w:ilvl="3" w:tplc="0C0A0001" w:tentative="1">
      <w:start w:val="1"/>
      <w:numFmt w:val="bullet"/>
      <w:lvlText w:val=""/>
      <w:lvlJc w:val="left"/>
      <w:pPr>
        <w:ind w:left="4065" w:hanging="360"/>
      </w:pPr>
      <w:rPr>
        <w:rFonts w:ascii="Symbol" w:hAnsi="Symbol" w:hint="default"/>
      </w:rPr>
    </w:lvl>
    <w:lvl w:ilvl="4" w:tplc="0C0A0003" w:tentative="1">
      <w:start w:val="1"/>
      <w:numFmt w:val="bullet"/>
      <w:lvlText w:val="o"/>
      <w:lvlJc w:val="left"/>
      <w:pPr>
        <w:ind w:left="4785" w:hanging="360"/>
      </w:pPr>
      <w:rPr>
        <w:rFonts w:ascii="Courier New" w:hAnsi="Courier New" w:cs="Courier New" w:hint="default"/>
      </w:rPr>
    </w:lvl>
    <w:lvl w:ilvl="5" w:tplc="0C0A0005" w:tentative="1">
      <w:start w:val="1"/>
      <w:numFmt w:val="bullet"/>
      <w:lvlText w:val=""/>
      <w:lvlJc w:val="left"/>
      <w:pPr>
        <w:ind w:left="5505" w:hanging="360"/>
      </w:pPr>
      <w:rPr>
        <w:rFonts w:ascii="Wingdings" w:hAnsi="Wingdings" w:hint="default"/>
      </w:rPr>
    </w:lvl>
    <w:lvl w:ilvl="6" w:tplc="0C0A0001" w:tentative="1">
      <w:start w:val="1"/>
      <w:numFmt w:val="bullet"/>
      <w:lvlText w:val=""/>
      <w:lvlJc w:val="left"/>
      <w:pPr>
        <w:ind w:left="6225" w:hanging="360"/>
      </w:pPr>
      <w:rPr>
        <w:rFonts w:ascii="Symbol" w:hAnsi="Symbol" w:hint="default"/>
      </w:rPr>
    </w:lvl>
    <w:lvl w:ilvl="7" w:tplc="0C0A0003" w:tentative="1">
      <w:start w:val="1"/>
      <w:numFmt w:val="bullet"/>
      <w:lvlText w:val="o"/>
      <w:lvlJc w:val="left"/>
      <w:pPr>
        <w:ind w:left="6945" w:hanging="360"/>
      </w:pPr>
      <w:rPr>
        <w:rFonts w:ascii="Courier New" w:hAnsi="Courier New" w:cs="Courier New" w:hint="default"/>
      </w:rPr>
    </w:lvl>
    <w:lvl w:ilvl="8" w:tplc="0C0A0005" w:tentative="1">
      <w:start w:val="1"/>
      <w:numFmt w:val="bullet"/>
      <w:lvlText w:val=""/>
      <w:lvlJc w:val="left"/>
      <w:pPr>
        <w:ind w:left="7665" w:hanging="360"/>
      </w:pPr>
      <w:rPr>
        <w:rFonts w:ascii="Wingdings" w:hAnsi="Wingdings" w:hint="default"/>
      </w:rPr>
    </w:lvl>
  </w:abstractNum>
  <w:abstractNum w:abstractNumId="12" w15:restartNumberingAfterBreak="0">
    <w:nsid w:val="25A31CCF"/>
    <w:multiLevelType w:val="hybridMultilevel"/>
    <w:tmpl w:val="D7208092"/>
    <w:lvl w:ilvl="0" w:tplc="0C0A0001">
      <w:start w:val="1"/>
      <w:numFmt w:val="bullet"/>
      <w:lvlText w:val=""/>
      <w:lvlJc w:val="left"/>
      <w:pPr>
        <w:ind w:left="1905" w:hanging="360"/>
      </w:pPr>
      <w:rPr>
        <w:rFonts w:ascii="Symbol" w:hAnsi="Symbol" w:hint="default"/>
      </w:rPr>
    </w:lvl>
    <w:lvl w:ilvl="1" w:tplc="0C0A0003" w:tentative="1">
      <w:start w:val="1"/>
      <w:numFmt w:val="bullet"/>
      <w:lvlText w:val="o"/>
      <w:lvlJc w:val="left"/>
      <w:pPr>
        <w:ind w:left="2625" w:hanging="360"/>
      </w:pPr>
      <w:rPr>
        <w:rFonts w:ascii="Courier New" w:hAnsi="Courier New" w:cs="Courier New" w:hint="default"/>
      </w:rPr>
    </w:lvl>
    <w:lvl w:ilvl="2" w:tplc="0C0A0005" w:tentative="1">
      <w:start w:val="1"/>
      <w:numFmt w:val="bullet"/>
      <w:lvlText w:val=""/>
      <w:lvlJc w:val="left"/>
      <w:pPr>
        <w:ind w:left="3345" w:hanging="360"/>
      </w:pPr>
      <w:rPr>
        <w:rFonts w:ascii="Wingdings" w:hAnsi="Wingdings" w:hint="default"/>
      </w:rPr>
    </w:lvl>
    <w:lvl w:ilvl="3" w:tplc="0C0A0001" w:tentative="1">
      <w:start w:val="1"/>
      <w:numFmt w:val="bullet"/>
      <w:lvlText w:val=""/>
      <w:lvlJc w:val="left"/>
      <w:pPr>
        <w:ind w:left="4065" w:hanging="360"/>
      </w:pPr>
      <w:rPr>
        <w:rFonts w:ascii="Symbol" w:hAnsi="Symbol" w:hint="default"/>
      </w:rPr>
    </w:lvl>
    <w:lvl w:ilvl="4" w:tplc="0C0A0003" w:tentative="1">
      <w:start w:val="1"/>
      <w:numFmt w:val="bullet"/>
      <w:lvlText w:val="o"/>
      <w:lvlJc w:val="left"/>
      <w:pPr>
        <w:ind w:left="4785" w:hanging="360"/>
      </w:pPr>
      <w:rPr>
        <w:rFonts w:ascii="Courier New" w:hAnsi="Courier New" w:cs="Courier New" w:hint="default"/>
      </w:rPr>
    </w:lvl>
    <w:lvl w:ilvl="5" w:tplc="0C0A0005" w:tentative="1">
      <w:start w:val="1"/>
      <w:numFmt w:val="bullet"/>
      <w:lvlText w:val=""/>
      <w:lvlJc w:val="left"/>
      <w:pPr>
        <w:ind w:left="5505" w:hanging="360"/>
      </w:pPr>
      <w:rPr>
        <w:rFonts w:ascii="Wingdings" w:hAnsi="Wingdings" w:hint="default"/>
      </w:rPr>
    </w:lvl>
    <w:lvl w:ilvl="6" w:tplc="0C0A0001" w:tentative="1">
      <w:start w:val="1"/>
      <w:numFmt w:val="bullet"/>
      <w:lvlText w:val=""/>
      <w:lvlJc w:val="left"/>
      <w:pPr>
        <w:ind w:left="6225" w:hanging="360"/>
      </w:pPr>
      <w:rPr>
        <w:rFonts w:ascii="Symbol" w:hAnsi="Symbol" w:hint="default"/>
      </w:rPr>
    </w:lvl>
    <w:lvl w:ilvl="7" w:tplc="0C0A0003" w:tentative="1">
      <w:start w:val="1"/>
      <w:numFmt w:val="bullet"/>
      <w:lvlText w:val="o"/>
      <w:lvlJc w:val="left"/>
      <w:pPr>
        <w:ind w:left="6945" w:hanging="360"/>
      </w:pPr>
      <w:rPr>
        <w:rFonts w:ascii="Courier New" w:hAnsi="Courier New" w:cs="Courier New" w:hint="default"/>
      </w:rPr>
    </w:lvl>
    <w:lvl w:ilvl="8" w:tplc="0C0A0005" w:tentative="1">
      <w:start w:val="1"/>
      <w:numFmt w:val="bullet"/>
      <w:lvlText w:val=""/>
      <w:lvlJc w:val="left"/>
      <w:pPr>
        <w:ind w:left="7665"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E7C259A"/>
    <w:multiLevelType w:val="hybridMultilevel"/>
    <w:tmpl w:val="63540F8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1"/>
    <w:lvlOverride w:ilvl="0">
      <w:lvl w:ilvl="0" w:tplc="0C0A0001">
        <w:start w:val="1"/>
        <w:numFmt w:val="bullet"/>
        <w:lvlText w:val=""/>
        <w:lvlJc w:val="left"/>
        <w:pPr>
          <w:ind w:left="1905" w:hanging="360"/>
        </w:pPr>
        <w:rPr>
          <w:rFonts w:ascii="Symbol" w:hAnsi="Symbol" w:hint="default"/>
        </w:rPr>
      </w:lvl>
    </w:lvlOverride>
  </w:num>
  <w:num w:numId="18">
    <w:abstractNumId w:val="12"/>
  </w:num>
  <w:num w:numId="19">
    <w:abstractNumId w:val="15"/>
    <w:lvlOverride w:ilvl="0">
      <w:lvl w:ilvl="0" w:tplc="0C0A0001">
        <w:start w:val="1"/>
        <w:numFmt w:val="bullet"/>
        <w:lvlText w:val=""/>
        <w:lvlJc w:val="left"/>
        <w:pPr>
          <w:ind w:left="1854"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F4"/>
    <w:rsid w:val="00017F94"/>
    <w:rsid w:val="00023842"/>
    <w:rsid w:val="000334F9"/>
    <w:rsid w:val="00045FEB"/>
    <w:rsid w:val="0007796D"/>
    <w:rsid w:val="000B7790"/>
    <w:rsid w:val="000D5259"/>
    <w:rsid w:val="00111F2F"/>
    <w:rsid w:val="0014365E"/>
    <w:rsid w:val="00143C66"/>
    <w:rsid w:val="00176178"/>
    <w:rsid w:val="001F525A"/>
    <w:rsid w:val="00223272"/>
    <w:rsid w:val="0024779E"/>
    <w:rsid w:val="00257168"/>
    <w:rsid w:val="002744B8"/>
    <w:rsid w:val="002832AC"/>
    <w:rsid w:val="002B2103"/>
    <w:rsid w:val="002D7C93"/>
    <w:rsid w:val="00305801"/>
    <w:rsid w:val="00364EC5"/>
    <w:rsid w:val="00380016"/>
    <w:rsid w:val="003916DE"/>
    <w:rsid w:val="003A7A17"/>
    <w:rsid w:val="003D5A2F"/>
    <w:rsid w:val="00421996"/>
    <w:rsid w:val="00441C3B"/>
    <w:rsid w:val="00446FE5"/>
    <w:rsid w:val="00452396"/>
    <w:rsid w:val="004837D8"/>
    <w:rsid w:val="004E2EED"/>
    <w:rsid w:val="004E468C"/>
    <w:rsid w:val="0051183A"/>
    <w:rsid w:val="005505B7"/>
    <w:rsid w:val="00573BE5"/>
    <w:rsid w:val="00586ED3"/>
    <w:rsid w:val="00596AA9"/>
    <w:rsid w:val="006750C0"/>
    <w:rsid w:val="006B340B"/>
    <w:rsid w:val="0071601D"/>
    <w:rsid w:val="00781320"/>
    <w:rsid w:val="007A62E6"/>
    <w:rsid w:val="007F20FA"/>
    <w:rsid w:val="0080684C"/>
    <w:rsid w:val="0082161B"/>
    <w:rsid w:val="00871C75"/>
    <w:rsid w:val="008776DC"/>
    <w:rsid w:val="009446C0"/>
    <w:rsid w:val="009705C8"/>
    <w:rsid w:val="009C1CF4"/>
    <w:rsid w:val="009F6B74"/>
    <w:rsid w:val="00A214F4"/>
    <w:rsid w:val="00A3029F"/>
    <w:rsid w:val="00A30353"/>
    <w:rsid w:val="00A324EE"/>
    <w:rsid w:val="00AC3823"/>
    <w:rsid w:val="00AE323C"/>
    <w:rsid w:val="00AF0CB5"/>
    <w:rsid w:val="00B00181"/>
    <w:rsid w:val="00B00B0D"/>
    <w:rsid w:val="00B45F2E"/>
    <w:rsid w:val="00B765F7"/>
    <w:rsid w:val="00BA0CA9"/>
    <w:rsid w:val="00BA614F"/>
    <w:rsid w:val="00BF5EBE"/>
    <w:rsid w:val="00C02897"/>
    <w:rsid w:val="00C36805"/>
    <w:rsid w:val="00C97039"/>
    <w:rsid w:val="00D3439C"/>
    <w:rsid w:val="00DB1831"/>
    <w:rsid w:val="00DD3BFD"/>
    <w:rsid w:val="00DF6678"/>
    <w:rsid w:val="00E0299A"/>
    <w:rsid w:val="00E85C74"/>
    <w:rsid w:val="00EA6547"/>
    <w:rsid w:val="00EF2E22"/>
    <w:rsid w:val="00F35BAF"/>
    <w:rsid w:val="00F660DF"/>
    <w:rsid w:val="00F74643"/>
    <w:rsid w:val="00F94664"/>
    <w:rsid w:val="00F9573C"/>
    <w:rsid w:val="00F95C08"/>
    <w:rsid w:val="00FA42EB"/>
    <w:rsid w:val="00FA60A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218477F-6D13-4B75-8FD8-03CFC7FD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A324EE"/>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A324E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9388</Characters>
  <Application>Microsoft Office Word</Application>
  <DocSecurity>0</DocSecurity>
  <Lines>234</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ECE/TRANS/WP.15/AC.1/2019/16</vt:lpstr>
      <vt:lpstr>ECE/TRANS/WP.15/AC.1/2019/16</vt:lpstr>
    </vt:vector>
  </TitlesOfParts>
  <Company>DCM</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ECE/TRANS/WP.15/AC.1/2019/16</dc:title>
  <dc:subject/>
  <dc:creator>Edith BOURION</dc:creator>
  <cp:keywords/>
  <cp:lastModifiedBy>Christine Barrio-Champeau</cp:lastModifiedBy>
  <cp:revision>2</cp:revision>
  <cp:lastPrinted>2019-01-29T13:34:00Z</cp:lastPrinted>
  <dcterms:created xsi:type="dcterms:W3CDTF">2019-01-29T15:23:00Z</dcterms:created>
  <dcterms:modified xsi:type="dcterms:W3CDTF">2019-01-29T15:23:00Z</dcterms:modified>
</cp:coreProperties>
</file>