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012FA">
            <w:pPr>
              <w:suppressAutoHyphens w:val="0"/>
              <w:spacing w:after="20"/>
              <w:jc w:val="right"/>
            </w:pPr>
            <w:r w:rsidRPr="00B11BB4">
              <w:rPr>
                <w:sz w:val="40"/>
              </w:rPr>
              <w:t>ECE</w:t>
            </w:r>
            <w:r>
              <w:t>/TRANS/WP.15/AC.1/201</w:t>
            </w:r>
            <w:r w:rsidR="00BD6218">
              <w:t>9</w:t>
            </w:r>
            <w:r>
              <w:t>/</w:t>
            </w:r>
            <w:r w:rsidR="00A51457">
              <w:t>19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sv-SE" w:eastAsia="sv-SE"/>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2203E" w:rsidP="00B11BB4">
            <w:pPr>
              <w:suppressAutoHyphens w:val="0"/>
            </w:pPr>
            <w:r>
              <w:t>28</w:t>
            </w:r>
            <w:bookmarkStart w:id="0" w:name="_GoBack"/>
            <w:bookmarkEnd w:id="0"/>
            <w:r w:rsidR="00BD6218">
              <w:t xml:space="preserve"> December</w:t>
            </w:r>
            <w:r w:rsidR="00A1147F">
              <w:t xml:space="preserve"> </w:t>
            </w:r>
            <w:r w:rsidR="00004AD5">
              <w:t>2018</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BD6218" w:rsidRDefault="00BD6218" w:rsidP="00BD6218">
      <w:pPr>
        <w:spacing w:before="120"/>
        <w:rPr>
          <w:b/>
          <w:sz w:val="28"/>
          <w:szCs w:val="28"/>
        </w:rPr>
      </w:pPr>
      <w:r>
        <w:rPr>
          <w:b/>
          <w:sz w:val="28"/>
          <w:szCs w:val="28"/>
        </w:rPr>
        <w:t>Economic Commission for Europe</w:t>
      </w:r>
    </w:p>
    <w:p w:rsidR="00BD6218" w:rsidRPr="008268C5" w:rsidRDefault="00BD6218" w:rsidP="00BD6218">
      <w:pPr>
        <w:spacing w:before="120"/>
        <w:rPr>
          <w:sz w:val="28"/>
          <w:szCs w:val="28"/>
        </w:rPr>
      </w:pPr>
      <w:r w:rsidRPr="008268C5">
        <w:rPr>
          <w:sz w:val="28"/>
          <w:szCs w:val="28"/>
        </w:rPr>
        <w:t>Inland Transport Committee</w:t>
      </w:r>
    </w:p>
    <w:p w:rsidR="00BD6218" w:rsidRPr="008268C5" w:rsidRDefault="00BD6218" w:rsidP="00BD6218">
      <w:pPr>
        <w:spacing w:before="120"/>
        <w:rPr>
          <w:b/>
          <w:sz w:val="24"/>
          <w:szCs w:val="24"/>
        </w:rPr>
      </w:pPr>
      <w:r w:rsidRPr="008268C5">
        <w:rPr>
          <w:b/>
          <w:sz w:val="24"/>
          <w:szCs w:val="24"/>
        </w:rPr>
        <w:t>Working Party on the Transport of Dangerous Goods</w:t>
      </w:r>
    </w:p>
    <w:p w:rsidR="00BD6218" w:rsidRPr="008268C5" w:rsidRDefault="00BD6218" w:rsidP="00BD6218">
      <w:pPr>
        <w:spacing w:before="120"/>
        <w:rPr>
          <w:b/>
        </w:rPr>
      </w:pPr>
      <w:r>
        <w:rPr>
          <w:b/>
        </w:rPr>
        <w:t>Joint Meeting of the RID Committee of Experts and the</w:t>
      </w:r>
      <w:r>
        <w:rPr>
          <w:b/>
        </w:rPr>
        <w:br/>
        <w:t>Working Party on the Transport of Dangerous Goods</w:t>
      </w:r>
      <w:r w:rsidRPr="008268C5">
        <w:rPr>
          <w:b/>
        </w:rPr>
        <w:tab/>
      </w:r>
      <w:r w:rsidRPr="008268C5">
        <w:rPr>
          <w:b/>
        </w:rPr>
        <w:tab/>
      </w:r>
      <w:r w:rsidRPr="008268C5">
        <w:rPr>
          <w:b/>
        </w:rPr>
        <w:tab/>
      </w:r>
      <w:r w:rsidRPr="008268C5">
        <w:rPr>
          <w:b/>
        </w:rPr>
        <w:tab/>
      </w:r>
      <w:r w:rsidRPr="008268C5">
        <w:rPr>
          <w:b/>
        </w:rPr>
        <w:tab/>
      </w:r>
      <w:r>
        <w:rPr>
          <w:b/>
        </w:rPr>
        <w:tab/>
      </w:r>
    </w:p>
    <w:p w:rsidR="00BD6218" w:rsidRDefault="00BD6218" w:rsidP="00BD6218">
      <w:r>
        <w:t>Bern</w:t>
      </w:r>
      <w:r w:rsidRPr="008268C5">
        <w:t>,</w:t>
      </w:r>
      <w:r>
        <w:t xml:space="preserve"> 18-22 March</w:t>
      </w:r>
      <w:r w:rsidRPr="008268C5">
        <w:t xml:space="preserve"> 201</w:t>
      </w:r>
      <w:r>
        <w:t>9</w:t>
      </w:r>
    </w:p>
    <w:p w:rsidR="00BD6218" w:rsidRPr="008268C5" w:rsidRDefault="00BD6218" w:rsidP="00BD6218">
      <w:r>
        <w:t>Item 2 of the provisional agenda</w:t>
      </w:r>
    </w:p>
    <w:p w:rsidR="00BD6218" w:rsidRPr="00DD2EDF" w:rsidRDefault="00BD6218" w:rsidP="00BD6218">
      <w:pPr>
        <w:rPr>
          <w:b/>
        </w:rPr>
      </w:pPr>
      <w:r>
        <w:rPr>
          <w:b/>
          <w:bCs/>
        </w:rPr>
        <w:t>Tanks</w:t>
      </w:r>
      <w:r w:rsidRPr="00DD2EDF">
        <w:rPr>
          <w:b/>
          <w:bCs/>
        </w:rPr>
        <w:t xml:space="preserve"> </w:t>
      </w:r>
    </w:p>
    <w:p w:rsidR="00BD6218" w:rsidRPr="00AE400B" w:rsidRDefault="00CC083D" w:rsidP="00BD6218">
      <w:pPr>
        <w:pStyle w:val="HChG"/>
        <w:tabs>
          <w:tab w:val="clear" w:pos="851"/>
        </w:tabs>
        <w:spacing w:after="0"/>
        <w:ind w:firstLine="0"/>
        <w:rPr>
          <w:lang w:val="en-US"/>
        </w:rPr>
      </w:pPr>
      <w:bookmarkStart w:id="1" w:name="OLE_LINK1"/>
      <w:bookmarkStart w:id="2" w:name="OLE_LINK2"/>
      <w:r w:rsidRPr="00883043">
        <w:t>Carriage of tanks, battery-wagons/battery-vehicles and MEGC</w:t>
      </w:r>
      <w:r w:rsidR="002D7B39">
        <w:t>s</w:t>
      </w:r>
      <w:r w:rsidRPr="00883043">
        <w:t xml:space="preserve"> following the expiry of deadlines for intermediate inspections</w:t>
      </w:r>
      <w:bookmarkEnd w:id="1"/>
      <w:bookmarkEnd w:id="2"/>
    </w:p>
    <w:p w:rsidR="00BD6218" w:rsidRDefault="00BD6218" w:rsidP="00BD6218">
      <w:pPr>
        <w:pStyle w:val="H1G"/>
        <w:rPr>
          <w:sz w:val="20"/>
        </w:rPr>
      </w:pPr>
      <w:r w:rsidRPr="00B573A9">
        <w:rPr>
          <w:b w:val="0"/>
          <w:sz w:val="20"/>
        </w:rPr>
        <w:tab/>
      </w:r>
      <w:r w:rsidRPr="00B573A9">
        <w:rPr>
          <w:b w:val="0"/>
          <w:sz w:val="20"/>
        </w:rPr>
        <w:tab/>
      </w:r>
      <w:r>
        <w:t xml:space="preserve">Transmitted by the Government of </w:t>
      </w:r>
      <w:r w:rsidR="00CC083D">
        <w:t>Poland</w:t>
      </w:r>
      <w:r w:rsidRPr="00004AD5">
        <w:rPr>
          <w:rStyle w:val="FootnoteReference"/>
          <w:b w:val="0"/>
          <w:sz w:val="20"/>
        </w:rPr>
        <w:footnoteReference w:id="2"/>
      </w:r>
      <w:r w:rsidRPr="00004AD5">
        <w:rPr>
          <w:sz w:val="20"/>
          <w:vertAlign w:val="superscript"/>
        </w:rPr>
        <w:t>,</w:t>
      </w:r>
      <w:r>
        <w:rPr>
          <w:sz w:val="18"/>
          <w:szCs w:val="18"/>
          <w:vertAlign w:val="superscript"/>
        </w:rPr>
        <w:t xml:space="preserve"> </w:t>
      </w:r>
      <w:r w:rsidRPr="00004AD5">
        <w:rPr>
          <w:rStyle w:val="FootnoteReference"/>
          <w:sz w:val="20"/>
        </w:rPr>
        <w:footnoteReference w:customMarkFollows="1" w:id="3"/>
        <w:t>**</w:t>
      </w:r>
    </w:p>
    <w:p w:rsidR="00CC083D" w:rsidRDefault="00CC083D">
      <w:pPr>
        <w:suppressAutoHyphens w:val="0"/>
        <w:spacing w:line="240" w:lineRule="auto"/>
        <w:rPr>
          <w:b/>
          <w:sz w:val="24"/>
        </w:rPr>
      </w:pPr>
      <w:r>
        <w:rPr>
          <w:b/>
          <w:sz w:val="24"/>
        </w:rPr>
        <w:br w:type="page"/>
      </w:r>
    </w:p>
    <w:p w:rsidR="00CC083D" w:rsidRPr="00CC083D" w:rsidRDefault="00CC083D" w:rsidP="00CC083D"/>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CC083D" w:rsidRPr="00CC083D" w:rsidTr="000D44C7">
        <w:trPr>
          <w:jc w:val="center"/>
        </w:trPr>
        <w:tc>
          <w:tcPr>
            <w:tcW w:w="9082" w:type="dxa"/>
            <w:shd w:val="clear" w:color="auto" w:fill="auto"/>
          </w:tcPr>
          <w:p w:rsidR="00CC083D" w:rsidRPr="00CC083D" w:rsidRDefault="00CC083D" w:rsidP="000D44C7">
            <w:pPr>
              <w:spacing w:before="240" w:after="120"/>
              <w:ind w:left="255"/>
              <w:rPr>
                <w:i/>
              </w:rPr>
            </w:pPr>
            <w:r w:rsidRPr="00CC083D">
              <w:rPr>
                <w:i/>
              </w:rPr>
              <w:t>Summary</w:t>
            </w:r>
          </w:p>
        </w:tc>
      </w:tr>
      <w:tr w:rsidR="00CC083D" w:rsidRPr="00CC083D" w:rsidTr="000D44C7">
        <w:trPr>
          <w:jc w:val="center"/>
        </w:trPr>
        <w:tc>
          <w:tcPr>
            <w:tcW w:w="9082" w:type="dxa"/>
            <w:shd w:val="clear" w:color="auto" w:fill="auto"/>
          </w:tcPr>
          <w:p w:rsidR="00CC083D" w:rsidRPr="00CC083D" w:rsidRDefault="00CC083D" w:rsidP="000D44C7">
            <w:pPr>
              <w:tabs>
                <w:tab w:val="left" w:pos="3260"/>
              </w:tabs>
              <w:spacing w:after="120"/>
              <w:ind w:left="3260" w:right="1134" w:hanging="2126"/>
              <w:jc w:val="both"/>
            </w:pPr>
            <w:r w:rsidRPr="00CC083D">
              <w:rPr>
                <w:b/>
              </w:rPr>
              <w:t>Executive summary:</w:t>
            </w:r>
            <w:r w:rsidRPr="00CC083D">
              <w:tab/>
              <w:t>The aim of this proposal is to introduce into the RID/ADR the provisions concerning carriage of the load in the tank-wagons, demountable tanks, battery-wagons (RID)/fixed tanks (tank-vehicles), demountable tanks, battery-vehicles (ADR), tank-containers, tank swap bodies and MEGCs after the date of expiry of the last intermediate inspection</w:t>
            </w:r>
          </w:p>
        </w:tc>
      </w:tr>
      <w:tr w:rsidR="00CC083D" w:rsidRPr="00CC083D" w:rsidTr="000D44C7">
        <w:trPr>
          <w:jc w:val="center"/>
        </w:trPr>
        <w:tc>
          <w:tcPr>
            <w:tcW w:w="9082" w:type="dxa"/>
            <w:shd w:val="clear" w:color="auto" w:fill="auto"/>
          </w:tcPr>
          <w:p w:rsidR="00CC083D" w:rsidRPr="00CC083D" w:rsidRDefault="00CC083D" w:rsidP="000D44C7">
            <w:pPr>
              <w:tabs>
                <w:tab w:val="left" w:pos="3260"/>
              </w:tabs>
              <w:spacing w:after="120"/>
              <w:ind w:left="3260" w:right="1134" w:hanging="2126"/>
              <w:jc w:val="both"/>
            </w:pPr>
            <w:r w:rsidRPr="00CC083D">
              <w:rPr>
                <w:b/>
              </w:rPr>
              <w:t>Action to be taken:</w:t>
            </w:r>
            <w:r w:rsidRPr="00CC083D">
              <w:rPr>
                <w:b/>
              </w:rPr>
              <w:tab/>
            </w:r>
            <w:r w:rsidRPr="00CC083D">
              <w:rPr>
                <w:rFonts w:eastAsia="Arial"/>
              </w:rPr>
              <w:t xml:space="preserve">Amend the text in </w:t>
            </w:r>
            <w:r w:rsidRPr="00CC083D">
              <w:t>4.3.2.3.7 of RID/ADR</w:t>
            </w:r>
            <w:r w:rsidRPr="00CC083D">
              <w:rPr>
                <w:rFonts w:eastAsia="Arial"/>
              </w:rPr>
              <w:t xml:space="preserve"> to </w:t>
            </w:r>
            <w:r w:rsidRPr="00CC083D">
              <w:t>allow carriage of tanks, battery-wagons/battery-vehicles and MEGC</w:t>
            </w:r>
            <w:r w:rsidR="002D7B39">
              <w:t>s</w:t>
            </w:r>
            <w:r w:rsidRPr="00CC083D">
              <w:t xml:space="preserve"> following the date of expiry of deadlines for intermediate inspections</w:t>
            </w:r>
          </w:p>
        </w:tc>
      </w:tr>
      <w:tr w:rsidR="00CC083D" w:rsidRPr="00CC083D" w:rsidTr="000D44C7">
        <w:trPr>
          <w:jc w:val="center"/>
        </w:trPr>
        <w:tc>
          <w:tcPr>
            <w:tcW w:w="9082" w:type="dxa"/>
            <w:shd w:val="clear" w:color="auto" w:fill="auto"/>
          </w:tcPr>
          <w:p w:rsidR="00CC083D" w:rsidRPr="00CC083D" w:rsidRDefault="00CC083D" w:rsidP="000D44C7">
            <w:pPr>
              <w:tabs>
                <w:tab w:val="left" w:pos="3260"/>
              </w:tabs>
              <w:ind w:left="3260" w:right="1134" w:hanging="2126"/>
              <w:jc w:val="both"/>
            </w:pPr>
            <w:r w:rsidRPr="00CC083D">
              <w:rPr>
                <w:b/>
              </w:rPr>
              <w:t>Related documents:</w:t>
            </w:r>
            <w:r w:rsidRPr="00CC083D">
              <w:rPr>
                <w:b/>
              </w:rPr>
              <w:tab/>
            </w:r>
            <w:r w:rsidRPr="00CC083D">
              <w:t>ECE/TRANS/WP.15/AC.1/2015/19 (</w:t>
            </w:r>
            <w:r w:rsidR="00E15CB1" w:rsidRPr="00C16C7A">
              <w:t>UIC)</w:t>
            </w:r>
          </w:p>
          <w:p w:rsidR="00CC083D" w:rsidRPr="00CC083D" w:rsidRDefault="00CC083D" w:rsidP="000D44C7">
            <w:pPr>
              <w:tabs>
                <w:tab w:val="left" w:pos="3260"/>
              </w:tabs>
              <w:ind w:left="3260" w:right="1134" w:firstLine="4"/>
              <w:jc w:val="both"/>
            </w:pPr>
            <w:r w:rsidRPr="00CC083D">
              <w:t>ECE/TRANS/WP.15/AC.1/2015/27 (UIC)</w:t>
            </w:r>
          </w:p>
          <w:p w:rsidR="00CC083D" w:rsidRPr="00CC083D" w:rsidRDefault="001E6FD7" w:rsidP="000D44C7">
            <w:pPr>
              <w:tabs>
                <w:tab w:val="left" w:pos="3260"/>
              </w:tabs>
              <w:ind w:left="3260" w:right="1134" w:firstLine="4"/>
              <w:jc w:val="both"/>
            </w:pPr>
            <w:r>
              <w:t xml:space="preserve">Informal document </w:t>
            </w:r>
            <w:r w:rsidR="00CC083D" w:rsidRPr="00CC083D">
              <w:t>INF.21 (UIC/CEFIC) - (Spring 2016 Session)</w:t>
            </w:r>
          </w:p>
          <w:p w:rsidR="00CC083D" w:rsidRPr="00CC083D" w:rsidRDefault="00CC083D" w:rsidP="000D44C7">
            <w:pPr>
              <w:tabs>
                <w:tab w:val="left" w:pos="3260"/>
              </w:tabs>
              <w:ind w:left="3260" w:right="1134" w:firstLine="4"/>
              <w:jc w:val="both"/>
            </w:pPr>
            <w:r w:rsidRPr="00CC083D">
              <w:t>ECE/TRANS/WP.15/AC.1/142/Add.1 (Item 8)</w:t>
            </w:r>
          </w:p>
          <w:p w:rsidR="00CC083D" w:rsidRPr="00CC083D" w:rsidRDefault="001E6FD7" w:rsidP="000D44C7">
            <w:pPr>
              <w:tabs>
                <w:tab w:val="left" w:pos="3260"/>
              </w:tabs>
              <w:ind w:left="3260" w:right="1134" w:firstLine="4"/>
              <w:jc w:val="both"/>
            </w:pPr>
            <w:r>
              <w:t xml:space="preserve">Informal document </w:t>
            </w:r>
            <w:r w:rsidR="00CC083D" w:rsidRPr="00CC083D">
              <w:t xml:space="preserve">INF.20 </w:t>
            </w:r>
            <w:r>
              <w:t>(Poland) - (Autumn 2018 Session</w:t>
            </w:r>
            <w:r w:rsidR="00CC083D" w:rsidRPr="00CC083D">
              <w:t>)</w:t>
            </w:r>
          </w:p>
          <w:p w:rsidR="00CC083D" w:rsidRPr="00CC083D" w:rsidRDefault="00CC083D" w:rsidP="000D44C7">
            <w:pPr>
              <w:tabs>
                <w:tab w:val="left" w:pos="3260"/>
              </w:tabs>
              <w:ind w:left="3260" w:right="1134" w:firstLine="4"/>
              <w:jc w:val="both"/>
              <w:rPr>
                <w:b/>
                <w:lang w:val="en-US"/>
              </w:rPr>
            </w:pPr>
            <w:r w:rsidRPr="00CC083D">
              <w:t>ECE/TRANS/WP.15/AC.1/152/Add.1 (Item 10)</w:t>
            </w:r>
          </w:p>
        </w:tc>
      </w:tr>
      <w:tr w:rsidR="00CC083D" w:rsidRPr="00CC083D" w:rsidTr="000D44C7">
        <w:trPr>
          <w:jc w:val="center"/>
        </w:trPr>
        <w:tc>
          <w:tcPr>
            <w:tcW w:w="9082" w:type="dxa"/>
            <w:shd w:val="clear" w:color="auto" w:fill="auto"/>
          </w:tcPr>
          <w:p w:rsidR="00CC083D" w:rsidRPr="00CC083D" w:rsidRDefault="00CC083D" w:rsidP="000D44C7">
            <w:pPr>
              <w:rPr>
                <w:lang w:val="en-US"/>
              </w:rPr>
            </w:pPr>
          </w:p>
        </w:tc>
      </w:tr>
    </w:tbl>
    <w:p w:rsidR="00CC083D" w:rsidRDefault="00CC083D" w:rsidP="00CC083D"/>
    <w:p w:rsidR="00CC083D" w:rsidRDefault="00CC083D" w:rsidP="00CC083D">
      <w:pPr>
        <w:pStyle w:val="HChG"/>
      </w:pPr>
      <w:r>
        <w:tab/>
      </w:r>
      <w:r>
        <w:tab/>
        <w:t>Introduction</w:t>
      </w:r>
    </w:p>
    <w:p w:rsidR="00CC083D" w:rsidRDefault="00CC083D" w:rsidP="00CC083D">
      <w:pPr>
        <w:pStyle w:val="SingleTxtG"/>
      </w:pPr>
      <w:r>
        <w:t>1.</w:t>
      </w:r>
      <w:r>
        <w:tab/>
      </w:r>
      <w:r w:rsidRPr="005F25C7">
        <w:t xml:space="preserve">Poland submitted </w:t>
      </w:r>
      <w:r w:rsidR="001E6FD7">
        <w:t xml:space="preserve">informal </w:t>
      </w:r>
      <w:r w:rsidRPr="005F25C7">
        <w:t>document INF.20 to the Joint Meeting of the RID Committee of Experts and the Working Group on the Carriage of Dangerous Goods (Geneva, 17 – 21 September 2018). The document was dealt with by the Working Group on Tanks. Poland was invited by Working Group on Tanks to submit an official document</w:t>
      </w:r>
      <w:r>
        <w:t xml:space="preserve"> on this issue for a </w:t>
      </w:r>
      <w:r w:rsidRPr="005F25C7">
        <w:t>future session of the Joint Meeting (see the report of the Working Group on Tanks - document ECE/TRANS/WP.15/AC.1/152/Add.1, Item 10).</w:t>
      </w:r>
    </w:p>
    <w:p w:rsidR="00CC083D" w:rsidRPr="006C26A4" w:rsidRDefault="00CC083D" w:rsidP="00CC083D">
      <w:pPr>
        <w:pStyle w:val="SingleTxtG"/>
      </w:pPr>
      <w:r>
        <w:t>2.</w:t>
      </w:r>
      <w:r>
        <w:tab/>
      </w:r>
      <w:r w:rsidRPr="006C26A4">
        <w:t xml:space="preserve">The </w:t>
      </w:r>
      <w:r w:rsidR="00E15CB1" w:rsidRPr="00C16C7A">
        <w:t>International Union of Railways (UIC)</w:t>
      </w:r>
      <w:r w:rsidRPr="006C26A4">
        <w:t xml:space="preserve"> has attempted to regulate the transport of dangerous goods in tank wagons, demountable tanks, tank swap bodies</w:t>
      </w:r>
      <w:r>
        <w:t>,</w:t>
      </w:r>
      <w:r w:rsidRPr="006C26A4">
        <w:t xml:space="preserve"> battery-wagons and MEGC</w:t>
      </w:r>
      <w:r w:rsidR="002D7B39">
        <w:t>s</w:t>
      </w:r>
      <w:r w:rsidRPr="006C26A4">
        <w:t xml:space="preserve"> (RID), as well as in fixed tanks (tank-vehicles), demountable tanks, tank swap bodies</w:t>
      </w:r>
      <w:r>
        <w:t>,</w:t>
      </w:r>
      <w:r w:rsidRPr="006C26A4">
        <w:t xml:space="preserve"> battery-vehicles, and MEGC</w:t>
      </w:r>
      <w:r w:rsidR="002D7B39">
        <w:t>s</w:t>
      </w:r>
      <w:r w:rsidRPr="006C26A4">
        <w:t xml:space="preserve"> (ADR), after the date of expiry of the last periodic and intermediate inspection.</w:t>
      </w:r>
    </w:p>
    <w:p w:rsidR="00CC083D" w:rsidRPr="006C26A4" w:rsidRDefault="00CC083D" w:rsidP="00CC083D">
      <w:pPr>
        <w:pStyle w:val="SingleTxtG"/>
      </w:pPr>
      <w:r>
        <w:t>3.</w:t>
      </w:r>
      <w:r>
        <w:tab/>
      </w:r>
      <w:r w:rsidRPr="006C26A4">
        <w:t>Applications in this matter were presented in the following documents:</w:t>
      </w:r>
    </w:p>
    <w:p w:rsidR="00CC083D" w:rsidRPr="006C26A4" w:rsidRDefault="00CC083D" w:rsidP="001E6FD7">
      <w:pPr>
        <w:pStyle w:val="Bullet1G"/>
      </w:pPr>
      <w:r w:rsidRPr="006C26A4">
        <w:tab/>
        <w:t xml:space="preserve">ECE/TRANS/WP.15/AC.1/2015/19 presented during </w:t>
      </w:r>
      <w:r w:rsidR="001E6FD7">
        <w:t>the</w:t>
      </w:r>
      <w:r>
        <w:t xml:space="preserve"> </w:t>
      </w:r>
      <w:r w:rsidRPr="006C26A4">
        <w:t>Joint Meeting in March 2015;</w:t>
      </w:r>
    </w:p>
    <w:p w:rsidR="00CC083D" w:rsidRPr="006C26A4" w:rsidRDefault="00CC083D" w:rsidP="001E6FD7">
      <w:pPr>
        <w:pStyle w:val="Bullet1G"/>
      </w:pPr>
      <w:r w:rsidRPr="006C26A4">
        <w:tab/>
        <w:t>ECE/TRANS/WP.15/AC.1/2015/27 presented during the Joint Meeting in September 2015;</w:t>
      </w:r>
    </w:p>
    <w:p w:rsidR="00CC083D" w:rsidRDefault="001E6FD7" w:rsidP="001E6FD7">
      <w:pPr>
        <w:pStyle w:val="Bullet1G"/>
      </w:pPr>
      <w:r>
        <w:t xml:space="preserve">Informal document </w:t>
      </w:r>
      <w:r w:rsidR="00CC083D" w:rsidRPr="006C26A4">
        <w:t xml:space="preserve">INF.21 presented during the Joint Meeting in March 2016. </w:t>
      </w:r>
    </w:p>
    <w:p w:rsidR="00CC083D" w:rsidRDefault="00CC083D" w:rsidP="00CC083D">
      <w:pPr>
        <w:pStyle w:val="SingleTxtG"/>
      </w:pPr>
      <w:r w:rsidRPr="006C26A4">
        <w:t>Each of these documents was discussed during the work of the Working Group</w:t>
      </w:r>
      <w:r>
        <w:t xml:space="preserve"> on Tanks</w:t>
      </w:r>
      <w:r w:rsidRPr="006C26A4">
        <w:t>, which was appointed by the Joint Meeting.</w:t>
      </w:r>
    </w:p>
    <w:p w:rsidR="00CC083D" w:rsidRPr="005264CE" w:rsidRDefault="00CC083D" w:rsidP="00CC083D">
      <w:pPr>
        <w:pStyle w:val="SingleTxtG"/>
      </w:pPr>
      <w:r>
        <w:t>4.</w:t>
      </w:r>
      <w:r>
        <w:tab/>
      </w:r>
      <w:r w:rsidRPr="000E7BBD">
        <w:t>On the final note, the Working Group</w:t>
      </w:r>
      <w:r>
        <w:t xml:space="preserve"> on Tanks</w:t>
      </w:r>
      <w:r w:rsidRPr="000E7BBD">
        <w:t xml:space="preserve"> during the meeting in Bern in March 2016, in a report compiled in document ECE/TRANS/WP.15/AC.1/142/Add.1 in Item</w:t>
      </w:r>
      <w:r>
        <w:t> </w:t>
      </w:r>
      <w:r w:rsidRPr="000E7BBD">
        <w:t xml:space="preserve">8, </w:t>
      </w:r>
      <w:r w:rsidRPr="000E7BBD">
        <w:lastRenderedPageBreak/>
        <w:t xml:space="preserve">proposed that tanks filled before the end of the periodic inspection could transport the goods to the consignee within one month after the </w:t>
      </w:r>
      <w:r>
        <w:t xml:space="preserve">date of </w:t>
      </w:r>
      <w:r w:rsidRPr="000E7BBD">
        <w:t>expiry of the last periodic inspection.</w:t>
      </w:r>
    </w:p>
    <w:p w:rsidR="00CC083D" w:rsidRDefault="00CC083D" w:rsidP="001E6FD7">
      <w:pPr>
        <w:pStyle w:val="SingleTxtG"/>
      </w:pPr>
      <w:r>
        <w:t>5.</w:t>
      </w:r>
      <w:r>
        <w:tab/>
      </w:r>
      <w:r w:rsidRPr="000E7BBD">
        <w:t>In addition, a proposal was made regarding the possibi</w:t>
      </w:r>
      <w:r>
        <w:t>lity of carriage</w:t>
      </w:r>
      <w:r w:rsidR="00953E42">
        <w:t xml:space="preserve"> of</w:t>
      </w:r>
      <w:r>
        <w:t xml:space="preserve"> the load for a </w:t>
      </w:r>
      <w:r w:rsidRPr="000E7BBD">
        <w:t>period not exceed</w:t>
      </w:r>
      <w:r w:rsidR="00953E42">
        <w:t>ing</w:t>
      </w:r>
      <w:r w:rsidRPr="000E7BBD">
        <w:t xml:space="preserve"> three months after the </w:t>
      </w:r>
      <w:r>
        <w:t xml:space="preserve">date of </w:t>
      </w:r>
      <w:r w:rsidRPr="000E7BBD">
        <w:t xml:space="preserve">expiry of periodic inspection </w:t>
      </w:r>
      <w:proofErr w:type="gramStart"/>
      <w:r w:rsidRPr="000E7BBD">
        <w:t>in order to</w:t>
      </w:r>
      <w:proofErr w:type="gramEnd"/>
      <w:r w:rsidRPr="000E7BBD">
        <w:t xml:space="preserve"> allow the return of dangerous goods for proper disposal or recycling. This is presented in Proposal 8, Proposal 9 and Proposal 10 in document </w:t>
      </w:r>
      <w:bookmarkStart w:id="3" w:name="_Hlk533762734"/>
      <w:r w:rsidRPr="000E7BBD">
        <w:t>ECE/TRANS/WP.15/AC.1/142/Add.1</w:t>
      </w:r>
      <w:bookmarkEnd w:id="3"/>
      <w:r w:rsidRPr="000E7BBD">
        <w:t>.</w:t>
      </w:r>
    </w:p>
    <w:p w:rsidR="00CC083D" w:rsidRDefault="00CC083D" w:rsidP="00CC083D">
      <w:pPr>
        <w:pStyle w:val="SingleTxtG"/>
      </w:pPr>
      <w:r>
        <w:t>6.</w:t>
      </w:r>
      <w:r>
        <w:tab/>
      </w:r>
      <w:r w:rsidRPr="00E61F1B">
        <w:t xml:space="preserve">At the same time, the Working </w:t>
      </w:r>
      <w:r>
        <w:t>Group</w:t>
      </w:r>
      <w:r w:rsidRPr="00E61F1B">
        <w:t xml:space="preserve"> on Tanks concluded that due to the possibility of conducting intermediate inspection within three months before or after the date of the intermediate inspection specified in 6.8.2.4.3, it allows the carriage of </w:t>
      </w:r>
      <w:r>
        <w:t>the load</w:t>
      </w:r>
      <w:r w:rsidRPr="00E61F1B">
        <w:t xml:space="preserve"> within three months after the</w:t>
      </w:r>
      <w:r>
        <w:t xml:space="preserve"> date of </w:t>
      </w:r>
      <w:r w:rsidRPr="00E61F1B">
        <w:t>expiry of the intermediate inspection.</w:t>
      </w:r>
    </w:p>
    <w:p w:rsidR="00CC083D" w:rsidRPr="00E61F1B" w:rsidRDefault="00CC083D" w:rsidP="00CC083D">
      <w:pPr>
        <w:pStyle w:val="SingleTxtG"/>
      </w:pPr>
      <w:r>
        <w:t>7.</w:t>
      </w:r>
      <w:r>
        <w:tab/>
      </w:r>
      <w:r w:rsidRPr="00E61F1B">
        <w:t>The position of the Working Group on Tank</w:t>
      </w:r>
      <w:r>
        <w:t>s on</w:t>
      </w:r>
      <w:r w:rsidRPr="00E61F1B">
        <w:t xml:space="preserve"> this matter has not been introduced into the RID/ADR provisions.</w:t>
      </w:r>
    </w:p>
    <w:p w:rsidR="00CC083D" w:rsidRDefault="00CC083D" w:rsidP="00CC083D">
      <w:pPr>
        <w:pStyle w:val="SingleTxtG"/>
      </w:pPr>
      <w:r>
        <w:t>8.</w:t>
      </w:r>
      <w:r>
        <w:tab/>
        <w:t>Poland</w:t>
      </w:r>
      <w:r w:rsidRPr="00E61F1B">
        <w:t xml:space="preserve"> do</w:t>
      </w:r>
      <w:r>
        <w:t>es</w:t>
      </w:r>
      <w:r w:rsidRPr="00E61F1B">
        <w:t xml:space="preserve"> not intend to question such an interpretation regarding the carriage of </w:t>
      </w:r>
      <w:r>
        <w:t>the load</w:t>
      </w:r>
      <w:r w:rsidRPr="00E61F1B">
        <w:t xml:space="preserve"> in</w:t>
      </w:r>
      <w:r>
        <w:t xml:space="preserve"> the</w:t>
      </w:r>
      <w:r w:rsidRPr="00E61F1B">
        <w:t xml:space="preserve"> tanks after the </w:t>
      </w:r>
      <w:r>
        <w:t xml:space="preserve">date of </w:t>
      </w:r>
      <w:r w:rsidRPr="00E61F1B">
        <w:t>expiry of the last intermediate inspection.</w:t>
      </w:r>
    </w:p>
    <w:p w:rsidR="00CC083D" w:rsidRPr="005264CE" w:rsidRDefault="00CC083D" w:rsidP="00CC083D">
      <w:pPr>
        <w:pStyle w:val="SingleTxtG"/>
      </w:pPr>
      <w:r>
        <w:t>9.</w:t>
      </w:r>
      <w:r>
        <w:tab/>
      </w:r>
      <w:r w:rsidRPr="000A767E">
        <w:t>Poland proposes that this interpretation should be recorded in RID/ADR and that no doubts arise as to the participants of the transport of dangerous goods who, in accordance with 1.4.1, should comply with all applicable RID/ADR regulations.</w:t>
      </w:r>
    </w:p>
    <w:p w:rsidR="00CC083D" w:rsidRDefault="00CC083D" w:rsidP="00CC083D">
      <w:pPr>
        <w:pStyle w:val="SingleTxtG"/>
      </w:pPr>
      <w:r>
        <w:t>10.</w:t>
      </w:r>
      <w:r>
        <w:tab/>
      </w:r>
      <w:r w:rsidRPr="00753BC8">
        <w:t xml:space="preserve">In this case, Poland submitted </w:t>
      </w:r>
      <w:r w:rsidR="002D7B39">
        <w:t>informal</w:t>
      </w:r>
      <w:r w:rsidRPr="00753BC8">
        <w:t xml:space="preserve"> document INF.20 </w:t>
      </w:r>
      <w:r w:rsidR="002D7B39">
        <w:t>at</w:t>
      </w:r>
      <w:r w:rsidRPr="00753BC8">
        <w:t xml:space="preserve"> the </w:t>
      </w:r>
      <w:r w:rsidR="002D7B39">
        <w:t xml:space="preserve">Autumn 2018 session of the </w:t>
      </w:r>
      <w:r w:rsidRPr="00753BC8">
        <w:t>Joint Meetin</w:t>
      </w:r>
      <w:r w:rsidR="002D7B39">
        <w:t>g.</w:t>
      </w:r>
    </w:p>
    <w:p w:rsidR="00CC083D" w:rsidRDefault="00CC083D" w:rsidP="00CC083D">
      <w:pPr>
        <w:pStyle w:val="SingleTxtG"/>
      </w:pPr>
      <w:r>
        <w:t>11.</w:t>
      </w:r>
      <w:r>
        <w:tab/>
      </w:r>
      <w:r w:rsidRPr="00412FA0">
        <w:t xml:space="preserve">Poland </w:t>
      </w:r>
      <w:proofErr w:type="gramStart"/>
      <w:r w:rsidRPr="00412FA0">
        <w:t>is of the opinion that</w:t>
      </w:r>
      <w:proofErr w:type="gramEnd"/>
      <w:r w:rsidRPr="00412FA0">
        <w:t xml:space="preserve"> the provisions concerning carriage </w:t>
      </w:r>
      <w:r>
        <w:t xml:space="preserve">of the load in the </w:t>
      </w:r>
      <w:r w:rsidRPr="00412FA0">
        <w:t>tank-wagons, demountable tanks, battery-wagons (RID)/</w:t>
      </w:r>
      <w:r>
        <w:t>f</w:t>
      </w:r>
      <w:r w:rsidRPr="00412FA0">
        <w:t xml:space="preserve">ixed tanks (tank-vehicles), demountable tanks, battery-vehicles (ADR), tank-containers, tank swap bodies and MEGCs after the </w:t>
      </w:r>
      <w:r>
        <w:t xml:space="preserve">date of </w:t>
      </w:r>
      <w:r w:rsidRPr="00412FA0">
        <w:t xml:space="preserve">expiry of the </w:t>
      </w:r>
      <w:r>
        <w:t>last</w:t>
      </w:r>
      <w:r w:rsidRPr="00412FA0">
        <w:t xml:space="preserve"> intermediate </w:t>
      </w:r>
      <w:r>
        <w:t>inspection</w:t>
      </w:r>
      <w:r w:rsidRPr="00412FA0">
        <w:t xml:space="preserve"> required in 6.8.2.4.3 should be introduced into RID/ADR.</w:t>
      </w:r>
    </w:p>
    <w:p w:rsidR="00CC083D" w:rsidRPr="005264CE" w:rsidRDefault="00CC083D" w:rsidP="00CC083D">
      <w:pPr>
        <w:pStyle w:val="SingleTxtG"/>
        <w:spacing w:before="240" w:after="240"/>
        <w:jc w:val="left"/>
      </w:pPr>
      <w:r w:rsidRPr="0098563F">
        <w:rPr>
          <w:b/>
          <w:sz w:val="28"/>
          <w:szCs w:val="28"/>
        </w:rPr>
        <w:t>Proposal</w:t>
      </w:r>
    </w:p>
    <w:p w:rsidR="00CC083D" w:rsidRPr="001A1368" w:rsidRDefault="00CC083D" w:rsidP="00E15CB1">
      <w:pPr>
        <w:pStyle w:val="SingleTxtG"/>
        <w:rPr>
          <w:rFonts w:ascii="Calibri" w:eastAsia="Calibri" w:hAnsi="Calibri"/>
          <w:sz w:val="22"/>
          <w:szCs w:val="22"/>
        </w:rPr>
      </w:pPr>
      <w:r>
        <w:t>12.</w:t>
      </w:r>
      <w:r>
        <w:tab/>
      </w:r>
      <w:r w:rsidRPr="003D2AA6">
        <w:t xml:space="preserve">Amend 4.3.2.3.7 to read as follows (new wording shown bold and underlined, </w:t>
      </w:r>
      <w:r w:rsidRPr="001A1368">
        <w:t xml:space="preserve">deleted wording </w:t>
      </w:r>
      <w:r w:rsidRPr="003D2AA6">
        <w:t>stricken through):</w:t>
      </w:r>
    </w:p>
    <w:p w:rsidR="00CC083D" w:rsidRPr="001A1368" w:rsidRDefault="00CC083D" w:rsidP="00E15CB1">
      <w:pPr>
        <w:pStyle w:val="SingleTxtG"/>
      </w:pPr>
      <w:r>
        <w:t>“</w:t>
      </w:r>
      <w:r w:rsidRPr="001A1368">
        <w:t>4.3.2.3.7</w:t>
      </w:r>
      <w:r>
        <w:tab/>
      </w:r>
      <w:r w:rsidRPr="001A1368">
        <w:t>Tank-wagons, demountable tanks, battery-wagons (RID)/</w:t>
      </w:r>
      <w:r>
        <w:t>f</w:t>
      </w:r>
      <w:r w:rsidRPr="001A1368">
        <w:t xml:space="preserve">ixed tanks (tank-vehicles), demountable tanks, battery-vehicles (ADR), tank-containers, tank swap bodies and MEGCs may not be filled or offered for carriage after the deadline for the test or inspection required by 6.8.2.4.2, </w:t>
      </w:r>
      <w:r w:rsidRPr="001A1368">
        <w:rPr>
          <w:b/>
          <w:u w:val="single"/>
        </w:rPr>
        <w:t>6.8.2.4.3</w:t>
      </w:r>
      <w:r w:rsidRPr="001A1368">
        <w:t>, 6.8.3.4.6 and 6.8.3.4.12 has expired.</w:t>
      </w:r>
    </w:p>
    <w:p w:rsidR="00CC083D" w:rsidRPr="001A1368" w:rsidRDefault="00CC083D" w:rsidP="00E15CB1">
      <w:pPr>
        <w:pStyle w:val="SingleTxtG"/>
      </w:pPr>
      <w:r w:rsidRPr="001A1368">
        <w:t>However, tank-wagons, demountable tanks, battery-wagons (RID)/</w:t>
      </w:r>
      <w:r>
        <w:t>f</w:t>
      </w:r>
      <w:r w:rsidRPr="001A1368">
        <w:t xml:space="preserve">ixed tanks (tank-vehicles), demountable tanks, battery-vehicles (ADR), tank-containers, tank swap bodies and MEGCs filled prior to the date of expiry of the last </w:t>
      </w:r>
      <w:r w:rsidRPr="00DB3A1D">
        <w:rPr>
          <w:strike/>
        </w:rPr>
        <w:t>periodic</w:t>
      </w:r>
      <w:r w:rsidRPr="001A1368">
        <w:t xml:space="preserve"> inspection may be carried:</w:t>
      </w:r>
    </w:p>
    <w:p w:rsidR="00CC083D" w:rsidRPr="001A1368" w:rsidRDefault="00CC083D" w:rsidP="00E15CB1">
      <w:pPr>
        <w:pStyle w:val="SingleTxtG"/>
      </w:pPr>
      <w:r w:rsidRPr="001A1368">
        <w:t>(a)</w:t>
      </w:r>
      <w:r w:rsidRPr="001A1368">
        <w:tab/>
        <w:t>for a period not to exceed one month after the</w:t>
      </w:r>
      <w:r>
        <w:t xml:space="preserve"> </w:t>
      </w:r>
      <w:r w:rsidRPr="006B37D3">
        <w:rPr>
          <w:b/>
          <w:u w:val="single"/>
        </w:rPr>
        <w:t>date of</w:t>
      </w:r>
      <w:r w:rsidRPr="001A1368">
        <w:t xml:space="preserve"> expiry of </w:t>
      </w:r>
      <w:r w:rsidRPr="001A1368">
        <w:rPr>
          <w:strike/>
        </w:rPr>
        <w:t>these deadlines</w:t>
      </w:r>
      <w:r w:rsidRPr="001A1368">
        <w:rPr>
          <w:u w:val="single"/>
        </w:rPr>
        <w:t xml:space="preserve"> </w:t>
      </w:r>
      <w:r w:rsidRPr="001A1368">
        <w:rPr>
          <w:b/>
          <w:u w:val="single"/>
        </w:rPr>
        <w:t>the last periodic inspection</w:t>
      </w:r>
      <w:r w:rsidRPr="001A1368">
        <w:t>;</w:t>
      </w:r>
    </w:p>
    <w:p w:rsidR="00CC083D" w:rsidRPr="001A1368" w:rsidRDefault="00CC083D" w:rsidP="00E15CB1">
      <w:pPr>
        <w:pStyle w:val="SingleTxtG"/>
      </w:pPr>
      <w:r w:rsidRPr="001A1368">
        <w:t>(b)</w:t>
      </w:r>
      <w:r w:rsidRPr="001A1368">
        <w:tab/>
        <w:t>unless otherwise approved by the competent authority, for a period not to exceed three months after the</w:t>
      </w:r>
      <w:r>
        <w:t xml:space="preserve"> </w:t>
      </w:r>
      <w:r>
        <w:rPr>
          <w:b/>
          <w:u w:val="single"/>
        </w:rPr>
        <w:t>date of</w:t>
      </w:r>
      <w:r w:rsidRPr="001A1368">
        <w:t xml:space="preserve"> expiry of </w:t>
      </w:r>
      <w:r w:rsidRPr="001A1368">
        <w:rPr>
          <w:strike/>
        </w:rPr>
        <w:t>these deadlines</w:t>
      </w:r>
      <w:r w:rsidRPr="001A1368">
        <w:t xml:space="preserve"> </w:t>
      </w:r>
      <w:r w:rsidRPr="001A1368">
        <w:rPr>
          <w:b/>
          <w:u w:val="single"/>
        </w:rPr>
        <w:t>the last periodic inspection</w:t>
      </w:r>
      <w:r w:rsidRPr="001A1368">
        <w:t xml:space="preserve"> </w:t>
      </w:r>
      <w:proofErr w:type="gramStart"/>
      <w:r w:rsidRPr="001A1368">
        <w:t>in order to</w:t>
      </w:r>
      <w:proofErr w:type="gramEnd"/>
      <w:r w:rsidRPr="001A1368">
        <w:t xml:space="preserve"> allow the return of dangerous goods for proper disposal or recycling. Reference to this exemption shall be mentioned in the transport document</w:t>
      </w:r>
      <w:r w:rsidRPr="001A1368">
        <w:rPr>
          <w:strike/>
        </w:rPr>
        <w:t>.</w:t>
      </w:r>
      <w:r w:rsidRPr="001A1368">
        <w:t>;</w:t>
      </w:r>
    </w:p>
    <w:p w:rsidR="00CC083D" w:rsidRDefault="00CC083D" w:rsidP="00E15CB1">
      <w:pPr>
        <w:pStyle w:val="SingleTxtG"/>
      </w:pPr>
      <w:r w:rsidRPr="001A1368">
        <w:rPr>
          <w:b/>
          <w:u w:val="single"/>
        </w:rPr>
        <w:t>(c)</w:t>
      </w:r>
      <w:r w:rsidRPr="001A1368">
        <w:rPr>
          <w:b/>
          <w:u w:val="single"/>
        </w:rPr>
        <w:tab/>
        <w:t>for a period not to exceed three month</w:t>
      </w:r>
      <w:r>
        <w:rPr>
          <w:b/>
          <w:u w:val="single"/>
        </w:rPr>
        <w:t>s</w:t>
      </w:r>
      <w:r w:rsidRPr="001A1368">
        <w:rPr>
          <w:b/>
          <w:u w:val="single"/>
        </w:rPr>
        <w:t xml:space="preserve"> after the </w:t>
      </w:r>
      <w:r>
        <w:rPr>
          <w:b/>
          <w:u w:val="single"/>
        </w:rPr>
        <w:t xml:space="preserve">date of </w:t>
      </w:r>
      <w:r w:rsidRPr="001A1368">
        <w:rPr>
          <w:b/>
          <w:u w:val="single"/>
        </w:rPr>
        <w:t>expiry of the last intermediate inspection</w:t>
      </w:r>
      <w:r w:rsidRPr="001A1368">
        <w:t>.</w:t>
      </w:r>
      <w:r>
        <w:t>”</w:t>
      </w:r>
    </w:p>
    <w:p w:rsidR="00CC083D" w:rsidRPr="0000458D" w:rsidRDefault="00CC083D" w:rsidP="00CC083D">
      <w:pPr>
        <w:pStyle w:val="H1G"/>
      </w:pPr>
      <w:r>
        <w:lastRenderedPageBreak/>
        <w:tab/>
      </w:r>
      <w:r>
        <w:tab/>
        <w:t>Consequential amendments</w:t>
      </w:r>
    </w:p>
    <w:p w:rsidR="00CC083D" w:rsidRPr="003E3CC7" w:rsidRDefault="00CC083D" w:rsidP="00CC083D">
      <w:pPr>
        <w:pStyle w:val="SingleTxtG"/>
      </w:pPr>
      <w:r>
        <w:t>13.</w:t>
      </w:r>
      <w:r>
        <w:tab/>
      </w:r>
      <w:r w:rsidRPr="000610AD">
        <w:t>There is no need to modify the entries in 5.4.1.1.11 or 1.4.2.2.1 (d) in RID/ADR.</w:t>
      </w:r>
    </w:p>
    <w:p w:rsidR="00CC083D" w:rsidRPr="00F759A6" w:rsidRDefault="00CC083D" w:rsidP="00CC083D">
      <w:pPr>
        <w:pStyle w:val="HChG"/>
        <w:spacing w:before="240"/>
      </w:pPr>
      <w:r>
        <w:tab/>
      </w:r>
      <w:r>
        <w:tab/>
        <w:t>Justification</w:t>
      </w:r>
    </w:p>
    <w:p w:rsidR="00CC083D" w:rsidRDefault="00CC083D" w:rsidP="00CC083D">
      <w:pPr>
        <w:pStyle w:val="SingleTxtG"/>
      </w:pPr>
      <w:r>
        <w:t>14.</w:t>
      </w:r>
      <w:r>
        <w:tab/>
      </w:r>
      <w:r w:rsidRPr="00FF0D3E">
        <w:t>The proposed modification aims to achieve a uniform approach to the carriage of dangerous goods in tank-wagons, demountable tanks, battery-wagons (RID)/fixed tanks (tank-vehicles), demountable tanks, battery-vehicles (ADR), tank-containers, tank swap bodies and MEGCs after the date of expiry of the last intermediate inspection.</w:t>
      </w:r>
    </w:p>
    <w:p w:rsidR="00CC083D" w:rsidRDefault="00CC083D" w:rsidP="00CC083D">
      <w:pPr>
        <w:pStyle w:val="SingleTxtG"/>
      </w:pPr>
      <w:r>
        <w:t>15.</w:t>
      </w:r>
      <w:r>
        <w:tab/>
      </w:r>
      <w:r w:rsidRPr="001E6FA5">
        <w:t>We will avoid divergent positions in this matter.</w:t>
      </w:r>
    </w:p>
    <w:p w:rsidR="00CC083D" w:rsidRDefault="00CC083D" w:rsidP="00CC083D">
      <w:pPr>
        <w:pStyle w:val="SingleTxtG"/>
      </w:pPr>
      <w:r>
        <w:t>16.</w:t>
      </w:r>
      <w:r>
        <w:tab/>
      </w:r>
      <w:r w:rsidRPr="00123E60">
        <w:t>Adopted in 6.8.2.4.3 the possibility of performing an intermediate inspe</w:t>
      </w:r>
      <w:r>
        <w:t>ction with a </w:t>
      </w:r>
      <w:r w:rsidRPr="00123E60">
        <w:t>tolerance of three months before or after the date of in</w:t>
      </w:r>
      <w:r>
        <w:t>termediate inspection lead to a </w:t>
      </w:r>
      <w:r w:rsidRPr="00123E60">
        <w:t xml:space="preserve">different approach regarding the possibility of transporting goods within three months after the </w:t>
      </w:r>
      <w:r>
        <w:t xml:space="preserve">date of expiry </w:t>
      </w:r>
      <w:r w:rsidRPr="00123E60">
        <w:t>of the intermediate inspection.</w:t>
      </w:r>
    </w:p>
    <w:p w:rsidR="00CC083D" w:rsidRDefault="00CC083D" w:rsidP="00CC083D">
      <w:pPr>
        <w:pStyle w:val="SingleTxtG"/>
      </w:pPr>
      <w:r>
        <w:t>17.</w:t>
      </w:r>
      <w:r>
        <w:tab/>
      </w:r>
      <w:r w:rsidRPr="00123E60">
        <w:t xml:space="preserve">The introduction of the proposed </w:t>
      </w:r>
      <w:r w:rsidR="002D7B39">
        <w:t>amendment to</w:t>
      </w:r>
      <w:r w:rsidRPr="00123E60">
        <w:t xml:space="preserve"> RID/ADR will allow the adoption of </w:t>
      </w:r>
      <w:proofErr w:type="gramStart"/>
      <w:r w:rsidRPr="00123E60">
        <w:t>a</w:t>
      </w:r>
      <w:r>
        <w:t>n</w:t>
      </w:r>
      <w:proofErr w:type="gramEnd"/>
      <w:r w:rsidRPr="00123E60">
        <w:t xml:space="preserve"> unified position on carriage of the tank-wagons, demountable tanks, battery-wagons (RID)/fixed tanks (tank-vehicles), demountable tanks, battery-vehicles (ADR), tank-containers, tank swap bodies and MEGCs following the </w:t>
      </w:r>
      <w:r>
        <w:t xml:space="preserve">date of </w:t>
      </w:r>
      <w:r w:rsidRPr="00123E60">
        <w:t>expiry of the last intermediate inspection.</w:t>
      </w:r>
    </w:p>
    <w:p w:rsidR="00CC083D" w:rsidRPr="00074BA1" w:rsidRDefault="00CC083D" w:rsidP="00CC083D">
      <w:pPr>
        <w:pStyle w:val="SingleTxtG"/>
        <w:ind w:left="3969"/>
        <w:rPr>
          <w:u w:val="single"/>
        </w:rPr>
      </w:pPr>
      <w:r>
        <w:rPr>
          <w:u w:val="single"/>
        </w:rPr>
        <w:tab/>
      </w:r>
      <w:r>
        <w:rPr>
          <w:u w:val="single"/>
        </w:rPr>
        <w:tab/>
      </w:r>
      <w:r>
        <w:rPr>
          <w:u w:val="single"/>
        </w:rPr>
        <w:tab/>
      </w:r>
    </w:p>
    <w:p w:rsidR="0047728E" w:rsidRPr="0047728E" w:rsidRDefault="0047728E" w:rsidP="00BD6218">
      <w:pPr>
        <w:spacing w:before="120"/>
        <w:rPr>
          <w:u w:val="single"/>
        </w:rPr>
      </w:pPr>
    </w:p>
    <w:sectPr w:rsidR="0047728E" w:rsidRPr="0047728E" w:rsidSect="00BD6218">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07E" w:rsidRDefault="00A8207E"/>
  </w:endnote>
  <w:endnote w:type="continuationSeparator" w:id="0">
    <w:p w:rsidR="00A8207E" w:rsidRDefault="00A8207E"/>
  </w:endnote>
  <w:endnote w:type="continuationNotice" w:id="1">
    <w:p w:rsidR="00A8207E" w:rsidRDefault="00A82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07F9D">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07E" w:rsidRPr="000B175B" w:rsidRDefault="00A8207E" w:rsidP="000B175B">
      <w:pPr>
        <w:tabs>
          <w:tab w:val="right" w:pos="2155"/>
        </w:tabs>
        <w:spacing w:after="80"/>
        <w:ind w:left="680"/>
        <w:rPr>
          <w:u w:val="single"/>
        </w:rPr>
      </w:pPr>
      <w:r>
        <w:rPr>
          <w:u w:val="single"/>
        </w:rPr>
        <w:tab/>
      </w:r>
    </w:p>
  </w:footnote>
  <w:footnote w:type="continuationSeparator" w:id="0">
    <w:p w:rsidR="00A8207E" w:rsidRPr="00FC68B7" w:rsidRDefault="00A8207E" w:rsidP="00FC68B7">
      <w:pPr>
        <w:tabs>
          <w:tab w:val="left" w:pos="2155"/>
        </w:tabs>
        <w:spacing w:after="80"/>
        <w:ind w:left="680"/>
        <w:rPr>
          <w:u w:val="single"/>
        </w:rPr>
      </w:pPr>
      <w:r>
        <w:rPr>
          <w:u w:val="single"/>
        </w:rPr>
        <w:tab/>
      </w:r>
    </w:p>
  </w:footnote>
  <w:footnote w:type="continuationNotice" w:id="1">
    <w:p w:rsidR="00A8207E" w:rsidRDefault="00A8207E"/>
  </w:footnote>
  <w:footnote w:id="2">
    <w:p w:rsidR="00BD6218" w:rsidRPr="006E5117" w:rsidRDefault="00BD6218" w:rsidP="00BD6218">
      <w:pPr>
        <w:pStyle w:val="FootnoteText"/>
      </w:pPr>
      <w:r>
        <w:tab/>
      </w:r>
      <w:r w:rsidRPr="00004AD5">
        <w:rPr>
          <w:rStyle w:val="FootnoteReference"/>
          <w:sz w:val="20"/>
        </w:rPr>
        <w:footnoteRef/>
      </w:r>
      <w:r>
        <w:tab/>
        <w:t xml:space="preserve">In accordance with the programme of work of the Inland Transport Committee for 2018-2019, </w:t>
      </w:r>
      <w:r>
        <w:rPr>
          <w:szCs w:val="18"/>
        </w:rPr>
        <w:t>(ECE/TRANS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BD6218" w:rsidRPr="00004AD5" w:rsidRDefault="00BD6218" w:rsidP="00BD6218">
      <w:pPr>
        <w:pStyle w:val="FootnoteText"/>
        <w:rPr>
          <w:lang w:val="fr-CH"/>
        </w:rPr>
      </w:pPr>
      <w:r>
        <w:rPr>
          <w:rStyle w:val="FootnoteReference"/>
          <w:sz w:val="20"/>
        </w:rPr>
        <w:tab/>
      </w: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rsidR="005C315F">
        <w:t>9</w:t>
      </w:r>
      <w:r w:rsidRPr="00561474">
        <w:t>/</w:t>
      </w:r>
      <w:r w:rsidR="00A51457">
        <w:t>19</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pPr>
    <w:r w:rsidRPr="009D2A5B">
      <w:t>ECE/TRANS/WP.15/AC.1/201</w:t>
    </w:r>
    <w:r w:rsidR="00BD6218">
      <w:t>9</w:t>
    </w:r>
    <w:r w:rsidRPr="009D2A5B">
      <w:t>/</w:t>
    </w:r>
    <w:r w:rsidR="00A51457">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BD6218">
      <w:t>9</w:t>
    </w:r>
    <w:r w:rsidRPr="009D2A5B">
      <w:t>/</w:t>
    </w:r>
    <w:r w:rsidR="00A51457">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0"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1"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4"/>
  </w:num>
  <w:num w:numId="15">
    <w:abstractNumId w:val="14"/>
  </w:num>
  <w:num w:numId="16">
    <w:abstractNumId w:val="11"/>
  </w:num>
  <w:num w:numId="17">
    <w:abstractNumId w:val="20"/>
  </w:num>
  <w:num w:numId="18">
    <w:abstractNumId w:val="27"/>
  </w:num>
  <w:num w:numId="19">
    <w:abstractNumId w:val="25"/>
  </w:num>
  <w:num w:numId="20">
    <w:abstractNumId w:val="12"/>
  </w:num>
  <w:num w:numId="21">
    <w:abstractNumId w:val="15"/>
  </w:num>
  <w:num w:numId="22">
    <w:abstractNumId w:val="22"/>
  </w:num>
  <w:num w:numId="23">
    <w:abstractNumId w:val="13"/>
  </w:num>
  <w:num w:numId="24">
    <w:abstractNumId w:val="21"/>
  </w:num>
  <w:num w:numId="25">
    <w:abstractNumId w:val="17"/>
  </w:num>
  <w:num w:numId="26">
    <w:abstractNumId w:val="19"/>
  </w:num>
  <w:num w:numId="27">
    <w:abstractNumId w:val="26"/>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80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AD5"/>
    <w:rsid w:val="000113DE"/>
    <w:rsid w:val="0001501B"/>
    <w:rsid w:val="000229B5"/>
    <w:rsid w:val="00034A36"/>
    <w:rsid w:val="00037F90"/>
    <w:rsid w:val="00046B1F"/>
    <w:rsid w:val="00046BE6"/>
    <w:rsid w:val="000509A7"/>
    <w:rsid w:val="00050F6B"/>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EF7"/>
    <w:rsid w:val="000C2C03"/>
    <w:rsid w:val="000C2D2E"/>
    <w:rsid w:val="000C4D51"/>
    <w:rsid w:val="000D230B"/>
    <w:rsid w:val="000E0415"/>
    <w:rsid w:val="00107F9D"/>
    <w:rsid w:val="001103AA"/>
    <w:rsid w:val="0011666B"/>
    <w:rsid w:val="001208E2"/>
    <w:rsid w:val="00126112"/>
    <w:rsid w:val="00155068"/>
    <w:rsid w:val="00165F3A"/>
    <w:rsid w:val="0017587F"/>
    <w:rsid w:val="001A1DCA"/>
    <w:rsid w:val="001B13A5"/>
    <w:rsid w:val="001B4B04"/>
    <w:rsid w:val="001C6663"/>
    <w:rsid w:val="001C7895"/>
    <w:rsid w:val="001D0C8C"/>
    <w:rsid w:val="001D1419"/>
    <w:rsid w:val="001D26DF"/>
    <w:rsid w:val="001D3A03"/>
    <w:rsid w:val="001D7F46"/>
    <w:rsid w:val="001E0B9E"/>
    <w:rsid w:val="001E6FD7"/>
    <w:rsid w:val="001E7B67"/>
    <w:rsid w:val="001F7435"/>
    <w:rsid w:val="00202DA8"/>
    <w:rsid w:val="0021157B"/>
    <w:rsid w:val="00211E0B"/>
    <w:rsid w:val="00214D4D"/>
    <w:rsid w:val="00251E37"/>
    <w:rsid w:val="002564BC"/>
    <w:rsid w:val="00260F3E"/>
    <w:rsid w:val="00267F5F"/>
    <w:rsid w:val="00277C12"/>
    <w:rsid w:val="00285D7A"/>
    <w:rsid w:val="00286B4D"/>
    <w:rsid w:val="002A5964"/>
    <w:rsid w:val="002A603B"/>
    <w:rsid w:val="002C134A"/>
    <w:rsid w:val="002D2DC1"/>
    <w:rsid w:val="002D4643"/>
    <w:rsid w:val="002D4B6C"/>
    <w:rsid w:val="002D7B39"/>
    <w:rsid w:val="002F175C"/>
    <w:rsid w:val="00300853"/>
    <w:rsid w:val="00302B8D"/>
    <w:rsid w:val="00302E18"/>
    <w:rsid w:val="00307FAA"/>
    <w:rsid w:val="00312506"/>
    <w:rsid w:val="00314AEB"/>
    <w:rsid w:val="003229D8"/>
    <w:rsid w:val="00352709"/>
    <w:rsid w:val="00357649"/>
    <w:rsid w:val="00371178"/>
    <w:rsid w:val="00371194"/>
    <w:rsid w:val="00381475"/>
    <w:rsid w:val="00385BE4"/>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7728E"/>
    <w:rsid w:val="0048397A"/>
    <w:rsid w:val="00487F09"/>
    <w:rsid w:val="00495D15"/>
    <w:rsid w:val="004A12F2"/>
    <w:rsid w:val="004C2461"/>
    <w:rsid w:val="004C7462"/>
    <w:rsid w:val="004D4E04"/>
    <w:rsid w:val="004D5426"/>
    <w:rsid w:val="004E0C05"/>
    <w:rsid w:val="004E77B2"/>
    <w:rsid w:val="004F7CA5"/>
    <w:rsid w:val="00503DEB"/>
    <w:rsid w:val="00504B2D"/>
    <w:rsid w:val="00511A9B"/>
    <w:rsid w:val="0052136D"/>
    <w:rsid w:val="00522B58"/>
    <w:rsid w:val="0052775E"/>
    <w:rsid w:val="00531AFA"/>
    <w:rsid w:val="00535C90"/>
    <w:rsid w:val="005420F2"/>
    <w:rsid w:val="00543785"/>
    <w:rsid w:val="00545927"/>
    <w:rsid w:val="00546993"/>
    <w:rsid w:val="00546AD4"/>
    <w:rsid w:val="005628B6"/>
    <w:rsid w:val="00597EDC"/>
    <w:rsid w:val="005A575C"/>
    <w:rsid w:val="005B3DB3"/>
    <w:rsid w:val="005B4E13"/>
    <w:rsid w:val="005C315F"/>
    <w:rsid w:val="005E6A77"/>
    <w:rsid w:val="005F7B75"/>
    <w:rsid w:val="006001EE"/>
    <w:rsid w:val="00605042"/>
    <w:rsid w:val="00605A9A"/>
    <w:rsid w:val="00611135"/>
    <w:rsid w:val="00611FC4"/>
    <w:rsid w:val="006176FB"/>
    <w:rsid w:val="00640B26"/>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2632A"/>
    <w:rsid w:val="00731FF0"/>
    <w:rsid w:val="007327D5"/>
    <w:rsid w:val="00744E2A"/>
    <w:rsid w:val="007611CF"/>
    <w:rsid w:val="007629C8"/>
    <w:rsid w:val="00764081"/>
    <w:rsid w:val="007674FA"/>
    <w:rsid w:val="0077047D"/>
    <w:rsid w:val="007B6BA5"/>
    <w:rsid w:val="007C3390"/>
    <w:rsid w:val="007C4F4B"/>
    <w:rsid w:val="007D46D5"/>
    <w:rsid w:val="007E01E9"/>
    <w:rsid w:val="007E63F3"/>
    <w:rsid w:val="007F2A80"/>
    <w:rsid w:val="007F6611"/>
    <w:rsid w:val="007F7106"/>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2212D"/>
    <w:rsid w:val="009223CA"/>
    <w:rsid w:val="00940F93"/>
    <w:rsid w:val="0094558F"/>
    <w:rsid w:val="0094766B"/>
    <w:rsid w:val="00953E42"/>
    <w:rsid w:val="00961690"/>
    <w:rsid w:val="009760F3"/>
    <w:rsid w:val="0098759D"/>
    <w:rsid w:val="009950AD"/>
    <w:rsid w:val="009A0E8D"/>
    <w:rsid w:val="009A4C36"/>
    <w:rsid w:val="009B1518"/>
    <w:rsid w:val="009B192C"/>
    <w:rsid w:val="009B26E7"/>
    <w:rsid w:val="009B6669"/>
    <w:rsid w:val="009C3EED"/>
    <w:rsid w:val="009C454F"/>
    <w:rsid w:val="009D2A5B"/>
    <w:rsid w:val="009E37C8"/>
    <w:rsid w:val="00A00A3F"/>
    <w:rsid w:val="00A01489"/>
    <w:rsid w:val="00A1147F"/>
    <w:rsid w:val="00A2358C"/>
    <w:rsid w:val="00A3009E"/>
    <w:rsid w:val="00A3026E"/>
    <w:rsid w:val="00A338F1"/>
    <w:rsid w:val="00A43545"/>
    <w:rsid w:val="00A51457"/>
    <w:rsid w:val="00A72F22"/>
    <w:rsid w:val="00A7360F"/>
    <w:rsid w:val="00A748A6"/>
    <w:rsid w:val="00A769F4"/>
    <w:rsid w:val="00A776B4"/>
    <w:rsid w:val="00A81407"/>
    <w:rsid w:val="00A8207E"/>
    <w:rsid w:val="00A9093D"/>
    <w:rsid w:val="00A9142D"/>
    <w:rsid w:val="00A94361"/>
    <w:rsid w:val="00AA0DB3"/>
    <w:rsid w:val="00AA293C"/>
    <w:rsid w:val="00AB25C8"/>
    <w:rsid w:val="00AD13BA"/>
    <w:rsid w:val="00AE08DA"/>
    <w:rsid w:val="00AE1E36"/>
    <w:rsid w:val="00AE6935"/>
    <w:rsid w:val="00AF3993"/>
    <w:rsid w:val="00B012FA"/>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A1092"/>
    <w:rsid w:val="00BA425C"/>
    <w:rsid w:val="00BB7CD1"/>
    <w:rsid w:val="00BC3FA0"/>
    <w:rsid w:val="00BC74E9"/>
    <w:rsid w:val="00BD4443"/>
    <w:rsid w:val="00BD6218"/>
    <w:rsid w:val="00BF1E62"/>
    <w:rsid w:val="00BF68A8"/>
    <w:rsid w:val="00C10FE6"/>
    <w:rsid w:val="00C11A03"/>
    <w:rsid w:val="00C2203E"/>
    <w:rsid w:val="00C22C0C"/>
    <w:rsid w:val="00C22F9A"/>
    <w:rsid w:val="00C255AF"/>
    <w:rsid w:val="00C30C61"/>
    <w:rsid w:val="00C3172E"/>
    <w:rsid w:val="00C35502"/>
    <w:rsid w:val="00C40B11"/>
    <w:rsid w:val="00C4527F"/>
    <w:rsid w:val="00C463DD"/>
    <w:rsid w:val="00C4724C"/>
    <w:rsid w:val="00C517D2"/>
    <w:rsid w:val="00C563BF"/>
    <w:rsid w:val="00C629A0"/>
    <w:rsid w:val="00C64629"/>
    <w:rsid w:val="00C745C3"/>
    <w:rsid w:val="00C76F8B"/>
    <w:rsid w:val="00C81EB8"/>
    <w:rsid w:val="00C92461"/>
    <w:rsid w:val="00CB3E03"/>
    <w:rsid w:val="00CC083D"/>
    <w:rsid w:val="00CE4A8F"/>
    <w:rsid w:val="00CF0197"/>
    <w:rsid w:val="00CF1BAD"/>
    <w:rsid w:val="00D2031B"/>
    <w:rsid w:val="00D24861"/>
    <w:rsid w:val="00D25FE2"/>
    <w:rsid w:val="00D43252"/>
    <w:rsid w:val="00D47EEA"/>
    <w:rsid w:val="00D550D4"/>
    <w:rsid w:val="00D773DF"/>
    <w:rsid w:val="00D872AC"/>
    <w:rsid w:val="00D9255F"/>
    <w:rsid w:val="00D95303"/>
    <w:rsid w:val="00D978C6"/>
    <w:rsid w:val="00DA3C1C"/>
    <w:rsid w:val="00DD29BD"/>
    <w:rsid w:val="00DE07C7"/>
    <w:rsid w:val="00DE1D53"/>
    <w:rsid w:val="00DE4750"/>
    <w:rsid w:val="00DF0F1A"/>
    <w:rsid w:val="00E046DF"/>
    <w:rsid w:val="00E15557"/>
    <w:rsid w:val="00E15CB1"/>
    <w:rsid w:val="00E240D2"/>
    <w:rsid w:val="00E27346"/>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00888"/>
    <w:rsid w:val="00F31E5F"/>
    <w:rsid w:val="00F32BB7"/>
    <w:rsid w:val="00F47EDC"/>
    <w:rsid w:val="00F6100A"/>
    <w:rsid w:val="00F63C9D"/>
    <w:rsid w:val="00F64DBF"/>
    <w:rsid w:val="00F66565"/>
    <w:rsid w:val="00F75A16"/>
    <w:rsid w:val="00F77976"/>
    <w:rsid w:val="00F852F4"/>
    <w:rsid w:val="00F913E2"/>
    <w:rsid w:val="00F92A22"/>
    <w:rsid w:val="00F93781"/>
    <w:rsid w:val="00FA16BB"/>
    <w:rsid w:val="00FA6DA6"/>
    <w:rsid w:val="00FB06F6"/>
    <w:rsid w:val="00FB3838"/>
    <w:rsid w:val="00FB613B"/>
    <w:rsid w:val="00FC68B7"/>
    <w:rsid w:val="00FE106A"/>
    <w:rsid w:val="00FE3E35"/>
    <w:rsid w:val="00FE4FB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D89EDCA"/>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8197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A96D-09F8-4F80-BB4D-D97D1D1F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1090</Words>
  <Characters>6213</Characters>
  <Application>Microsoft Office Word</Application>
  <DocSecurity>0</DocSecurity>
  <Lines>51</Lines>
  <Paragraphs>14</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9</cp:revision>
  <cp:lastPrinted>2018-06-25T07:10:00Z</cp:lastPrinted>
  <dcterms:created xsi:type="dcterms:W3CDTF">2018-12-27T12:41:00Z</dcterms:created>
  <dcterms:modified xsi:type="dcterms:W3CDTF">2018-12-28T11:18:00Z</dcterms:modified>
</cp:coreProperties>
</file>