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0A1E28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813E82" w:rsidP="000A1E28">
            <w:pPr>
              <w:spacing w:after="80"/>
            </w:pPr>
            <w: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0A1E28" w:rsidRDefault="00B56E9C" w:rsidP="000A1E28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0A1E28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4B4853" w:rsidP="00F7677B">
            <w:pPr>
              <w:jc w:val="right"/>
            </w:pPr>
            <w:r w:rsidRPr="000A1E28">
              <w:rPr>
                <w:sz w:val="40"/>
              </w:rPr>
              <w:t>ECE</w:t>
            </w:r>
            <w:r>
              <w:t>/TRANS/WP.15/AC.1/</w:t>
            </w:r>
            <w:r w:rsidR="001F257E">
              <w:t>2019/26</w:t>
            </w:r>
          </w:p>
        </w:tc>
      </w:tr>
      <w:tr w:rsidR="00B56E9C" w:rsidTr="000A1E2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DA06C7" w:rsidP="000A1E28">
            <w:pPr>
              <w:spacing w:before="120"/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714375" cy="590550"/>
                  <wp:effectExtent l="1905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0A1E28" w:rsidRDefault="00D773DF" w:rsidP="000A1E28">
            <w:pPr>
              <w:spacing w:before="120" w:line="420" w:lineRule="exact"/>
              <w:rPr>
                <w:sz w:val="40"/>
                <w:szCs w:val="40"/>
              </w:rPr>
            </w:pPr>
            <w:r w:rsidRPr="000A1E28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B4853" w:rsidRDefault="004B4853" w:rsidP="000A1E28">
            <w:pPr>
              <w:spacing w:before="240" w:line="240" w:lineRule="exact"/>
            </w:pPr>
            <w:r>
              <w:t>Distr.: General</w:t>
            </w:r>
          </w:p>
          <w:p w:rsidR="004B4853" w:rsidRDefault="00B75158" w:rsidP="000A1E28">
            <w:pPr>
              <w:spacing w:line="240" w:lineRule="exact"/>
            </w:pPr>
            <w:r>
              <w:t>19</w:t>
            </w:r>
            <w:r w:rsidR="001F257E">
              <w:t xml:space="preserve"> June </w:t>
            </w:r>
            <w:r w:rsidR="00040A89" w:rsidRPr="00345F65">
              <w:t>2019</w:t>
            </w:r>
          </w:p>
          <w:p w:rsidR="00804F97" w:rsidRDefault="00804F97" w:rsidP="000A1E28">
            <w:pPr>
              <w:spacing w:line="240" w:lineRule="exact"/>
            </w:pPr>
          </w:p>
          <w:p w:rsidR="00B56E9C" w:rsidRDefault="00804F97" w:rsidP="000A1E28">
            <w:pPr>
              <w:spacing w:line="240" w:lineRule="exact"/>
            </w:pPr>
            <w:r>
              <w:t xml:space="preserve">Original: English </w:t>
            </w:r>
          </w:p>
        </w:tc>
      </w:tr>
    </w:tbl>
    <w:p w:rsidR="001F257E" w:rsidRDefault="001F257E" w:rsidP="001F257E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1F257E" w:rsidRDefault="001F257E" w:rsidP="001F257E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1F257E" w:rsidRDefault="001F257E" w:rsidP="001F257E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1F257E" w:rsidRDefault="001F257E" w:rsidP="001F257E">
      <w:pPr>
        <w:rPr>
          <w:b/>
        </w:rPr>
      </w:pPr>
      <w:r>
        <w:rPr>
          <w:b/>
        </w:rPr>
        <w:t>Joint Meeting of the RID Committee of Experts and the</w:t>
      </w:r>
    </w:p>
    <w:p w:rsidR="001F257E" w:rsidRDefault="001F257E" w:rsidP="001F257E">
      <w:pPr>
        <w:rPr>
          <w:b/>
        </w:rPr>
      </w:pPr>
      <w:r>
        <w:rPr>
          <w:b/>
        </w:rPr>
        <w:t>Working Party on the Transport of Dangerous Goods</w:t>
      </w:r>
    </w:p>
    <w:p w:rsidR="001F257E" w:rsidRDefault="001F257E" w:rsidP="001F257E">
      <w:r>
        <w:t>Geneva, 17–27 September 2019</w:t>
      </w:r>
    </w:p>
    <w:p w:rsidR="001F257E" w:rsidRDefault="001F257E" w:rsidP="001F257E">
      <w:r>
        <w:t>Item 2 of the provisional agenda</w:t>
      </w:r>
    </w:p>
    <w:p w:rsidR="001F257E" w:rsidRPr="00FA6DA6" w:rsidRDefault="001F257E" w:rsidP="001F257E">
      <w:pPr>
        <w:rPr>
          <w:b/>
        </w:rPr>
      </w:pPr>
      <w:r>
        <w:rPr>
          <w:b/>
        </w:rPr>
        <w:t>Tanks</w:t>
      </w:r>
    </w:p>
    <w:p w:rsidR="001F257E" w:rsidRDefault="001F257E" w:rsidP="001F257E">
      <w:pPr>
        <w:pStyle w:val="HChG"/>
        <w:rPr>
          <w:b w:val="0"/>
          <w:sz w:val="18"/>
          <w:szCs w:val="18"/>
        </w:rPr>
      </w:pPr>
      <w:r>
        <w:tab/>
      </w:r>
      <w:r>
        <w:tab/>
      </w:r>
      <w:r>
        <w:tab/>
      </w:r>
      <w:r w:rsidRPr="00157306">
        <w:t xml:space="preserve">Tanks: </w:t>
      </w:r>
      <w:r>
        <w:t>Vacuum-Operated Waste Tanks (VOWTs) – diverting vapours from the outlets of pump/exhauster units to a place where they will not cause danger</w:t>
      </w:r>
      <w:r w:rsidRPr="00157306">
        <w:rPr>
          <w:highlight w:val="yellow"/>
        </w:rPr>
        <w:t xml:space="preserve"> </w:t>
      </w:r>
    </w:p>
    <w:p w:rsidR="001F257E" w:rsidRPr="00157306" w:rsidRDefault="001F257E" w:rsidP="001F257E">
      <w:pPr>
        <w:pStyle w:val="H1G"/>
      </w:pPr>
      <w:r>
        <w:tab/>
      </w:r>
      <w:r>
        <w:tab/>
      </w:r>
      <w:r w:rsidRPr="007C7BC4">
        <w:t xml:space="preserve">Transmitted by the Government of the </w:t>
      </w:r>
      <w:r>
        <w:t>United Kingdom</w:t>
      </w:r>
      <w:r w:rsidRPr="00004AD5">
        <w:rPr>
          <w:rStyle w:val="FootnoteReference"/>
          <w:b w:val="0"/>
          <w:sz w:val="20"/>
        </w:rPr>
        <w:footnoteReference w:id="2"/>
      </w:r>
      <w:r w:rsidRPr="00004AD5">
        <w:rPr>
          <w:sz w:val="20"/>
          <w:vertAlign w:val="superscript"/>
        </w:rPr>
        <w:t>,</w:t>
      </w:r>
      <w:r>
        <w:rPr>
          <w:sz w:val="18"/>
          <w:szCs w:val="18"/>
          <w:vertAlign w:val="superscript"/>
        </w:rPr>
        <w:t xml:space="preserve"> </w:t>
      </w:r>
      <w:r w:rsidRPr="00004AD5">
        <w:rPr>
          <w:rStyle w:val="FootnoteReference"/>
          <w:sz w:val="20"/>
        </w:rPr>
        <w:footnoteReference w:customMarkFollows="1" w:id="3"/>
        <w:t>**</w:t>
      </w:r>
      <w:r>
        <w:rPr>
          <w:lang w:val="en-US"/>
        </w:rPr>
        <w:tab/>
      </w:r>
      <w:r>
        <w:rPr>
          <w:lang w:val="en-US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082"/>
      </w:tblGrid>
      <w:tr w:rsidR="001F257E" w:rsidRPr="007C7BC4" w:rsidTr="000E7D27">
        <w:trPr>
          <w:jc w:val="center"/>
        </w:trPr>
        <w:tc>
          <w:tcPr>
            <w:tcW w:w="9082" w:type="dxa"/>
            <w:shd w:val="clear" w:color="auto" w:fill="auto"/>
          </w:tcPr>
          <w:p w:rsidR="001F257E" w:rsidRPr="003A39EA" w:rsidRDefault="001F257E" w:rsidP="000E7D27">
            <w:pPr>
              <w:spacing w:before="240" w:after="120"/>
              <w:ind w:left="255"/>
              <w:rPr>
                <w:i/>
              </w:rPr>
            </w:pPr>
            <w:r w:rsidRPr="003A39EA">
              <w:rPr>
                <w:i/>
              </w:rPr>
              <w:t>Summary</w:t>
            </w:r>
          </w:p>
        </w:tc>
      </w:tr>
      <w:tr w:rsidR="001F257E" w:rsidRPr="00585E7B" w:rsidTr="000E7D27">
        <w:trPr>
          <w:jc w:val="center"/>
        </w:trPr>
        <w:tc>
          <w:tcPr>
            <w:tcW w:w="9082" w:type="dxa"/>
            <w:shd w:val="clear" w:color="auto" w:fill="auto"/>
          </w:tcPr>
          <w:p w:rsidR="001F257E" w:rsidRPr="008E08BE" w:rsidRDefault="001F257E" w:rsidP="000E7D27">
            <w:pPr>
              <w:tabs>
                <w:tab w:val="left" w:pos="3260"/>
              </w:tabs>
              <w:spacing w:after="120"/>
              <w:ind w:left="3260" w:right="1134" w:hanging="2126"/>
              <w:jc w:val="both"/>
            </w:pPr>
            <w:r w:rsidRPr="008E08BE">
              <w:rPr>
                <w:b/>
              </w:rPr>
              <w:t xml:space="preserve">Executive summary: </w:t>
            </w:r>
            <w:r w:rsidRPr="008E08BE">
              <w:tab/>
              <w:t>This paper pro</w:t>
            </w:r>
            <w:r>
              <w:t>poses amendments to RID/</w:t>
            </w:r>
            <w:r w:rsidRPr="008E08BE">
              <w:t xml:space="preserve">ADR </w:t>
            </w:r>
            <w:r>
              <w:t>to permit an alternative method of effectively d</w:t>
            </w:r>
            <w:r w:rsidRPr="008E08BE">
              <w:t xml:space="preserve">iverting </w:t>
            </w:r>
            <w:r>
              <w:t xml:space="preserve">flammable or toxic vapours </w:t>
            </w:r>
            <w:r w:rsidRPr="008E08BE">
              <w:t>from the outlet of pump/exhauster units of Vacuum-Operated Waste Tanks</w:t>
            </w:r>
            <w:r>
              <w:t xml:space="preserve"> to a place of safety. </w:t>
            </w:r>
          </w:p>
        </w:tc>
      </w:tr>
      <w:tr w:rsidR="001F257E" w:rsidRPr="00585E7B" w:rsidTr="000E7D27">
        <w:trPr>
          <w:jc w:val="center"/>
        </w:trPr>
        <w:tc>
          <w:tcPr>
            <w:tcW w:w="9082" w:type="dxa"/>
            <w:shd w:val="clear" w:color="auto" w:fill="auto"/>
          </w:tcPr>
          <w:p w:rsidR="001F257E" w:rsidRDefault="001F257E" w:rsidP="000E7D27">
            <w:pPr>
              <w:tabs>
                <w:tab w:val="left" w:pos="3260"/>
              </w:tabs>
              <w:ind w:left="3260" w:right="1134" w:hanging="2126"/>
            </w:pPr>
            <w:r w:rsidRPr="008E08BE">
              <w:rPr>
                <w:b/>
              </w:rPr>
              <w:t>Action to be taken:</w:t>
            </w:r>
            <w:r w:rsidRPr="008E08BE">
              <w:rPr>
                <w:b/>
              </w:rPr>
              <w:tab/>
            </w:r>
            <w:r w:rsidRPr="00713BE4">
              <w:t>Proposal to a</w:t>
            </w:r>
            <w:r>
              <w:t xml:space="preserve">mend 6.10.3.8 (a) to allow </w:t>
            </w:r>
            <w:r w:rsidRPr="00DD5529">
              <w:t>Vacuum-Operated Waste Tanks</w:t>
            </w:r>
            <w:r>
              <w:t xml:space="preserve"> to be constructed with an outlet that is not directed to a safe place but is designed for an external hose to be connected. Proposal to </w:t>
            </w:r>
            <w:r w:rsidRPr="00DD5529">
              <w:t>amend the operati</w:t>
            </w:r>
            <w:r>
              <w:t>onal requirements of Chapter 4.5</w:t>
            </w:r>
            <w:r w:rsidRPr="00DD5529">
              <w:t xml:space="preserve"> to mandate the coupling of an external hose before loading commences.</w:t>
            </w:r>
          </w:p>
          <w:p w:rsidR="001F257E" w:rsidRPr="008E08BE" w:rsidRDefault="001F257E" w:rsidP="000E7D27">
            <w:pPr>
              <w:tabs>
                <w:tab w:val="left" w:pos="3260"/>
              </w:tabs>
              <w:ind w:left="3260" w:right="1134" w:hanging="2126"/>
              <w:rPr>
                <w:lang w:val="en-US"/>
              </w:rPr>
            </w:pPr>
          </w:p>
        </w:tc>
      </w:tr>
      <w:tr w:rsidR="001F257E" w:rsidRPr="00585E7B" w:rsidTr="000E7D27">
        <w:trPr>
          <w:jc w:val="center"/>
        </w:trPr>
        <w:tc>
          <w:tcPr>
            <w:tcW w:w="9082" w:type="dxa"/>
            <w:shd w:val="clear" w:color="auto" w:fill="auto"/>
          </w:tcPr>
          <w:p w:rsidR="001F257E" w:rsidRPr="003A39EA" w:rsidRDefault="001F257E" w:rsidP="000E7D27">
            <w:pPr>
              <w:tabs>
                <w:tab w:val="left" w:pos="3260"/>
              </w:tabs>
              <w:ind w:left="3260" w:right="857" w:hanging="2126"/>
              <w:rPr>
                <w:b/>
                <w:lang w:val="en-US"/>
              </w:rPr>
            </w:pPr>
            <w:r w:rsidRPr="003A39EA">
              <w:rPr>
                <w:b/>
              </w:rPr>
              <w:t>Related documents:</w:t>
            </w:r>
            <w:r w:rsidRPr="003A39EA">
              <w:rPr>
                <w:b/>
              </w:rPr>
              <w:tab/>
            </w:r>
            <w:r w:rsidRPr="001F257E">
              <w:rPr>
                <w:bCs/>
              </w:rPr>
              <w:t>Informal documents</w:t>
            </w:r>
            <w:r>
              <w:rPr>
                <w:b/>
              </w:rPr>
              <w:t xml:space="preserve"> </w:t>
            </w:r>
            <w:r>
              <w:t>INF.</w:t>
            </w:r>
            <w:r>
              <w:rPr>
                <w:bCs/>
              </w:rPr>
              <w:t xml:space="preserve">31 </w:t>
            </w:r>
            <w:r w:rsidRPr="003A39EA">
              <w:t>and</w:t>
            </w:r>
            <w:r>
              <w:t xml:space="preserve"> INF.39 (paragraph 2) of the March 2019 session.</w:t>
            </w:r>
          </w:p>
        </w:tc>
      </w:tr>
      <w:tr w:rsidR="001F257E" w:rsidRPr="00585E7B" w:rsidTr="000E7D27">
        <w:trPr>
          <w:jc w:val="center"/>
        </w:trPr>
        <w:tc>
          <w:tcPr>
            <w:tcW w:w="9082" w:type="dxa"/>
            <w:shd w:val="clear" w:color="auto" w:fill="auto"/>
          </w:tcPr>
          <w:p w:rsidR="001F257E" w:rsidRPr="007C7BC4" w:rsidRDefault="001F257E" w:rsidP="000E7D27">
            <w:pPr>
              <w:rPr>
                <w:lang w:val="en-US"/>
              </w:rPr>
            </w:pPr>
          </w:p>
        </w:tc>
      </w:tr>
    </w:tbl>
    <w:p w:rsidR="001F257E" w:rsidRPr="007C7BC4" w:rsidRDefault="001F257E" w:rsidP="001F257E">
      <w:pPr>
        <w:pStyle w:val="HChG"/>
        <w:jc w:val="both"/>
      </w:pPr>
      <w:r>
        <w:rPr>
          <w:lang w:val="en-US"/>
        </w:rPr>
        <w:tab/>
      </w:r>
      <w:bookmarkStart w:id="0" w:name="_Hlk532555907"/>
      <w:r>
        <w:rPr>
          <w:lang w:val="en-US"/>
        </w:rPr>
        <w:tab/>
        <w:t>Introduction</w:t>
      </w:r>
      <w:bookmarkEnd w:id="0"/>
    </w:p>
    <w:p w:rsidR="001F257E" w:rsidRDefault="001F257E" w:rsidP="001F257E">
      <w:pPr>
        <w:pStyle w:val="SingleTxtG"/>
        <w:rPr>
          <w:lang w:val="en-US"/>
        </w:rPr>
      </w:pPr>
      <w:r w:rsidRPr="008D6CB9">
        <w:rPr>
          <w:lang w:val="en-US"/>
        </w:rPr>
        <w:t>1.</w:t>
      </w:r>
      <w:r>
        <w:rPr>
          <w:lang w:val="en-US"/>
        </w:rPr>
        <w:tab/>
        <w:t>Following concerns raised by inspection bodies in the U</w:t>
      </w:r>
      <w:r w:rsidR="00023FEC">
        <w:rPr>
          <w:lang w:val="en-US"/>
        </w:rPr>
        <w:t>nited Kingdom</w:t>
      </w:r>
      <w:r>
        <w:rPr>
          <w:lang w:val="en-US"/>
        </w:rPr>
        <w:t xml:space="preserve"> regarding different interpretations of the construction requirements for </w:t>
      </w:r>
      <w:r>
        <w:t xml:space="preserve">Vacuum-Operated Waste Tanks </w:t>
      </w:r>
      <w:r>
        <w:lastRenderedPageBreak/>
        <w:t>(VOWTs)</w:t>
      </w:r>
      <w:r>
        <w:rPr>
          <w:lang w:val="en-US"/>
        </w:rPr>
        <w:t xml:space="preserve"> in Chapter 6.10 of RID/ADR, the U</w:t>
      </w:r>
      <w:r w:rsidR="00023FEC">
        <w:rPr>
          <w:lang w:val="en-US"/>
        </w:rPr>
        <w:t>nited Kingdom</w:t>
      </w:r>
      <w:r>
        <w:rPr>
          <w:lang w:val="en-US"/>
        </w:rPr>
        <w:t xml:space="preserve"> has been looking closely at the construction requirements for these vehicles</w:t>
      </w:r>
      <w:r w:rsidRPr="00502140">
        <w:rPr>
          <w:lang w:val="en-US"/>
        </w:rPr>
        <w:t>.</w:t>
      </w:r>
    </w:p>
    <w:p w:rsidR="001F257E" w:rsidRDefault="001F257E" w:rsidP="001F257E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 xml:space="preserve">When </w:t>
      </w:r>
      <w:r w:rsidRPr="004A21D8">
        <w:t>load</w:t>
      </w:r>
      <w:r>
        <w:t>ing such tanks</w:t>
      </w:r>
      <w:r w:rsidRPr="004A21D8">
        <w:t xml:space="preserve">, </w:t>
      </w:r>
      <w:r>
        <w:t>a</w:t>
      </w:r>
      <w:r w:rsidRPr="004A21D8">
        <w:t xml:space="preserve"> pump</w:t>
      </w:r>
      <w:r>
        <w:t xml:space="preserve">/exhauster unit </w:t>
      </w:r>
      <w:r w:rsidRPr="004A21D8">
        <w:t xml:space="preserve">extracts </w:t>
      </w:r>
      <w:r>
        <w:t>toxic vapours</w:t>
      </w:r>
      <w:r w:rsidRPr="004A21D8">
        <w:t xml:space="preserve"> from inside the vessel and </w:t>
      </w:r>
      <w:r>
        <w:t xml:space="preserve">exhausts them </w:t>
      </w:r>
      <w:r w:rsidRPr="004A21D8">
        <w:t xml:space="preserve">to atmosphere. </w:t>
      </w:r>
      <w:r w:rsidRPr="005E00B3">
        <w:rPr>
          <w:lang w:val="en-US"/>
        </w:rPr>
        <w:t xml:space="preserve">RID/ADR requires the outlet of </w:t>
      </w:r>
      <w:r>
        <w:rPr>
          <w:lang w:val="en-US"/>
        </w:rPr>
        <w:t xml:space="preserve">this </w:t>
      </w:r>
      <w:r w:rsidRPr="005E00B3">
        <w:rPr>
          <w:lang w:val="en-US"/>
        </w:rPr>
        <w:t>pump/exhauster unit to be designed such that any flammable or toxic vapors are diverted to a place where they will not cause a danger (</w:t>
      </w:r>
      <w:r>
        <w:rPr>
          <w:lang w:val="en-US"/>
        </w:rPr>
        <w:t>RID/</w:t>
      </w:r>
      <w:r w:rsidRPr="005E00B3">
        <w:rPr>
          <w:lang w:val="en-US"/>
        </w:rPr>
        <w:t>ADR 6.10.3.8 (a)).</w:t>
      </w:r>
    </w:p>
    <w:p w:rsidR="001F257E" w:rsidRDefault="001F257E" w:rsidP="001F257E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  <w:t xml:space="preserve">The construction requirement in </w:t>
      </w:r>
      <w:r w:rsidRPr="005E00B3">
        <w:rPr>
          <w:lang w:val="en-US"/>
        </w:rPr>
        <w:t>6.10.3.8 (a)</w:t>
      </w:r>
      <w:r>
        <w:rPr>
          <w:lang w:val="en-US"/>
        </w:rPr>
        <w:t xml:space="preserve"> does not however, allow configurations that are designed and constructed to be connected to an additional pipe that directs </w:t>
      </w:r>
      <w:proofErr w:type="spellStart"/>
      <w:r>
        <w:rPr>
          <w:lang w:val="en-US"/>
        </w:rPr>
        <w:t>vapours</w:t>
      </w:r>
      <w:proofErr w:type="spellEnd"/>
      <w:r>
        <w:rPr>
          <w:lang w:val="en-US"/>
        </w:rPr>
        <w:t xml:space="preserve"> to a place where they will not cause a danger. </w:t>
      </w:r>
    </w:p>
    <w:p w:rsidR="001F257E" w:rsidRDefault="001F257E" w:rsidP="001F257E">
      <w:pPr>
        <w:pStyle w:val="SingleTxtG"/>
      </w:pPr>
      <w:r>
        <w:rPr>
          <w:lang w:val="en-US"/>
        </w:rPr>
        <w:t>4.</w:t>
      </w:r>
      <w:r>
        <w:rPr>
          <w:lang w:val="en-US"/>
        </w:rPr>
        <w:tab/>
        <w:t xml:space="preserve">Given that the attachment of an additional pipe is likely to improve the safe use of such tanks, we propose RID/ADR is amended to allow VOWTs to be constructed and used with such configurations. </w:t>
      </w:r>
    </w:p>
    <w:p w:rsidR="001F257E" w:rsidRDefault="001F257E" w:rsidP="001F257E">
      <w:pPr>
        <w:pStyle w:val="H1G"/>
      </w:pPr>
      <w:r>
        <w:tab/>
      </w:r>
      <w:r>
        <w:tab/>
        <w:t>Proposal 1</w:t>
      </w:r>
    </w:p>
    <w:p w:rsidR="001F257E" w:rsidRDefault="001F257E" w:rsidP="001F257E">
      <w:pPr>
        <w:pStyle w:val="SingleTxtG"/>
        <w:rPr>
          <w:lang w:val="en-US"/>
        </w:rPr>
      </w:pPr>
      <w:r w:rsidRPr="006E6941">
        <w:rPr>
          <w:lang w:val="en-US"/>
        </w:rPr>
        <w:t xml:space="preserve">Introduce new text to </w:t>
      </w:r>
      <w:bookmarkStart w:id="1" w:name="_Hlk8810314"/>
      <w:r w:rsidRPr="006E6941">
        <w:rPr>
          <w:lang w:val="en-US"/>
        </w:rPr>
        <w:t>6.10.3</w:t>
      </w:r>
      <w:r>
        <w:rPr>
          <w:lang w:val="en-US"/>
        </w:rPr>
        <w:t xml:space="preserve">.8 </w:t>
      </w:r>
      <w:bookmarkEnd w:id="1"/>
      <w:r w:rsidRPr="006E6941">
        <w:rPr>
          <w:lang w:val="en-US"/>
        </w:rPr>
        <w:t xml:space="preserve">to read (new wording in </w:t>
      </w:r>
      <w:r w:rsidR="00023FEC">
        <w:rPr>
          <w:lang w:val="en-US"/>
        </w:rPr>
        <w:t>b</w:t>
      </w:r>
      <w:r w:rsidRPr="006E6941">
        <w:rPr>
          <w:lang w:val="en-US"/>
        </w:rPr>
        <w:t xml:space="preserve">old and </w:t>
      </w:r>
      <w:r w:rsidRPr="006E6941">
        <w:rPr>
          <w:u w:val="single"/>
          <w:lang w:val="en-US"/>
        </w:rPr>
        <w:t>underlined</w:t>
      </w:r>
      <w:r w:rsidRPr="006E6941">
        <w:rPr>
          <w:lang w:val="en-US"/>
        </w:rPr>
        <w:t>):</w:t>
      </w:r>
    </w:p>
    <w:p w:rsidR="001F257E" w:rsidRPr="005C7C44" w:rsidRDefault="001F257E" w:rsidP="001F257E">
      <w:pPr>
        <w:pStyle w:val="SingleTxtG"/>
      </w:pPr>
      <w:r>
        <w:t xml:space="preserve">“The tanks </w:t>
      </w:r>
      <w:r w:rsidRPr="005C7C44">
        <w:t>shall be fitted with the following additional service equipment:</w:t>
      </w:r>
    </w:p>
    <w:p w:rsidR="001F257E" w:rsidRDefault="001F257E" w:rsidP="001F257E">
      <w:pPr>
        <w:pStyle w:val="SingleTxtG"/>
        <w:rPr>
          <w:b/>
          <w:u w:val="single"/>
        </w:rPr>
      </w:pPr>
      <w:r>
        <w:tab/>
      </w:r>
      <w:r>
        <w:tab/>
        <w:t>(a)</w:t>
      </w:r>
      <w:r>
        <w:tab/>
      </w:r>
      <w:r w:rsidRPr="005C7C44">
        <w:t xml:space="preserve">The outlet of a pump/exhauster unit shall be so arranged as to ensure that </w:t>
      </w:r>
      <w:bookmarkStart w:id="2" w:name="_Hlk8729668"/>
      <w:r w:rsidRPr="005C7C44">
        <w:t>any flammable or toxic vapours are diverted to a place w</w:t>
      </w:r>
      <w:r>
        <w:t>here they will not cause danger</w:t>
      </w:r>
      <w:bookmarkEnd w:id="2"/>
      <w:r w:rsidRPr="006F1DF3">
        <w:t>;</w:t>
      </w:r>
      <w:r w:rsidRPr="006167E8">
        <w:rPr>
          <w:b/>
          <w:u w:val="single"/>
        </w:rPr>
        <w:t xml:space="preserve"> </w:t>
      </w:r>
    </w:p>
    <w:p w:rsidR="001F257E" w:rsidRDefault="001F257E" w:rsidP="001F257E">
      <w:pPr>
        <w:pStyle w:val="SingleTxtG"/>
        <w:rPr>
          <w:b/>
          <w:u w:val="single"/>
          <w:lang w:val="en-US"/>
        </w:rPr>
      </w:pPr>
      <w:r>
        <w:rPr>
          <w:b/>
          <w:u w:val="single"/>
          <w:lang w:val="en-US"/>
        </w:rPr>
        <w:tab/>
      </w:r>
      <w:r w:rsidRPr="001F257E">
        <w:rPr>
          <w:bCs/>
          <w:lang w:val="en-US"/>
        </w:rPr>
        <w:tab/>
      </w:r>
      <w:r>
        <w:rPr>
          <w:bCs/>
          <w:lang w:val="en-US"/>
        </w:rPr>
        <w:t>(b)</w:t>
      </w:r>
      <w:r>
        <w:rPr>
          <w:bCs/>
          <w:lang w:val="en-US"/>
        </w:rPr>
        <w:tab/>
      </w:r>
      <w:r w:rsidRPr="006167E8">
        <w:rPr>
          <w:b/>
          <w:u w:val="single"/>
          <w:lang w:val="en-US"/>
        </w:rPr>
        <w:t>Th</w:t>
      </w:r>
      <w:r>
        <w:rPr>
          <w:b/>
          <w:u w:val="single"/>
          <w:lang w:val="en-US"/>
        </w:rPr>
        <w:t xml:space="preserve">e requirement in 6.10.3.8 (a) shall be considered to have been met </w:t>
      </w:r>
      <w:r w:rsidRPr="006167E8">
        <w:rPr>
          <w:b/>
          <w:u w:val="single"/>
          <w:lang w:val="en-US"/>
        </w:rPr>
        <w:t xml:space="preserve">if the </w:t>
      </w:r>
      <w:r>
        <w:rPr>
          <w:b/>
          <w:u w:val="single"/>
          <w:lang w:val="en-US"/>
        </w:rPr>
        <w:t xml:space="preserve">outlet is: </w:t>
      </w:r>
    </w:p>
    <w:p w:rsidR="001F257E" w:rsidRDefault="001F257E" w:rsidP="001F257E">
      <w:pPr>
        <w:pStyle w:val="SingleTxtG"/>
        <w:ind w:left="2268"/>
        <w:rPr>
          <w:b/>
          <w:u w:val="single"/>
          <w:lang w:val="en-US"/>
        </w:rPr>
      </w:pPr>
      <w:r>
        <w:rPr>
          <w:b/>
          <w:u w:val="single"/>
          <w:lang w:val="en-US"/>
        </w:rPr>
        <w:t>(</w:t>
      </w:r>
      <w:proofErr w:type="spellStart"/>
      <w:r>
        <w:rPr>
          <w:b/>
          <w:u w:val="single"/>
          <w:lang w:val="en-US"/>
        </w:rPr>
        <w:t>i</w:t>
      </w:r>
      <w:proofErr w:type="spellEnd"/>
      <w:r>
        <w:rPr>
          <w:b/>
          <w:u w:val="single"/>
          <w:lang w:val="en-US"/>
        </w:rPr>
        <w:t>)</w:t>
      </w:r>
      <w:r>
        <w:rPr>
          <w:b/>
          <w:u w:val="single"/>
          <w:lang w:val="en-US"/>
        </w:rPr>
        <w:tab/>
      </w:r>
      <w:r w:rsidRPr="006167E8">
        <w:rPr>
          <w:b/>
          <w:u w:val="single"/>
          <w:lang w:val="en-US"/>
        </w:rPr>
        <w:t xml:space="preserve">equipped with a </w:t>
      </w:r>
      <w:r>
        <w:rPr>
          <w:b/>
          <w:u w:val="single"/>
          <w:lang w:val="en-US"/>
        </w:rPr>
        <w:t xml:space="preserve">connection designed </w:t>
      </w:r>
      <w:r w:rsidRPr="006167E8">
        <w:rPr>
          <w:b/>
          <w:u w:val="single"/>
          <w:lang w:val="en-US"/>
        </w:rPr>
        <w:t xml:space="preserve">for </w:t>
      </w:r>
      <w:r>
        <w:rPr>
          <w:b/>
          <w:u w:val="single"/>
          <w:lang w:val="en-US"/>
        </w:rPr>
        <w:t xml:space="preserve">the </w:t>
      </w:r>
      <w:r w:rsidRPr="006167E8">
        <w:rPr>
          <w:b/>
          <w:u w:val="single"/>
          <w:lang w:val="en-US"/>
        </w:rPr>
        <w:t>attach</w:t>
      </w:r>
      <w:r>
        <w:rPr>
          <w:b/>
          <w:u w:val="single"/>
          <w:lang w:val="en-US"/>
        </w:rPr>
        <w:t>ment of a</w:t>
      </w:r>
      <w:r w:rsidRPr="00F31B67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 xml:space="preserve">flexible pipe; and </w:t>
      </w:r>
    </w:p>
    <w:p w:rsidR="001F257E" w:rsidRDefault="001F257E" w:rsidP="001F257E">
      <w:pPr>
        <w:pStyle w:val="SingleTxtG"/>
        <w:ind w:left="2268"/>
        <w:rPr>
          <w:lang w:val="en-US"/>
        </w:rPr>
      </w:pPr>
      <w:r>
        <w:rPr>
          <w:b/>
          <w:u w:val="single"/>
          <w:lang w:val="en-US"/>
        </w:rPr>
        <w:t>(ii)</w:t>
      </w:r>
      <w:r>
        <w:rPr>
          <w:b/>
          <w:u w:val="single"/>
          <w:lang w:val="en-US"/>
        </w:rPr>
        <w:tab/>
        <w:t>clearly marked with a label stating that a flexible pipe to divert</w:t>
      </w:r>
      <w:r w:rsidRPr="00BB21A9">
        <w:rPr>
          <w:b/>
          <w:u w:val="single"/>
        </w:rPr>
        <w:t xml:space="preserve"> flammable or toxic vapours </w:t>
      </w:r>
      <w:r>
        <w:rPr>
          <w:b/>
          <w:u w:val="single"/>
        </w:rPr>
        <w:t>t</w:t>
      </w:r>
      <w:r w:rsidRPr="00BB21A9">
        <w:rPr>
          <w:b/>
          <w:u w:val="single"/>
        </w:rPr>
        <w:t xml:space="preserve">o a place where they will not </w:t>
      </w:r>
      <w:proofErr w:type="gramStart"/>
      <w:r w:rsidRPr="00BB21A9">
        <w:rPr>
          <w:b/>
          <w:u w:val="single"/>
        </w:rPr>
        <w:t>cause</w:t>
      </w:r>
      <w:proofErr w:type="gramEnd"/>
      <w:r w:rsidRPr="00BB21A9">
        <w:rPr>
          <w:b/>
          <w:u w:val="single"/>
        </w:rPr>
        <w:t xml:space="preserve"> danger</w:t>
      </w:r>
      <w:r>
        <w:rPr>
          <w:b/>
          <w:u w:val="single"/>
          <w:lang w:val="en-US"/>
        </w:rPr>
        <w:t xml:space="preserve"> </w:t>
      </w:r>
      <w:r w:rsidR="00023FEC">
        <w:rPr>
          <w:b/>
          <w:u w:val="single"/>
          <w:lang w:val="en-US"/>
        </w:rPr>
        <w:t>shall</w:t>
      </w:r>
      <w:r>
        <w:rPr>
          <w:b/>
          <w:u w:val="single"/>
          <w:lang w:val="en-US"/>
        </w:rPr>
        <w:t xml:space="preserve"> be connected before loading commences</w:t>
      </w:r>
      <w:r w:rsidRPr="006167E8">
        <w:rPr>
          <w:b/>
          <w:u w:val="single"/>
          <w:lang w:val="en-US"/>
        </w:rPr>
        <w:t>.</w:t>
      </w:r>
      <w:r>
        <w:t>”</w:t>
      </w:r>
    </w:p>
    <w:p w:rsidR="001F257E" w:rsidRPr="006A0736" w:rsidRDefault="001F257E" w:rsidP="001F257E">
      <w:pPr>
        <w:pStyle w:val="SingleTxtG"/>
        <w:ind w:right="621"/>
        <w:rPr>
          <w:b/>
        </w:rPr>
      </w:pPr>
      <w:r>
        <w:rPr>
          <w:lang w:val="en-US"/>
        </w:rPr>
        <w:t xml:space="preserve">Renumber existing paragraphs (b), (c), (d) etc.  </w:t>
      </w:r>
    </w:p>
    <w:p w:rsidR="001F257E" w:rsidRDefault="001F257E" w:rsidP="001F257E">
      <w:pPr>
        <w:pStyle w:val="H1G"/>
        <w:rPr>
          <w:lang w:val="en-US"/>
        </w:rPr>
      </w:pPr>
      <w:r w:rsidRPr="00D3510F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3510F">
        <w:rPr>
          <w:lang w:val="en-US"/>
        </w:rPr>
        <w:t>Proposal 2</w:t>
      </w:r>
    </w:p>
    <w:p w:rsidR="001F257E" w:rsidRDefault="001F257E" w:rsidP="001F257E">
      <w:pPr>
        <w:pStyle w:val="SingleTxtG"/>
        <w:ind w:right="621"/>
        <w:rPr>
          <w:lang w:val="en-US"/>
        </w:rPr>
      </w:pPr>
      <w:r w:rsidRPr="006E6941">
        <w:rPr>
          <w:lang w:val="en-US"/>
        </w:rPr>
        <w:t xml:space="preserve">Introduce new text to </w:t>
      </w:r>
      <w:r>
        <w:rPr>
          <w:lang w:val="en-US"/>
        </w:rPr>
        <w:t xml:space="preserve">4.5.2 to read </w:t>
      </w:r>
      <w:r w:rsidRPr="006E6941">
        <w:rPr>
          <w:lang w:val="en-US"/>
        </w:rPr>
        <w:t xml:space="preserve">(new wording in </w:t>
      </w:r>
      <w:r w:rsidR="00023FEC">
        <w:rPr>
          <w:lang w:val="en-US"/>
        </w:rPr>
        <w:t>b</w:t>
      </w:r>
      <w:r w:rsidRPr="006E6941">
        <w:rPr>
          <w:lang w:val="en-US"/>
        </w:rPr>
        <w:t xml:space="preserve">old and </w:t>
      </w:r>
      <w:r w:rsidRPr="006E6941">
        <w:rPr>
          <w:u w:val="single"/>
          <w:lang w:val="en-US"/>
        </w:rPr>
        <w:t>underlined</w:t>
      </w:r>
      <w:r w:rsidRPr="006E6941">
        <w:rPr>
          <w:lang w:val="en-US"/>
        </w:rPr>
        <w:t>):</w:t>
      </w:r>
    </w:p>
    <w:p w:rsidR="001F257E" w:rsidRPr="007E424D" w:rsidRDefault="001F257E" w:rsidP="001F257E">
      <w:pPr>
        <w:pStyle w:val="SingleTxtG"/>
        <w:ind w:left="2268" w:hanging="1134"/>
        <w:rPr>
          <w:b/>
          <w:u w:val="single"/>
          <w:lang w:val="en-US"/>
        </w:rPr>
      </w:pPr>
      <w:r w:rsidRPr="007E424D">
        <w:rPr>
          <w:lang w:val="en-US"/>
        </w:rPr>
        <w:t>“</w:t>
      </w:r>
      <w:r w:rsidRPr="007E424D">
        <w:rPr>
          <w:b/>
          <w:u w:val="single"/>
          <w:lang w:val="en-US"/>
        </w:rPr>
        <w:t>4.5.2.7</w:t>
      </w:r>
      <w:r w:rsidRPr="007E424D"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>When any vacuum pump/exhauster having an outlet as described in 6.10.3.8 (b)(</w:t>
      </w:r>
      <w:proofErr w:type="spellStart"/>
      <w:r>
        <w:rPr>
          <w:b/>
          <w:u w:val="single"/>
          <w:lang w:val="en-US"/>
        </w:rPr>
        <w:t>i</w:t>
      </w:r>
      <w:proofErr w:type="spellEnd"/>
      <w:r>
        <w:rPr>
          <w:b/>
          <w:u w:val="single"/>
          <w:lang w:val="en-US"/>
        </w:rPr>
        <w:t xml:space="preserve">) is operated, a flexible pipe as described in 6.10.3.8 (b)(ii) </w:t>
      </w:r>
      <w:r w:rsidR="00023FEC">
        <w:rPr>
          <w:b/>
          <w:u w:val="single"/>
          <w:lang w:val="en-US"/>
        </w:rPr>
        <w:t>shall</w:t>
      </w:r>
      <w:r>
        <w:rPr>
          <w:b/>
          <w:u w:val="single"/>
          <w:lang w:val="en-US"/>
        </w:rPr>
        <w:t xml:space="preserve"> be attached to the outlet before loading commences</w:t>
      </w:r>
      <w:r w:rsidRPr="006167E8">
        <w:rPr>
          <w:b/>
          <w:u w:val="single"/>
          <w:lang w:val="en-US"/>
        </w:rPr>
        <w:t>.</w:t>
      </w:r>
      <w:r>
        <w:t>”</w:t>
      </w:r>
    </w:p>
    <w:p w:rsidR="001F257E" w:rsidRDefault="001F257E" w:rsidP="001F257E">
      <w:pPr>
        <w:pStyle w:val="SingleTxtG"/>
        <w:ind w:right="621"/>
        <w:rPr>
          <w:b/>
          <w:sz w:val="28"/>
          <w:szCs w:val="28"/>
        </w:rPr>
      </w:pPr>
      <w:r w:rsidRPr="00D3510F">
        <w:rPr>
          <w:b/>
          <w:sz w:val="28"/>
          <w:szCs w:val="28"/>
          <w:lang w:val="en-US"/>
        </w:rPr>
        <w:t>Justification</w:t>
      </w:r>
    </w:p>
    <w:p w:rsidR="001F257E" w:rsidRDefault="001F257E" w:rsidP="001F257E">
      <w:pPr>
        <w:pStyle w:val="SingleTxtG"/>
      </w:pPr>
      <w:r>
        <w:rPr>
          <w:lang w:val="en-US"/>
        </w:rPr>
        <w:t>5.</w:t>
      </w:r>
      <w:r>
        <w:rPr>
          <w:lang w:val="en-US"/>
        </w:rPr>
        <w:tab/>
      </w:r>
      <w:r w:rsidRPr="006E6941">
        <w:rPr>
          <w:lang w:val="en-US"/>
        </w:rPr>
        <w:t>6.10.3</w:t>
      </w:r>
      <w:r>
        <w:rPr>
          <w:lang w:val="en-US"/>
        </w:rPr>
        <w:t xml:space="preserve">.8 (a) of RID/ADR requires the outlet of any vacuum pump/exhauster unit to be designed and </w:t>
      </w:r>
      <w:r w:rsidRPr="00DD5EE2">
        <w:rPr>
          <w:lang w:val="en-US"/>
        </w:rPr>
        <w:t>constructed</w:t>
      </w:r>
      <w:r>
        <w:rPr>
          <w:lang w:val="en-US"/>
        </w:rPr>
        <w:t xml:space="preserve"> in such a way that toxic </w:t>
      </w:r>
      <w:proofErr w:type="spellStart"/>
      <w:r>
        <w:rPr>
          <w:lang w:val="en-US"/>
        </w:rPr>
        <w:t>vapours</w:t>
      </w:r>
      <w:proofErr w:type="spellEnd"/>
      <w:r>
        <w:rPr>
          <w:lang w:val="en-US"/>
        </w:rPr>
        <w:t xml:space="preserve"> are directed to a safe place. If a </w:t>
      </w:r>
      <w:r>
        <w:t>low-level outlet is used however, it is difficult to see how this could be considered safe when climatic conditions could redirect harmful vapours to the loader/operator and similarly, with high-level outlets, it would also seem possible for the operator to be exposed to any vapours that may be heavier than air.</w:t>
      </w:r>
    </w:p>
    <w:p w:rsidR="001F257E" w:rsidRDefault="001F257E" w:rsidP="001F257E">
      <w:pPr>
        <w:pStyle w:val="SingleTxtG"/>
      </w:pPr>
    </w:p>
    <w:p w:rsidR="001F257E" w:rsidRDefault="001F257E" w:rsidP="001F257E">
      <w:pPr>
        <w:pStyle w:val="SingleTxtG"/>
      </w:pPr>
    </w:p>
    <w:p w:rsidR="001F257E" w:rsidRDefault="001F257E" w:rsidP="001F257E">
      <w:pPr>
        <w:pStyle w:val="SingleTxtG"/>
      </w:pPr>
    </w:p>
    <w:p w:rsidR="001F257E" w:rsidRDefault="001F257E" w:rsidP="001F257E">
      <w:pPr>
        <w:pStyle w:val="SingleTxtG"/>
      </w:pPr>
    </w:p>
    <w:p w:rsidR="001F257E" w:rsidRDefault="001F257E" w:rsidP="001F257E">
      <w:pPr>
        <w:pStyle w:val="SingleTxtG"/>
      </w:pPr>
    </w:p>
    <w:p w:rsidR="001F257E" w:rsidRDefault="001F257E" w:rsidP="001F257E">
      <w:pPr>
        <w:pStyle w:val="SingleTxtG"/>
      </w:pPr>
      <w:r>
        <w:lastRenderedPageBreak/>
        <w:t>6.</w:t>
      </w:r>
      <w:r>
        <w:tab/>
        <w:t>To address these risks, we are aware that VOWT’s are being fitted with low level outlets that have a mechanism for connecting to an external hose</w:t>
      </w:r>
      <w:r w:rsidRPr="004E10EA">
        <w:t xml:space="preserve">, as shown in the </w:t>
      </w:r>
      <w:r>
        <w:t xml:space="preserve">following </w:t>
      </w:r>
      <w:r w:rsidRPr="004E10EA">
        <w:t>image</w:t>
      </w:r>
      <w:r>
        <w:t>:</w:t>
      </w:r>
    </w:p>
    <w:p w:rsidR="001F257E" w:rsidRDefault="001F257E" w:rsidP="001F257E">
      <w:pPr>
        <w:pStyle w:val="SingleTxtG"/>
        <w:ind w:right="621" w:firstLine="993"/>
      </w:pPr>
      <w:r>
        <w:rPr>
          <w:noProof/>
          <w:lang w:eastAsia="en-GB"/>
        </w:rPr>
        <w:drawing>
          <wp:inline distT="0" distB="0" distL="0" distR="0" wp14:anchorId="0D5CCC92" wp14:editId="3C20AF04">
            <wp:extent cx="2894400" cy="1443600"/>
            <wp:effectExtent l="19050" t="19050" r="20320" b="2349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400" cy="14436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F257E" w:rsidRDefault="001F257E" w:rsidP="001F257E">
      <w:pPr>
        <w:pStyle w:val="SingleTxtG"/>
        <w:ind w:right="621"/>
      </w:pPr>
    </w:p>
    <w:p w:rsidR="001F257E" w:rsidRDefault="00023FEC" w:rsidP="001F257E">
      <w:pPr>
        <w:pStyle w:val="SingleTxtG"/>
        <w:ind w:right="621"/>
      </w:pPr>
      <w:r>
        <w:t>7.</w:t>
      </w:r>
      <w:r>
        <w:tab/>
      </w:r>
      <w:r w:rsidR="001F257E">
        <w:t xml:space="preserve">A flexible pipe will be connected which directs vapours to either (a) an on-site device that </w:t>
      </w:r>
      <w:r w:rsidR="001F257E" w:rsidRPr="009A1FE6">
        <w:t>cleans the output from the vacuum pump</w:t>
      </w:r>
      <w:r w:rsidR="001F257E">
        <w:t xml:space="preserve"> or (b) an extension hose that is approximately 15m long and allows the vapours to be vented in a safe place (i.e. away from p</w:t>
      </w:r>
      <w:r w:rsidR="001F257E" w:rsidRPr="009A1FE6">
        <w:t>otential hazards, sources of ignition and personnel</w:t>
      </w:r>
      <w:r w:rsidR="001F257E">
        <w:t>). An example of such a design in operation is shown below:</w:t>
      </w:r>
    </w:p>
    <w:p w:rsidR="001F257E" w:rsidRDefault="001F257E" w:rsidP="001F257E">
      <w:pPr>
        <w:pStyle w:val="SingleTxtG"/>
        <w:ind w:right="621"/>
      </w:pPr>
    </w:p>
    <w:p w:rsidR="001F257E" w:rsidRDefault="001F257E" w:rsidP="001F257E">
      <w:pPr>
        <w:pStyle w:val="SingleTxtG"/>
        <w:tabs>
          <w:tab w:val="left" w:pos="2127"/>
          <w:tab w:val="left" w:pos="6804"/>
        </w:tabs>
        <w:ind w:left="1276" w:right="621"/>
      </w:pPr>
      <w:r>
        <w:t xml:space="preserve">        </w:t>
      </w:r>
      <w:r>
        <w:tab/>
      </w:r>
      <w:r>
        <w:rPr>
          <w:noProof/>
        </w:rPr>
        <w:drawing>
          <wp:inline distT="0" distB="0" distL="0" distR="0" wp14:anchorId="4CE70C36" wp14:editId="56CC52B3">
            <wp:extent cx="2912400" cy="1591200"/>
            <wp:effectExtent l="19050" t="19050" r="21590" b="28575"/>
            <wp:docPr id="2" name="Picture 2" descr="C:\Users\dadams\AppData\Local\Microsoft\Windows\INetCache\Content.Word\190604 - 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ams\AppData\Local\Microsoft\Windows\INetCache\Content.Word\190604 - 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40" b="20924"/>
                    <a:stretch/>
                  </pic:blipFill>
                  <pic:spPr bwMode="auto">
                    <a:xfrm>
                      <a:off x="0" y="0"/>
                      <a:ext cx="2912400" cy="15912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257E" w:rsidRPr="00E5045B" w:rsidRDefault="001F257E" w:rsidP="001F257E">
      <w:pPr>
        <w:pStyle w:val="SingleTxtG"/>
        <w:tabs>
          <w:tab w:val="left" w:pos="2127"/>
          <w:tab w:val="left" w:pos="6804"/>
        </w:tabs>
        <w:ind w:left="1276" w:right="621"/>
        <w:rPr>
          <w:b/>
        </w:rPr>
      </w:pPr>
    </w:p>
    <w:p w:rsidR="001F257E" w:rsidRDefault="00023FEC" w:rsidP="001F257E">
      <w:pPr>
        <w:pStyle w:val="SingleTxtG"/>
        <w:ind w:right="621"/>
      </w:pPr>
      <w:r>
        <w:t>8</w:t>
      </w:r>
      <w:r w:rsidR="001F257E">
        <w:t>.</w:t>
      </w:r>
      <w:r w:rsidR="001F257E">
        <w:tab/>
        <w:t xml:space="preserve">These designs create a safe solution for operators but given the specific construction requirement of RID/ADR 6.10.3.8 (a), this type of arrangement would not seem to be currently permitted. </w:t>
      </w:r>
    </w:p>
    <w:p w:rsidR="001F257E" w:rsidRDefault="00023FEC" w:rsidP="001F257E">
      <w:pPr>
        <w:pStyle w:val="SingleTxtG"/>
        <w:ind w:right="621"/>
      </w:pPr>
      <w:r>
        <w:t>9</w:t>
      </w:r>
      <w:bookmarkStart w:id="3" w:name="_GoBack"/>
      <w:bookmarkEnd w:id="3"/>
      <w:r w:rsidR="001F257E">
        <w:t>.</w:t>
      </w:r>
      <w:r w:rsidR="001F257E">
        <w:tab/>
        <w:t xml:space="preserve">In our opinion therefore, RID/ADR should be amended </w:t>
      </w:r>
      <w:r w:rsidR="001F257E" w:rsidRPr="00AE5F69">
        <w:t xml:space="preserve">to allow VOWTs to be constructed with an outlet that is not directed to a safe place but </w:t>
      </w:r>
      <w:r w:rsidR="001F257E">
        <w:t xml:space="preserve">are </w:t>
      </w:r>
      <w:r w:rsidR="001F257E" w:rsidRPr="00AE5F69">
        <w:t>designed for an external hose to be connected.</w:t>
      </w:r>
      <w:r w:rsidR="001F257E">
        <w:t xml:space="preserve"> An amendment to the operational requirements of Chapter 4.5, mandating the coupling of an external hose before loading commences is also needed to ensure operator safety.</w:t>
      </w:r>
    </w:p>
    <w:p w:rsidR="00E91321" w:rsidRPr="009F0D06" w:rsidRDefault="00E91321" w:rsidP="00E91321">
      <w:pPr>
        <w:pStyle w:val="SingleTxtG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 w:rsidR="00912D2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91321" w:rsidRPr="009F0D06" w:rsidSect="001F257E">
      <w:headerReference w:type="even" r:id="rId11"/>
      <w:headerReference w:type="default" r:id="rId12"/>
      <w:footerReference w:type="even" r:id="rId13"/>
      <w:footerReference w:type="default" r:id="rId14"/>
      <w:footnotePr>
        <w:numFmt w:val="chicago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8C0" w:rsidRDefault="00FF48C0"/>
  </w:endnote>
  <w:endnote w:type="continuationSeparator" w:id="0">
    <w:p w:rsidR="00FF48C0" w:rsidRDefault="00FF48C0"/>
  </w:endnote>
  <w:endnote w:type="continuationNotice" w:id="1">
    <w:p w:rsidR="00FF48C0" w:rsidRDefault="00FF48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94B" w:rsidRPr="004B4853" w:rsidRDefault="0047422C" w:rsidP="004B4853">
    <w:pPr>
      <w:pStyle w:val="Footer"/>
      <w:tabs>
        <w:tab w:val="right" w:pos="9638"/>
      </w:tabs>
      <w:rPr>
        <w:sz w:val="18"/>
      </w:rPr>
    </w:pPr>
    <w:r w:rsidRPr="004B4853">
      <w:rPr>
        <w:b/>
        <w:sz w:val="18"/>
      </w:rPr>
      <w:fldChar w:fldCharType="begin"/>
    </w:r>
    <w:r w:rsidR="00FA294B" w:rsidRPr="004B4853">
      <w:rPr>
        <w:b/>
        <w:sz w:val="18"/>
      </w:rPr>
      <w:instrText xml:space="preserve"> PAGE  \* MERGEFORMAT </w:instrText>
    </w:r>
    <w:r w:rsidRPr="004B4853">
      <w:rPr>
        <w:b/>
        <w:sz w:val="18"/>
      </w:rPr>
      <w:fldChar w:fldCharType="separate"/>
    </w:r>
    <w:r w:rsidR="00B77BC6">
      <w:rPr>
        <w:b/>
        <w:noProof/>
        <w:sz w:val="18"/>
      </w:rPr>
      <w:t>2</w:t>
    </w:r>
    <w:r w:rsidRPr="004B4853">
      <w:rPr>
        <w:b/>
        <w:sz w:val="18"/>
      </w:rPr>
      <w:fldChar w:fldCharType="end"/>
    </w:r>
    <w:r w:rsidR="00FA294B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94B" w:rsidRPr="004B4853" w:rsidRDefault="00FA294B" w:rsidP="004B4853">
    <w:pPr>
      <w:pStyle w:val="Footer"/>
      <w:tabs>
        <w:tab w:val="right" w:pos="9638"/>
      </w:tabs>
      <w:rPr>
        <w:b/>
        <w:sz w:val="18"/>
      </w:rPr>
    </w:pPr>
    <w:r>
      <w:tab/>
    </w:r>
    <w:r w:rsidR="0047422C" w:rsidRPr="004B4853">
      <w:rPr>
        <w:b/>
        <w:sz w:val="18"/>
      </w:rPr>
      <w:fldChar w:fldCharType="begin"/>
    </w:r>
    <w:r w:rsidRPr="004B4853">
      <w:rPr>
        <w:b/>
        <w:sz w:val="18"/>
      </w:rPr>
      <w:instrText xml:space="preserve"> PAGE  \* MERGEFORMAT </w:instrText>
    </w:r>
    <w:r w:rsidR="0047422C" w:rsidRPr="004B4853">
      <w:rPr>
        <w:b/>
        <w:sz w:val="18"/>
      </w:rPr>
      <w:fldChar w:fldCharType="separate"/>
    </w:r>
    <w:r w:rsidR="00E60A1C">
      <w:rPr>
        <w:b/>
        <w:noProof/>
        <w:sz w:val="18"/>
      </w:rPr>
      <w:t>3</w:t>
    </w:r>
    <w:r w:rsidR="0047422C" w:rsidRPr="004B4853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8C0" w:rsidRPr="000B175B" w:rsidRDefault="00FF48C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F48C0" w:rsidRPr="00FC68B7" w:rsidRDefault="00FF48C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F48C0" w:rsidRDefault="00FF48C0"/>
  </w:footnote>
  <w:footnote w:id="2">
    <w:p w:rsidR="001F257E" w:rsidRPr="006E5117" w:rsidRDefault="001F257E" w:rsidP="001F257E">
      <w:pPr>
        <w:pStyle w:val="FootnoteText"/>
        <w:ind w:left="1418" w:right="1532" w:hanging="284"/>
        <w:jc w:val="both"/>
      </w:pPr>
      <w:r w:rsidRPr="00004AD5">
        <w:rPr>
          <w:rStyle w:val="FootnoteReference"/>
          <w:sz w:val="20"/>
        </w:rPr>
        <w:footnoteRef/>
      </w:r>
      <w:r>
        <w:tab/>
        <w:t>In accordance with the programme of work of the Inland Transport Committee for 2018-2019, (ECE/TRANS/2018/21/Add.1, Cluster 9, (9.2)).</w:t>
      </w:r>
    </w:p>
  </w:footnote>
  <w:footnote w:id="3">
    <w:p w:rsidR="001F257E" w:rsidRPr="00004AD5" w:rsidRDefault="001F257E" w:rsidP="001F257E">
      <w:pPr>
        <w:pStyle w:val="FootnoteText"/>
        <w:ind w:left="1418" w:right="1532" w:hanging="284"/>
        <w:jc w:val="both"/>
        <w:rPr>
          <w:lang w:val="fr-CH"/>
        </w:rPr>
      </w:pPr>
      <w:r w:rsidRPr="00004AD5">
        <w:rPr>
          <w:rStyle w:val="FootnoteReference"/>
          <w:sz w:val="20"/>
        </w:rPr>
        <w:t>**</w:t>
      </w:r>
      <w:r>
        <w:tab/>
      </w:r>
      <w:r w:rsidRPr="00F30C99">
        <w:t xml:space="preserve">Circulated by the Intergovernmental Organisation for International Carriage by Rail (OTIF) under the symbol </w:t>
      </w:r>
      <w:r w:rsidRPr="00561474">
        <w:t>OTIF/RID/RC/201</w:t>
      </w:r>
      <w:r>
        <w:t>9</w:t>
      </w:r>
      <w:r w:rsidRPr="00561474">
        <w:t>/</w:t>
      </w:r>
      <w:r>
        <w:t>26</w:t>
      </w:r>
      <w:r w:rsidRPr="0056147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94B" w:rsidRPr="004B4853" w:rsidRDefault="00FA294B">
    <w:pPr>
      <w:pStyle w:val="Header"/>
    </w:pPr>
    <w:r>
      <w:t>ECE/TRANS/WP.15/AC.1/</w:t>
    </w:r>
    <w:r w:rsidR="001F257E">
      <w:t>2019/26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94B" w:rsidRPr="004B4853" w:rsidRDefault="00FA294B" w:rsidP="004B4853">
    <w:pPr>
      <w:pStyle w:val="Header"/>
      <w:jc w:val="right"/>
    </w:pPr>
    <w:r>
      <w:t>ECE/TRANS/WP.15/AC.1/</w:t>
    </w:r>
    <w:r w:rsidR="001F257E">
      <w:t>2019/26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61D17FE"/>
    <w:multiLevelType w:val="hybridMultilevel"/>
    <w:tmpl w:val="FED24236"/>
    <w:lvl w:ilvl="0" w:tplc="CB9A6256">
      <w:start w:val="1"/>
      <w:numFmt w:val="lowerLetter"/>
      <w:lvlText w:val="(%1)"/>
      <w:lvlJc w:val="left"/>
      <w:pPr>
        <w:ind w:left="1494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4C22"/>
    <w:rsid w:val="00023FEC"/>
    <w:rsid w:val="00040A89"/>
    <w:rsid w:val="00046B1F"/>
    <w:rsid w:val="00050F6B"/>
    <w:rsid w:val="00057CE8"/>
    <w:rsid w:val="00057E97"/>
    <w:rsid w:val="000646F4"/>
    <w:rsid w:val="00072C8C"/>
    <w:rsid w:val="000733B5"/>
    <w:rsid w:val="00081815"/>
    <w:rsid w:val="000931C0"/>
    <w:rsid w:val="000A1E28"/>
    <w:rsid w:val="000A505E"/>
    <w:rsid w:val="000B0595"/>
    <w:rsid w:val="000B175B"/>
    <w:rsid w:val="000B3A0F"/>
    <w:rsid w:val="000B4EF7"/>
    <w:rsid w:val="000C2C03"/>
    <w:rsid w:val="000C2D2E"/>
    <w:rsid w:val="000D2135"/>
    <w:rsid w:val="000E0415"/>
    <w:rsid w:val="001103AA"/>
    <w:rsid w:val="0011666B"/>
    <w:rsid w:val="00147283"/>
    <w:rsid w:val="00153ADB"/>
    <w:rsid w:val="00161F45"/>
    <w:rsid w:val="00165F3A"/>
    <w:rsid w:val="001869C3"/>
    <w:rsid w:val="001873A8"/>
    <w:rsid w:val="001B4B04"/>
    <w:rsid w:val="001B6690"/>
    <w:rsid w:val="001B73EA"/>
    <w:rsid w:val="001C148F"/>
    <w:rsid w:val="001C6663"/>
    <w:rsid w:val="001C6B59"/>
    <w:rsid w:val="001C7895"/>
    <w:rsid w:val="001D0C8C"/>
    <w:rsid w:val="001D1419"/>
    <w:rsid w:val="001D26DF"/>
    <w:rsid w:val="001D3A03"/>
    <w:rsid w:val="001E418C"/>
    <w:rsid w:val="001E7B67"/>
    <w:rsid w:val="001F257E"/>
    <w:rsid w:val="001F37ED"/>
    <w:rsid w:val="00202DA8"/>
    <w:rsid w:val="00211E0B"/>
    <w:rsid w:val="0022767F"/>
    <w:rsid w:val="00237E67"/>
    <w:rsid w:val="0024772E"/>
    <w:rsid w:val="002655A9"/>
    <w:rsid w:val="00267F5F"/>
    <w:rsid w:val="00286B4D"/>
    <w:rsid w:val="002D4643"/>
    <w:rsid w:val="002F175C"/>
    <w:rsid w:val="00302E18"/>
    <w:rsid w:val="003229D8"/>
    <w:rsid w:val="00345F65"/>
    <w:rsid w:val="00352709"/>
    <w:rsid w:val="0035696A"/>
    <w:rsid w:val="003619B5"/>
    <w:rsid w:val="00365763"/>
    <w:rsid w:val="00371178"/>
    <w:rsid w:val="00392E47"/>
    <w:rsid w:val="003A6810"/>
    <w:rsid w:val="003C2CC4"/>
    <w:rsid w:val="003D1847"/>
    <w:rsid w:val="003D383E"/>
    <w:rsid w:val="003D4B23"/>
    <w:rsid w:val="003E130E"/>
    <w:rsid w:val="003F58C0"/>
    <w:rsid w:val="00410C89"/>
    <w:rsid w:val="00422E03"/>
    <w:rsid w:val="00426B9B"/>
    <w:rsid w:val="004325CB"/>
    <w:rsid w:val="004328B1"/>
    <w:rsid w:val="00432A0A"/>
    <w:rsid w:val="00442A83"/>
    <w:rsid w:val="0045495B"/>
    <w:rsid w:val="004561E5"/>
    <w:rsid w:val="0047422C"/>
    <w:rsid w:val="0048397A"/>
    <w:rsid w:val="00485CBB"/>
    <w:rsid w:val="004866B7"/>
    <w:rsid w:val="004B2D44"/>
    <w:rsid w:val="004B4853"/>
    <w:rsid w:val="004C2461"/>
    <w:rsid w:val="004C7462"/>
    <w:rsid w:val="004E336F"/>
    <w:rsid w:val="004E77B2"/>
    <w:rsid w:val="00504B2D"/>
    <w:rsid w:val="0052136D"/>
    <w:rsid w:val="00522884"/>
    <w:rsid w:val="005264B5"/>
    <w:rsid w:val="0052775E"/>
    <w:rsid w:val="00537A27"/>
    <w:rsid w:val="005420F2"/>
    <w:rsid w:val="005627F9"/>
    <w:rsid w:val="005628B6"/>
    <w:rsid w:val="0057098F"/>
    <w:rsid w:val="00571C4F"/>
    <w:rsid w:val="005941EC"/>
    <w:rsid w:val="0059473F"/>
    <w:rsid w:val="0059724D"/>
    <w:rsid w:val="005B3DB3"/>
    <w:rsid w:val="005B4E13"/>
    <w:rsid w:val="005C342F"/>
    <w:rsid w:val="005D4763"/>
    <w:rsid w:val="005D7B49"/>
    <w:rsid w:val="005F7B75"/>
    <w:rsid w:val="006001EE"/>
    <w:rsid w:val="0060209F"/>
    <w:rsid w:val="00605042"/>
    <w:rsid w:val="00611FC4"/>
    <w:rsid w:val="006176FB"/>
    <w:rsid w:val="00637F3F"/>
    <w:rsid w:val="00640B26"/>
    <w:rsid w:val="00652D0A"/>
    <w:rsid w:val="00662BB6"/>
    <w:rsid w:val="00676606"/>
    <w:rsid w:val="006773F9"/>
    <w:rsid w:val="00684C21"/>
    <w:rsid w:val="006A2530"/>
    <w:rsid w:val="006A5F5C"/>
    <w:rsid w:val="006C1EAB"/>
    <w:rsid w:val="006C3589"/>
    <w:rsid w:val="006D2A79"/>
    <w:rsid w:val="006D37AF"/>
    <w:rsid w:val="006D51D0"/>
    <w:rsid w:val="006D5FB9"/>
    <w:rsid w:val="006E564B"/>
    <w:rsid w:val="006E7191"/>
    <w:rsid w:val="00703577"/>
    <w:rsid w:val="00705894"/>
    <w:rsid w:val="0071318C"/>
    <w:rsid w:val="0071517D"/>
    <w:rsid w:val="0072632A"/>
    <w:rsid w:val="00731663"/>
    <w:rsid w:val="007327D5"/>
    <w:rsid w:val="007629C8"/>
    <w:rsid w:val="0077047D"/>
    <w:rsid w:val="007B6BA5"/>
    <w:rsid w:val="007C020F"/>
    <w:rsid w:val="007C3390"/>
    <w:rsid w:val="007C4F4B"/>
    <w:rsid w:val="007D7761"/>
    <w:rsid w:val="007E01E9"/>
    <w:rsid w:val="007E63F3"/>
    <w:rsid w:val="007F6611"/>
    <w:rsid w:val="00804F97"/>
    <w:rsid w:val="00811920"/>
    <w:rsid w:val="00813E82"/>
    <w:rsid w:val="00815AD0"/>
    <w:rsid w:val="008242D7"/>
    <w:rsid w:val="008257B1"/>
    <w:rsid w:val="00832334"/>
    <w:rsid w:val="00843767"/>
    <w:rsid w:val="008679D9"/>
    <w:rsid w:val="00870A8C"/>
    <w:rsid w:val="008878DE"/>
    <w:rsid w:val="00891A22"/>
    <w:rsid w:val="008979B1"/>
    <w:rsid w:val="008A6B25"/>
    <w:rsid w:val="008A6C4F"/>
    <w:rsid w:val="008B2335"/>
    <w:rsid w:val="008B78B1"/>
    <w:rsid w:val="008E0678"/>
    <w:rsid w:val="008F31D2"/>
    <w:rsid w:val="008F45DE"/>
    <w:rsid w:val="00912D2A"/>
    <w:rsid w:val="00917FDE"/>
    <w:rsid w:val="009223CA"/>
    <w:rsid w:val="00922953"/>
    <w:rsid w:val="00940F93"/>
    <w:rsid w:val="00953B78"/>
    <w:rsid w:val="00961F6E"/>
    <w:rsid w:val="00961FD1"/>
    <w:rsid w:val="009760F3"/>
    <w:rsid w:val="00976758"/>
    <w:rsid w:val="00976CFB"/>
    <w:rsid w:val="009A0830"/>
    <w:rsid w:val="009A0E8D"/>
    <w:rsid w:val="009B26E7"/>
    <w:rsid w:val="009F0D06"/>
    <w:rsid w:val="00A00697"/>
    <w:rsid w:val="00A00A3F"/>
    <w:rsid w:val="00A01489"/>
    <w:rsid w:val="00A3026E"/>
    <w:rsid w:val="00A338F1"/>
    <w:rsid w:val="00A356C8"/>
    <w:rsid w:val="00A35BE0"/>
    <w:rsid w:val="00A53134"/>
    <w:rsid w:val="00A6129C"/>
    <w:rsid w:val="00A72F22"/>
    <w:rsid w:val="00A7360F"/>
    <w:rsid w:val="00A748A6"/>
    <w:rsid w:val="00A769F4"/>
    <w:rsid w:val="00A776B4"/>
    <w:rsid w:val="00A94361"/>
    <w:rsid w:val="00AA293C"/>
    <w:rsid w:val="00AE452F"/>
    <w:rsid w:val="00AE7AF8"/>
    <w:rsid w:val="00B00BB8"/>
    <w:rsid w:val="00B04B3A"/>
    <w:rsid w:val="00B26777"/>
    <w:rsid w:val="00B30179"/>
    <w:rsid w:val="00B421C1"/>
    <w:rsid w:val="00B55C71"/>
    <w:rsid w:val="00B56E4A"/>
    <w:rsid w:val="00B56E9C"/>
    <w:rsid w:val="00B575C2"/>
    <w:rsid w:val="00B64B1F"/>
    <w:rsid w:val="00B6553F"/>
    <w:rsid w:val="00B75158"/>
    <w:rsid w:val="00B77BC6"/>
    <w:rsid w:val="00B77D05"/>
    <w:rsid w:val="00B81206"/>
    <w:rsid w:val="00B8125F"/>
    <w:rsid w:val="00B81E12"/>
    <w:rsid w:val="00BB1CA8"/>
    <w:rsid w:val="00BC18A8"/>
    <w:rsid w:val="00BC3FA0"/>
    <w:rsid w:val="00BC5EC1"/>
    <w:rsid w:val="00BC74E9"/>
    <w:rsid w:val="00BC79C5"/>
    <w:rsid w:val="00BE5328"/>
    <w:rsid w:val="00BF68A8"/>
    <w:rsid w:val="00BF7FA8"/>
    <w:rsid w:val="00C11A03"/>
    <w:rsid w:val="00C22C0C"/>
    <w:rsid w:val="00C4527F"/>
    <w:rsid w:val="00C463DD"/>
    <w:rsid w:val="00C4724C"/>
    <w:rsid w:val="00C629A0"/>
    <w:rsid w:val="00C64629"/>
    <w:rsid w:val="00C745C3"/>
    <w:rsid w:val="00C96DF2"/>
    <w:rsid w:val="00CB3E03"/>
    <w:rsid w:val="00CD4AA6"/>
    <w:rsid w:val="00CE4A8F"/>
    <w:rsid w:val="00CF3398"/>
    <w:rsid w:val="00D153A1"/>
    <w:rsid w:val="00D2031B"/>
    <w:rsid w:val="00D248B6"/>
    <w:rsid w:val="00D25FE2"/>
    <w:rsid w:val="00D43252"/>
    <w:rsid w:val="00D47EEA"/>
    <w:rsid w:val="00D50E4F"/>
    <w:rsid w:val="00D52196"/>
    <w:rsid w:val="00D773DF"/>
    <w:rsid w:val="00D95303"/>
    <w:rsid w:val="00D953DB"/>
    <w:rsid w:val="00D978C6"/>
    <w:rsid w:val="00DA06C7"/>
    <w:rsid w:val="00DA3C1C"/>
    <w:rsid w:val="00DB3D96"/>
    <w:rsid w:val="00DD2ADB"/>
    <w:rsid w:val="00E046DF"/>
    <w:rsid w:val="00E169C9"/>
    <w:rsid w:val="00E21C76"/>
    <w:rsid w:val="00E27346"/>
    <w:rsid w:val="00E351A3"/>
    <w:rsid w:val="00E40910"/>
    <w:rsid w:val="00E60A1C"/>
    <w:rsid w:val="00E71BC8"/>
    <w:rsid w:val="00E7260F"/>
    <w:rsid w:val="00E73F5D"/>
    <w:rsid w:val="00E77E4E"/>
    <w:rsid w:val="00E91321"/>
    <w:rsid w:val="00E96630"/>
    <w:rsid w:val="00EB6D24"/>
    <w:rsid w:val="00EC0C12"/>
    <w:rsid w:val="00ED01AF"/>
    <w:rsid w:val="00ED38BF"/>
    <w:rsid w:val="00ED7A2A"/>
    <w:rsid w:val="00EF1D7F"/>
    <w:rsid w:val="00EF7C5C"/>
    <w:rsid w:val="00F13008"/>
    <w:rsid w:val="00F31E5F"/>
    <w:rsid w:val="00F40903"/>
    <w:rsid w:val="00F51FD3"/>
    <w:rsid w:val="00F6100A"/>
    <w:rsid w:val="00F7677B"/>
    <w:rsid w:val="00F8733B"/>
    <w:rsid w:val="00F93781"/>
    <w:rsid w:val="00FA1AAF"/>
    <w:rsid w:val="00FA294B"/>
    <w:rsid w:val="00FA7D6D"/>
    <w:rsid w:val="00FB12AF"/>
    <w:rsid w:val="00FB613B"/>
    <w:rsid w:val="00FC68B7"/>
    <w:rsid w:val="00FD0EE3"/>
    <w:rsid w:val="00FD3F98"/>
    <w:rsid w:val="00FD67D2"/>
    <w:rsid w:val="00FE106A"/>
    <w:rsid w:val="00FE4E1B"/>
    <w:rsid w:val="00FF112E"/>
    <w:rsid w:val="00FF145D"/>
    <w:rsid w:val="00FF48C0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2789C30"/>
  <w15:docId w15:val="{AB2BFD7F-FC30-4269-9951-C97D32C7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BalloonText">
    <w:name w:val="Balloon Text"/>
    <w:basedOn w:val="Normal"/>
    <w:link w:val="BalloonTextChar"/>
    <w:rsid w:val="0073166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53B78"/>
    <w:rPr>
      <w:rFonts w:cs="Courier New"/>
    </w:rPr>
  </w:style>
  <w:style w:type="paragraph" w:styleId="BodyText">
    <w:name w:val="Body Text"/>
    <w:basedOn w:val="Normal"/>
    <w:next w:val="Normal"/>
    <w:semiHidden/>
    <w:rsid w:val="00953B78"/>
  </w:style>
  <w:style w:type="paragraph" w:styleId="BodyTextIndent">
    <w:name w:val="Body Text Indent"/>
    <w:basedOn w:val="Normal"/>
    <w:semiHidden/>
    <w:rsid w:val="00953B78"/>
    <w:pPr>
      <w:spacing w:after="120"/>
      <w:ind w:left="283"/>
    </w:pPr>
  </w:style>
  <w:style w:type="paragraph" w:styleId="BlockText">
    <w:name w:val="Block Text"/>
    <w:basedOn w:val="Normal"/>
    <w:semiHidden/>
    <w:rsid w:val="00953B78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53B78"/>
    <w:rPr>
      <w:sz w:val="6"/>
    </w:rPr>
  </w:style>
  <w:style w:type="paragraph" w:styleId="CommentText">
    <w:name w:val="annotation text"/>
    <w:basedOn w:val="Normal"/>
    <w:semiHidden/>
    <w:rsid w:val="00953B78"/>
  </w:style>
  <w:style w:type="character" w:styleId="LineNumber">
    <w:name w:val="line number"/>
    <w:semiHidden/>
    <w:rsid w:val="00953B78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basedOn w:val="DefaultParagraphFont"/>
    <w:link w:val="BalloonText"/>
    <w:rsid w:val="00731663"/>
    <w:rPr>
      <w:rFonts w:ascii="Tahoma" w:hAnsi="Tahoma" w:cs="Tahoma"/>
      <w:sz w:val="16"/>
      <w:szCs w:val="16"/>
      <w:lang w:val="en-GB"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A5F5C"/>
    <w:rPr>
      <w:sz w:val="18"/>
      <w:lang w:val="en-GB" w:eastAsia="en-US"/>
    </w:rPr>
  </w:style>
  <w:style w:type="character" w:customStyle="1" w:styleId="H1GChar">
    <w:name w:val="_ H_1_G Char"/>
    <w:link w:val="H1G"/>
    <w:rsid w:val="001F257E"/>
    <w:rPr>
      <w:b/>
      <w:sz w:val="24"/>
      <w:lang w:val="en-GB" w:eastAsia="en-US"/>
    </w:rPr>
  </w:style>
  <w:style w:type="character" w:customStyle="1" w:styleId="HChGChar">
    <w:name w:val="_ H _Ch_G Char"/>
    <w:link w:val="HChG"/>
    <w:rsid w:val="001F257E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qFormat/>
    <w:rsid w:val="001F257E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36817-DF2E-437E-9F0E-29977534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Mansion</dc:creator>
  <cp:lastModifiedBy>Christine Barrio-Champeau</cp:lastModifiedBy>
  <cp:revision>5</cp:revision>
  <cp:lastPrinted>2015-12-23T15:26:00Z</cp:lastPrinted>
  <dcterms:created xsi:type="dcterms:W3CDTF">2019-06-17T09:23:00Z</dcterms:created>
  <dcterms:modified xsi:type="dcterms:W3CDTF">2019-06-19T10:10:00Z</dcterms:modified>
</cp:coreProperties>
</file>