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545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45B1" w:rsidP="007545B1">
            <w:pPr>
              <w:jc w:val="right"/>
            </w:pPr>
            <w:r w:rsidRPr="007545B1">
              <w:rPr>
                <w:sz w:val="40"/>
              </w:rPr>
              <w:t>ECE</w:t>
            </w:r>
            <w:r>
              <w:t>/TRANS/WP.15/AC.1/2019/38</w:t>
            </w:r>
          </w:p>
        </w:tc>
      </w:tr>
      <w:tr w:rsidR="002D5AAC" w:rsidRPr="007545B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545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545B1" w:rsidRDefault="007545B1" w:rsidP="007545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7545B1" w:rsidRDefault="007545B1" w:rsidP="007545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545B1" w:rsidRPr="008D53B6" w:rsidRDefault="007545B1" w:rsidP="007545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545B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45B1" w:rsidRPr="004B5628" w:rsidRDefault="007545B1" w:rsidP="007545B1">
      <w:pPr>
        <w:spacing w:before="120"/>
        <w:rPr>
          <w:sz w:val="28"/>
          <w:szCs w:val="28"/>
        </w:rPr>
      </w:pPr>
      <w:r w:rsidRPr="004B5628">
        <w:rPr>
          <w:sz w:val="28"/>
          <w:szCs w:val="28"/>
        </w:rPr>
        <w:t>Комитет по внутреннему транспорту</w:t>
      </w:r>
    </w:p>
    <w:p w:rsidR="007545B1" w:rsidRPr="004B5628" w:rsidRDefault="007545B1" w:rsidP="007545B1">
      <w:pPr>
        <w:spacing w:before="120" w:after="120"/>
        <w:rPr>
          <w:b/>
          <w:sz w:val="24"/>
          <w:szCs w:val="24"/>
        </w:rPr>
      </w:pPr>
      <w:r w:rsidRPr="004B5628">
        <w:rPr>
          <w:b/>
          <w:bCs/>
          <w:sz w:val="24"/>
          <w:szCs w:val="24"/>
        </w:rPr>
        <w:t>Рабочая группа по перевозкам опасных грузов</w:t>
      </w:r>
    </w:p>
    <w:p w:rsidR="007545B1" w:rsidRPr="00D17F16" w:rsidRDefault="007545B1" w:rsidP="007545B1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7545B1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:rsidR="007545B1" w:rsidRPr="00D17F16" w:rsidRDefault="007545B1" w:rsidP="007545B1">
      <w:r>
        <w:t>Женева, 17−27 сентября 2019 года</w:t>
      </w:r>
    </w:p>
    <w:p w:rsidR="007545B1" w:rsidRPr="00D17F16" w:rsidRDefault="007545B1" w:rsidP="007545B1">
      <w:r>
        <w:t>Пункт 5 a) предварительной повестки дня</w:t>
      </w:r>
    </w:p>
    <w:p w:rsidR="007545B1" w:rsidRPr="00D17F16" w:rsidRDefault="007545B1" w:rsidP="007545B1">
      <w:pPr>
        <w:spacing w:line="240" w:lineRule="auto"/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  <w:t>нерассмотренные вопросы</w:t>
      </w:r>
    </w:p>
    <w:p w:rsidR="007545B1" w:rsidRPr="00D17F16" w:rsidRDefault="007545B1" w:rsidP="007545B1">
      <w:pPr>
        <w:pStyle w:val="HChG"/>
      </w:pPr>
      <w:r>
        <w:tab/>
      </w:r>
      <w:r>
        <w:tab/>
      </w:r>
      <w:r>
        <w:rPr>
          <w:bCs/>
        </w:rPr>
        <w:t>Маркировка вагонов и контейнеров, содержащих опасные грузы в ограниченных количествах</w:t>
      </w:r>
    </w:p>
    <w:p w:rsidR="007545B1" w:rsidRPr="00D17F16" w:rsidRDefault="007545B1" w:rsidP="0086757D">
      <w:pPr>
        <w:pStyle w:val="H1G"/>
      </w:pPr>
      <w:r>
        <w:tab/>
      </w:r>
      <w:r>
        <w:tab/>
      </w:r>
      <w:r>
        <w:tab/>
        <w:t>Передано правительствами Швейцарии и Швеции</w:t>
      </w:r>
      <w:r w:rsidRPr="007545B1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7545B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545B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7545B1" w:rsidRPr="00E940D0" w:rsidTr="00646182">
        <w:trPr>
          <w:jc w:val="center"/>
        </w:trPr>
        <w:tc>
          <w:tcPr>
            <w:tcW w:w="9082" w:type="dxa"/>
            <w:shd w:val="clear" w:color="auto" w:fill="auto"/>
          </w:tcPr>
          <w:p w:rsidR="007545B1" w:rsidRPr="00E940D0" w:rsidRDefault="007545B1" w:rsidP="00A766AC">
            <w:pPr>
              <w:tabs>
                <w:tab w:val="left" w:pos="255"/>
              </w:tabs>
              <w:spacing w:before="120" w:after="120"/>
              <w:rPr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ab/>
            </w:r>
            <w:r w:rsidRPr="007545B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545B1" w:rsidRPr="00A416F9" w:rsidTr="00646182">
        <w:trPr>
          <w:jc w:val="center"/>
        </w:trPr>
        <w:tc>
          <w:tcPr>
            <w:tcW w:w="9082" w:type="dxa"/>
            <w:shd w:val="clear" w:color="auto" w:fill="auto"/>
          </w:tcPr>
          <w:p w:rsidR="007545B1" w:rsidRPr="00D17F16" w:rsidRDefault="007545B1" w:rsidP="007545B1">
            <w:pPr>
              <w:pStyle w:val="SingleTxtG"/>
              <w:tabs>
                <w:tab w:val="left" w:pos="1134"/>
              </w:tabs>
              <w:ind w:left="3402" w:hanging="2374"/>
            </w:pPr>
            <w:r w:rsidRPr="00C45802">
              <w:rPr>
                <w:b/>
              </w:rPr>
              <w:t>Существо предложения</w:t>
            </w:r>
            <w:r w:rsidRPr="00C45802">
              <w:t>:</w:t>
            </w:r>
            <w:r w:rsidRPr="00C45802">
              <w:tab/>
            </w:r>
            <w:r w:rsidRPr="0086757D">
              <w:rPr>
                <w:lang w:val="en-US"/>
              </w:rPr>
              <w:t xml:space="preserve">Вагоны и контейнеры, загруженные одновременно опасными грузами в ограниченных количествах и опасными грузами, к которым правила применяются в полном объеме, не обязаны нести маркировочный знак для ограниченных количеств. </w:t>
            </w:r>
            <w:r w:rsidRPr="007545B1">
              <w:rPr>
                <w:lang w:val="en-US"/>
              </w:rPr>
              <w:t xml:space="preserve">Это может привести к тому, что маркировка на вагоне или контейнере не будет отражать действительную опасность, которая может привести к серьезным проблемам безопасности в случае аварии. </w:t>
            </w:r>
          </w:p>
        </w:tc>
      </w:tr>
      <w:tr w:rsidR="007545B1" w:rsidRPr="00A416F9" w:rsidTr="00646182">
        <w:trPr>
          <w:jc w:val="center"/>
        </w:trPr>
        <w:tc>
          <w:tcPr>
            <w:tcW w:w="9082" w:type="dxa"/>
            <w:shd w:val="clear" w:color="auto" w:fill="auto"/>
          </w:tcPr>
          <w:p w:rsidR="007545B1" w:rsidRPr="007545B1" w:rsidRDefault="007545B1" w:rsidP="007545B1">
            <w:pPr>
              <w:pStyle w:val="SingleTxtG"/>
              <w:tabs>
                <w:tab w:val="left" w:pos="1134"/>
              </w:tabs>
              <w:ind w:left="3402" w:hanging="2374"/>
            </w:pPr>
            <w:r w:rsidRPr="007545B1">
              <w:rPr>
                <w:b/>
              </w:rPr>
              <w:t>Предлагаемое решение</w:t>
            </w:r>
            <w:r w:rsidRPr="007545B1">
              <w:t>:</w:t>
            </w:r>
            <w:r>
              <w:tab/>
            </w:r>
            <w:r w:rsidRPr="007545B1">
              <w:t xml:space="preserve">Внести поправки в пункт 3.4.13 </w:t>
            </w:r>
            <w:r w:rsidRPr="007545B1">
              <w:rPr>
                <w:lang w:val="en-US"/>
              </w:rPr>
              <w:t>b</w:t>
            </w:r>
            <w:r w:rsidRPr="007545B1">
              <w:t xml:space="preserve">) ДОПОГ и </w:t>
            </w:r>
            <w:r>
              <w:br/>
            </w:r>
            <w:r w:rsidRPr="007545B1">
              <w:t xml:space="preserve">пункты 3.4.13 а) и </w:t>
            </w:r>
            <w:r w:rsidRPr="007545B1">
              <w:rPr>
                <w:lang w:val="en-US"/>
              </w:rPr>
              <w:t>b</w:t>
            </w:r>
            <w:r w:rsidRPr="007545B1">
              <w:t>) МПОГ.</w:t>
            </w:r>
          </w:p>
        </w:tc>
      </w:tr>
      <w:tr w:rsidR="007545B1" w:rsidRPr="00A416F9" w:rsidTr="00646182">
        <w:trPr>
          <w:jc w:val="center"/>
        </w:trPr>
        <w:tc>
          <w:tcPr>
            <w:tcW w:w="9082" w:type="dxa"/>
            <w:shd w:val="clear" w:color="auto" w:fill="auto"/>
          </w:tcPr>
          <w:p w:rsidR="007545B1" w:rsidRPr="00A766AC" w:rsidRDefault="007545B1" w:rsidP="00A766AC">
            <w:pPr>
              <w:pStyle w:val="SingleTxtG"/>
              <w:tabs>
                <w:tab w:val="left" w:pos="1134"/>
              </w:tabs>
              <w:ind w:left="3402" w:hanging="2374"/>
              <w:jc w:val="left"/>
            </w:pPr>
            <w:r w:rsidRPr="007545B1">
              <w:rPr>
                <w:b/>
              </w:rPr>
              <w:t>Справочные документы</w:t>
            </w:r>
            <w:r w:rsidRPr="007545B1">
              <w:t>:</w:t>
            </w:r>
            <w:r w:rsidRPr="007545B1">
              <w:tab/>
            </w:r>
            <w:r w:rsidRPr="007545B1">
              <w:rPr>
                <w:lang w:val="en-US"/>
              </w:rPr>
              <w:t>OTIF</w:t>
            </w:r>
            <w:r w:rsidRPr="007545B1">
              <w:t>/</w:t>
            </w:r>
            <w:r w:rsidRPr="007545B1">
              <w:rPr>
                <w:lang w:val="en-US"/>
              </w:rPr>
              <w:t>RID</w:t>
            </w:r>
            <w:r w:rsidRPr="007545B1">
              <w:t>/</w:t>
            </w:r>
            <w:r w:rsidRPr="007545B1">
              <w:rPr>
                <w:lang w:val="en-US"/>
              </w:rPr>
              <w:t>CE</w:t>
            </w:r>
            <w:r w:rsidRPr="007545B1">
              <w:t>/</w:t>
            </w:r>
            <w:r w:rsidRPr="007545B1">
              <w:rPr>
                <w:lang w:val="en-US"/>
              </w:rPr>
              <w:t>GTP</w:t>
            </w:r>
            <w:r w:rsidRPr="007545B1">
              <w:t xml:space="preserve">/2017/9 (Швеция) </w:t>
            </w:r>
            <w:r w:rsidR="0086757D">
              <w:br/>
            </w:r>
            <w:r w:rsidRPr="007545B1">
              <w:rPr>
                <w:lang w:val="en-US"/>
              </w:rPr>
              <w:t>OTIF</w:t>
            </w:r>
            <w:r w:rsidRPr="007545B1">
              <w:t>/</w:t>
            </w:r>
            <w:r w:rsidRPr="007545B1">
              <w:rPr>
                <w:lang w:val="en-US"/>
              </w:rPr>
              <w:t>RID</w:t>
            </w:r>
            <w:r w:rsidRPr="007545B1">
              <w:t>/</w:t>
            </w:r>
            <w:r w:rsidRPr="007545B1">
              <w:rPr>
                <w:lang w:val="en-US"/>
              </w:rPr>
              <w:t>CE</w:t>
            </w:r>
            <w:r w:rsidRPr="007545B1">
              <w:t>/</w:t>
            </w:r>
            <w:r w:rsidRPr="007545B1">
              <w:rPr>
                <w:lang w:val="en-US"/>
              </w:rPr>
              <w:t>GTP</w:t>
            </w:r>
            <w:r w:rsidRPr="007545B1">
              <w:t>/2017-</w:t>
            </w:r>
            <w:r w:rsidRPr="007545B1">
              <w:rPr>
                <w:lang w:val="en-US"/>
              </w:rPr>
              <w:t>A</w:t>
            </w:r>
            <w:r w:rsidRPr="007545B1">
              <w:t xml:space="preserve"> </w:t>
            </w:r>
            <w:r w:rsidR="0086757D">
              <w:br/>
            </w:r>
            <w:r w:rsidRPr="007545B1">
              <w:rPr>
                <w:lang w:val="en-US"/>
              </w:rPr>
              <w:t>TRANS</w:t>
            </w:r>
            <w:r w:rsidRPr="007545B1">
              <w:t>/</w:t>
            </w:r>
            <w:r w:rsidRPr="007545B1">
              <w:rPr>
                <w:lang w:val="en-US"/>
              </w:rPr>
              <w:t>WP</w:t>
            </w:r>
            <w:r w:rsidRPr="007545B1">
              <w:t>.15/</w:t>
            </w:r>
            <w:r w:rsidRPr="007545B1">
              <w:rPr>
                <w:lang w:val="en-US"/>
              </w:rPr>
              <w:t>AC</w:t>
            </w:r>
            <w:r w:rsidRPr="007545B1">
              <w:t xml:space="preserve">.1/2018/14 </w:t>
            </w:r>
            <w:r w:rsidR="0086757D">
              <w:br/>
            </w:r>
            <w:r w:rsidRPr="007545B1">
              <w:rPr>
                <w:lang w:val="en-US"/>
              </w:rPr>
              <w:t>ECE</w:t>
            </w:r>
            <w:r w:rsidRPr="007545B1">
              <w:t>/</w:t>
            </w:r>
            <w:r w:rsidRPr="007545B1">
              <w:rPr>
                <w:lang w:val="en-US"/>
              </w:rPr>
              <w:t>TRANS</w:t>
            </w:r>
            <w:r w:rsidRPr="007545B1">
              <w:t>/</w:t>
            </w:r>
            <w:r w:rsidRPr="007545B1">
              <w:rPr>
                <w:lang w:val="en-US"/>
              </w:rPr>
              <w:t>WP</w:t>
            </w:r>
            <w:r w:rsidRPr="007545B1">
              <w:t>.15/</w:t>
            </w:r>
            <w:r w:rsidRPr="007545B1">
              <w:rPr>
                <w:lang w:val="en-US"/>
              </w:rPr>
              <w:t>AC</w:t>
            </w:r>
            <w:r w:rsidRPr="007545B1">
              <w:t xml:space="preserve">.1/150 </w:t>
            </w:r>
            <w:r w:rsidR="0086757D">
              <w:br/>
            </w:r>
            <w:r w:rsidRPr="007545B1">
              <w:rPr>
                <w:lang w:val="en-US"/>
              </w:rPr>
              <w:t>ECE</w:t>
            </w:r>
            <w:r w:rsidRPr="007545B1">
              <w:t>/</w:t>
            </w:r>
            <w:r w:rsidRPr="007545B1">
              <w:rPr>
                <w:lang w:val="en-US"/>
              </w:rPr>
              <w:t>TRANS</w:t>
            </w:r>
            <w:r w:rsidRPr="007545B1">
              <w:t>/</w:t>
            </w:r>
            <w:r w:rsidRPr="007545B1">
              <w:rPr>
                <w:lang w:val="en-US"/>
              </w:rPr>
              <w:t>WP</w:t>
            </w:r>
            <w:r w:rsidRPr="007545B1">
              <w:t>.15/2019/7</w:t>
            </w:r>
            <w:r w:rsidR="00A766AC">
              <w:br/>
            </w:r>
            <w:r w:rsidRPr="00A766AC">
              <w:t xml:space="preserve">Неофициальный документ </w:t>
            </w:r>
            <w:r w:rsidRPr="007545B1">
              <w:rPr>
                <w:lang w:val="en-US"/>
              </w:rPr>
              <w:t>INF</w:t>
            </w:r>
            <w:r w:rsidRPr="00A766AC">
              <w:t xml:space="preserve">.7 – </w:t>
            </w:r>
            <w:r w:rsidR="0086757D">
              <w:br/>
            </w:r>
            <w:r w:rsidRPr="00A766AC">
              <w:t>Замечания по документу 2019/7</w:t>
            </w:r>
          </w:p>
        </w:tc>
      </w:tr>
      <w:tr w:rsidR="007545B1" w:rsidRPr="00A416F9" w:rsidTr="00646182">
        <w:trPr>
          <w:jc w:val="center"/>
        </w:trPr>
        <w:tc>
          <w:tcPr>
            <w:tcW w:w="9082" w:type="dxa"/>
            <w:shd w:val="clear" w:color="auto" w:fill="auto"/>
          </w:tcPr>
          <w:p w:rsidR="007545B1" w:rsidRPr="00D17F16" w:rsidRDefault="007545B1" w:rsidP="00A766AC">
            <w:pPr>
              <w:spacing w:line="200" w:lineRule="atLeast"/>
            </w:pPr>
          </w:p>
        </w:tc>
      </w:tr>
    </w:tbl>
    <w:p w:rsidR="007545B1" w:rsidRPr="00D17F16" w:rsidRDefault="007545B1" w:rsidP="007545B1">
      <w:pPr>
        <w:pStyle w:val="HChG"/>
        <w:ind w:firstLine="0"/>
      </w:pPr>
      <w:r>
        <w:rPr>
          <w:bCs/>
        </w:rPr>
        <w:lastRenderedPageBreak/>
        <w:t>Справочная информация</w:t>
      </w:r>
    </w:p>
    <w:p w:rsidR="007545B1" w:rsidRPr="00D17F16" w:rsidRDefault="007545B1" w:rsidP="007545B1">
      <w:pPr>
        <w:pStyle w:val="SingleTxtG"/>
      </w:pPr>
      <w:r>
        <w:t>1.</w:t>
      </w:r>
      <w:r>
        <w:tab/>
        <w:t xml:space="preserve">В ходе восьмой сессии постоянной рабочей группы Комиссии экспертов МПОГ Швеция представила документ (2017/9) о маркировке вагонов, содержащих опасные грузы в ограниченных количествах. Однако рабочая группа сочла, что следует также учесть контейнеры и что поэтому данный вопрос должен быть рассмотрен Совместным совещанием в марте 2018 года. На Совместном совещании мнения разделились. Швеция согласилась дополнительно изучить высказанные замечания и вернуться к этому вопросу на одной из будущих сессий. </w:t>
      </w:r>
    </w:p>
    <w:p w:rsidR="007545B1" w:rsidRPr="00D17F16" w:rsidRDefault="007545B1" w:rsidP="007545B1">
      <w:pPr>
        <w:pStyle w:val="SingleTxtG"/>
      </w:pPr>
      <w:r>
        <w:t>2.</w:t>
      </w:r>
      <w:r>
        <w:tab/>
        <w:t>В связи с предложением Швейцарии (2019/7), за которым последовал неофициальный документ Швеции (INF.7), этот вопрос был также обсужден Рабочей группой по перевозкам опасных грузов (WP.15) в мае 2019 года. Предложение, содержащееся в документе INF.7, получило определенную поддержку, однако вновь было передано Совместному совещанию для рассмотрения с точки зрения как железнодорожного, так и автомобильного транспорта.</w:t>
      </w:r>
    </w:p>
    <w:p w:rsidR="007545B1" w:rsidRPr="00D17F16" w:rsidRDefault="007545B1" w:rsidP="007545B1">
      <w:pPr>
        <w:pStyle w:val="HChG"/>
        <w:ind w:firstLine="0"/>
      </w:pPr>
      <w:r>
        <w:rPr>
          <w:bCs/>
        </w:rPr>
        <w:t>Введение</w:t>
      </w:r>
    </w:p>
    <w:p w:rsidR="007545B1" w:rsidRPr="00D17F16" w:rsidRDefault="007545B1" w:rsidP="007545B1">
      <w:pPr>
        <w:pStyle w:val="SingleTxtG"/>
      </w:pPr>
      <w:r>
        <w:t>3.</w:t>
      </w:r>
      <w:r>
        <w:tab/>
        <w:t xml:space="preserve">Согласно докладу Совместного совещания, состоявшегося в марте прошлого года, большинство выступивших делегаций отметили, что опасные грузы, разрешенные к перевозке в ограниченных количествах, – это грузы, представляющие низкую степень опасности во время перевозки. Поэтому они сочли, что размещение маркировочного знака LQ не приведет к повышению безопасности, так как данный маркировочный знак не сообщает никакой информации о характере опасности перевозимых грузов. </w:t>
      </w:r>
    </w:p>
    <w:p w:rsidR="007545B1" w:rsidRPr="00D17F16" w:rsidRDefault="007545B1" w:rsidP="007545B1">
      <w:pPr>
        <w:pStyle w:val="SingleTxtG"/>
      </w:pPr>
      <w:r>
        <w:t>4.</w:t>
      </w:r>
      <w:r>
        <w:tab/>
        <w:t xml:space="preserve">Швеция и Швейцария не согласны с тем, что маркировочный знак LQ не позволит повысить безопасность, на том основании, что при количестве </w:t>
      </w:r>
      <w:r w:rsidR="0086757D">
        <w:br/>
      </w:r>
      <w:r>
        <w:t>свыше 8</w:t>
      </w:r>
      <w:r w:rsidR="0086757D">
        <w:rPr>
          <w:lang w:val="en-US"/>
        </w:rPr>
        <w:t> </w:t>
      </w:r>
      <w:r>
        <w:t xml:space="preserve">т маркировочный знак LQ </w:t>
      </w:r>
      <w:r>
        <w:rPr>
          <w:u w:val="single"/>
        </w:rPr>
        <w:t>требуется</w:t>
      </w:r>
      <w:r>
        <w:t xml:space="preserve">. Насколько мы понимаем, обоснованность требования о наличии маркировочного знака LQ при количестве свыше 8 т заключается в том, что разрешенное количество груза считается настолько большим, что информирование аварийно-спасательных служб о его существовании действительно </w:t>
      </w:r>
      <w:r>
        <w:rPr>
          <w:i/>
          <w:iCs/>
        </w:rPr>
        <w:t>имеет</w:t>
      </w:r>
      <w:r>
        <w:t xml:space="preserve"> значение. Верно то, что этот знак не дает никаких указаний на характер опасности, однако он информирует аварийно-спасательные службы о том, что существует опасность, к</w:t>
      </w:r>
      <w:r w:rsidR="0086757D">
        <w:t>оторая может варьироваться, т.</w:t>
      </w:r>
      <w:r w:rsidR="0086757D">
        <w:rPr>
          <w:lang w:val="en-US"/>
        </w:rPr>
        <w:t> </w:t>
      </w:r>
      <w:r>
        <w:t>е</w:t>
      </w:r>
      <w:r w:rsidR="0086757D" w:rsidRPr="0086757D">
        <w:t>.</w:t>
      </w:r>
      <w:r>
        <w:t xml:space="preserve"> сообщает информацию, которая имеет весьма важное значение, например, при пожаротушении. Такая же информация указана на табличке оранжевого цвета. </w:t>
      </w:r>
    </w:p>
    <w:p w:rsidR="007545B1" w:rsidRPr="00D17F16" w:rsidRDefault="007545B1" w:rsidP="007545B1">
      <w:pPr>
        <w:pStyle w:val="SingleTxtG"/>
      </w:pPr>
      <w:r>
        <w:t>5.</w:t>
      </w:r>
      <w:r>
        <w:tab/>
        <w:t xml:space="preserve">Однако без использования табличек оранжевого цвета невозможно обойтись ни при каких обстоятельствах, в то время как маркировочным знаком LQ можно пренебречь в соответствии с пунктом 3.4.13. Это означает, что в случае, если вагон или контейнер, загруженный ограниченным количеством, также содержит опасные грузы, требующие размещения большого знака опасности, маркировочный знак LQ может быть удален. Это приводит к потере информации о типе перевозимых грузов и риску того, что большой знак опасности будет восприниматься как представляющий весь груз. Исходя из соображений безопасности, мы считаем это весьма печальным обстоятельством. </w:t>
      </w:r>
    </w:p>
    <w:p w:rsidR="007545B1" w:rsidRPr="00D17F16" w:rsidRDefault="007545B1" w:rsidP="007545B1">
      <w:pPr>
        <w:pStyle w:val="SingleTxtG"/>
      </w:pPr>
      <w:r>
        <w:t>6.</w:t>
      </w:r>
      <w:r>
        <w:tab/>
        <w:t>В докладе Совместного совещания также говорится следующее:</w:t>
      </w:r>
    </w:p>
    <w:p w:rsidR="007545B1" w:rsidRPr="00D17F16" w:rsidRDefault="007545B1" w:rsidP="007545B1">
      <w:pPr>
        <w:pStyle w:val="SingleTxtG"/>
      </w:pPr>
      <w:r>
        <w:t>«Другие делегации сочли, что такой же аргумент (</w:t>
      </w:r>
      <w:r>
        <w:rPr>
          <w:i/>
          <w:iCs/>
        </w:rPr>
        <w:t>не сообщается информация о характере опасности</w:t>
      </w:r>
      <w:r>
        <w:t>) можно использовать для того, чтобы поставить под вопрос полезность табличек оранжевого цвета. Вместе с тем было отмечено, что, когда требуются таблички оранжевого цвета, информация о характере перевозимых грузов должна указываться в транспортном документе, в то время как этого не требуется делать в случае опасных грузов, перевозимых в ограниченных количествах.».</w:t>
      </w:r>
    </w:p>
    <w:p w:rsidR="007545B1" w:rsidRPr="00D17F16" w:rsidRDefault="007545B1" w:rsidP="007545B1">
      <w:pPr>
        <w:pStyle w:val="SingleTxtG"/>
        <w:rPr>
          <w:b/>
          <w:i/>
        </w:rPr>
      </w:pPr>
      <w:r>
        <w:t>7.</w:t>
      </w:r>
      <w:r>
        <w:tab/>
        <w:t xml:space="preserve">На наш взгляд, это доказывает еще большую важность нанесения маркировочного знака LQ, поскольку это единственное указание на то, что </w:t>
      </w:r>
      <w:bookmarkStart w:id="0" w:name="_GoBack"/>
      <w:bookmarkEnd w:id="0"/>
      <w:r>
        <w:lastRenderedPageBreak/>
        <w:t>транспортная единица содержит опасные грузы, которые могут представлять различные виды опасности.</w:t>
      </w:r>
    </w:p>
    <w:p w:rsidR="007545B1" w:rsidRPr="00CF4171" w:rsidRDefault="007545B1" w:rsidP="007545B1">
      <w:pPr>
        <w:pStyle w:val="SingleTxtG"/>
        <w:rPr>
          <w:b/>
        </w:rPr>
      </w:pPr>
      <w:r>
        <w:rPr>
          <w:b/>
          <w:bCs/>
          <w:i/>
          <w:iCs/>
        </w:rPr>
        <w:t>Сценарии: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690"/>
        <w:gridCol w:w="3243"/>
      </w:tblGrid>
      <w:tr w:rsidR="007545B1" w:rsidTr="00646182"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Default="007545B1" w:rsidP="0086757D">
            <w:pPr>
              <w:spacing w:before="80" w:after="80" w:line="276" w:lineRule="auto"/>
              <w:ind w:left="1134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bCs/>
              </w:rPr>
              <w:t>Контейнер или вагон</w:t>
            </w:r>
          </w:p>
        </w:tc>
      </w:tr>
      <w:tr w:rsidR="007545B1" w:rsidRPr="00A416F9" w:rsidTr="0064618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Default="007545B1" w:rsidP="00646182">
            <w:pPr>
              <w:ind w:left="1134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B1" w:rsidRDefault="007545B1" w:rsidP="00646182">
            <w:pPr>
              <w:ind w:left="1134"/>
              <w:rPr>
                <w:b/>
              </w:rPr>
            </w:pPr>
            <w:r>
              <w:rPr>
                <w:b/>
                <w:bCs/>
              </w:rPr>
              <w:t>Груз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B1" w:rsidRPr="00D17F16" w:rsidRDefault="007545B1" w:rsidP="0086757D">
            <w:pPr>
              <w:ind w:left="306"/>
              <w:rPr>
                <w:b/>
              </w:rPr>
            </w:pPr>
            <w:r>
              <w:rPr>
                <w:b/>
                <w:bCs/>
                <w:i/>
                <w:iCs/>
              </w:rPr>
              <w:t>Требуется</w:t>
            </w:r>
            <w:r>
              <w:rPr>
                <w:b/>
                <w:bCs/>
              </w:rPr>
              <w:t xml:space="preserve"> </w:t>
            </w:r>
            <w:r w:rsidR="0086757D">
              <w:rPr>
                <w:b/>
                <w:bCs/>
              </w:rPr>
              <w:br/>
            </w:r>
            <w:r>
              <w:rPr>
                <w:b/>
                <w:bCs/>
              </w:rPr>
              <w:t>размещение больших знаков/</w:t>
            </w:r>
            <w:r w:rsidR="0086757D">
              <w:rPr>
                <w:b/>
                <w:bCs/>
              </w:rPr>
              <w:br/>
            </w:r>
            <w:r>
              <w:rPr>
                <w:b/>
                <w:bCs/>
              </w:rPr>
              <w:t>маркировочных знаков</w:t>
            </w:r>
          </w:p>
        </w:tc>
      </w:tr>
      <w:tr w:rsidR="007545B1" w:rsidTr="00646182">
        <w:trPr>
          <w:trHeight w:val="112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Pr="00115A1F" w:rsidRDefault="007545B1" w:rsidP="0064618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15A1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B1" w:rsidRPr="004B5628" w:rsidRDefault="007545B1" w:rsidP="0086757D">
            <w:pPr>
              <w:pStyle w:val="ListParagraph"/>
              <w:numPr>
                <w:ilvl w:val="0"/>
                <w:numId w:val="22"/>
              </w:numPr>
              <w:ind w:left="483" w:hanging="284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28 000 литров № ООН 1170 Этанол, 3, III, </w:t>
            </w:r>
            <w:r w:rsidR="0086757D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 5 600 пластмассовых канистрах емкостью 5</w:t>
            </w:r>
            <w:r w:rsidR="008675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 </w:t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литров каждая (LQ)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Default="007545B1" w:rsidP="00646182">
            <w:pPr>
              <w:spacing w:after="200" w:line="276" w:lineRule="auto"/>
              <w:ind w:left="249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74D6F" wp14:editId="3BA27C2B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183515</wp:posOffset>
                  </wp:positionV>
                  <wp:extent cx="410210" cy="410210"/>
                  <wp:effectExtent l="95250" t="95250" r="85090" b="85090"/>
                  <wp:wrapNone/>
                  <wp:docPr id="4" name="Bildobjekt 4" descr="https://www.msb.se/Upload/Forebyggande/farligt_gods/Skyltar_etiketter/bmp/LQ_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https://www.msb.se/Upload/Forebyggande/farligt_gods/Skyltar_etiketter/bmp/LQ_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84875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LQ </w:t>
            </w:r>
          </w:p>
          <w:p w:rsidR="007545B1" w:rsidRPr="0086757D" w:rsidRDefault="007545B1" w:rsidP="00646182">
            <w:pPr>
              <w:spacing w:after="200" w:line="276" w:lineRule="auto"/>
              <w:ind w:left="249"/>
              <w:rPr>
                <w:rFonts w:eastAsia="Calibri"/>
              </w:rPr>
            </w:pPr>
          </w:p>
        </w:tc>
      </w:tr>
      <w:tr w:rsidR="007545B1" w:rsidTr="0064618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Pr="00115A1F" w:rsidRDefault="007545B1" w:rsidP="0064618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15A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B1" w:rsidRPr="00115A1F" w:rsidRDefault="007545B1" w:rsidP="007545B1">
            <w:pPr>
              <w:pStyle w:val="ListParagraph"/>
              <w:numPr>
                <w:ilvl w:val="0"/>
                <w:numId w:val="23"/>
              </w:numPr>
              <w:ind w:left="483" w:hanging="284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28 000 литров № ООН 1170 Этанол, 3, III, </w:t>
            </w:r>
            <w:r w:rsidR="0086757D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 5 600 пластмассовых канистрах емкостью 5</w:t>
            </w:r>
            <w:r w:rsidR="008675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 </w:t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литров каждая (LQ)</w:t>
            </w:r>
          </w:p>
          <w:p w:rsidR="007545B1" w:rsidRPr="004B5628" w:rsidRDefault="007545B1" w:rsidP="00646182">
            <w:pPr>
              <w:pStyle w:val="ListParagraph"/>
              <w:ind w:left="483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15A1F">
              <w:rPr>
                <w:rFonts w:asciiTheme="majorBidi" w:hAnsiTheme="majorBidi" w:cstheme="majorBidi"/>
                <w:i/>
                <w:iCs/>
                <w:sz w:val="20"/>
                <w:szCs w:val="20"/>
                <w:lang w:val="ru-RU"/>
              </w:rPr>
              <w:t>и</w:t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7545B1" w:rsidRPr="004B5628" w:rsidRDefault="007545B1" w:rsidP="007545B1">
            <w:pPr>
              <w:pStyle w:val="ListParagraph"/>
              <w:numPr>
                <w:ilvl w:val="0"/>
                <w:numId w:val="23"/>
              </w:numPr>
              <w:ind w:left="483" w:hanging="284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60 кг № ООН 3077 Вещество, опасное для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окружающей среды, твердое, н.у.к., 9, </w:t>
            </w:r>
            <w:r w:rsidR="0086757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III, в </w:t>
            </w:r>
            <w:r w:rsidRPr="004B56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барабане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B1" w:rsidRDefault="007545B1" w:rsidP="0086757D">
            <w:pPr>
              <w:spacing w:before="120" w:after="200" w:line="276" w:lineRule="auto"/>
              <w:ind w:left="249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38261E0" wp14:editId="1BF1A99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76835</wp:posOffset>
                  </wp:positionV>
                  <wp:extent cx="414655" cy="418465"/>
                  <wp:effectExtent l="95250" t="95250" r="99695" b="95885"/>
                  <wp:wrapNone/>
                  <wp:docPr id="5" name="Bildobjekt 3" descr="https://www.msb.se/Upload/Forebyggande/farligt_gods/Skyltar_etiketter/bmp/Nr%209%20%c3%96vriga%20farliga%20%c3%a4mnen%20och%20f%c3%b6rem%c3%a5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https://www.msb.se/Upload/Forebyggande/farligt_gods/Skyltar_etiketter/bmp/Nr%209%20%c3%96vriga%20farliga%20%c3%a4mnen%20och%20f%c3%b6rem%c3%a5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90859" flipV="1">
                            <a:off x="0" y="0"/>
                            <a:ext cx="414655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№ 9</w:t>
            </w:r>
          </w:p>
          <w:p w:rsidR="007545B1" w:rsidRDefault="007545B1" w:rsidP="00646182">
            <w:pPr>
              <w:spacing w:after="200" w:line="276" w:lineRule="auto"/>
              <w:ind w:left="249"/>
              <w:rPr>
                <w:rFonts w:eastAsia="Calibri"/>
                <w:lang w:val="en-US"/>
              </w:rPr>
            </w:pPr>
          </w:p>
        </w:tc>
      </w:tr>
    </w:tbl>
    <w:p w:rsidR="007545B1" w:rsidRPr="00D17F16" w:rsidRDefault="007545B1" w:rsidP="00696F44">
      <w:pPr>
        <w:pStyle w:val="SingleTxtG"/>
        <w:spacing w:before="120"/>
      </w:pPr>
      <w:r>
        <w:t>8.</w:t>
      </w:r>
      <w:r>
        <w:tab/>
        <w:t>Как показано в приведенных выше примерах, преимущественную силу имеют положения, касающиеся грузов, к которым правила применяются в полном объеме. Именно от них зависит, какая информация должна быть размещена на контейнере (сценарий 2), а отнюдь не от реальной и более насущной опасности, что создает определенную проблему. Опасность для людей и окружающей среды, например, барабана, содержащего 60 кг опасного для окружающей среды вещества класса 9 (перевозимого в качестве опасного груза, к которому правила применяются в полном объеме, а не в качестве LQ), не может быть настолько серьезной, чтобы иметь преимущественную силу при определении того, как обозначать опасность на вагоне/контейнере, в котором также содержится более 8 т, например, этанола, упакованного в ограниченных количествах.</w:t>
      </w:r>
    </w:p>
    <w:p w:rsidR="007545B1" w:rsidRPr="00D17F16" w:rsidRDefault="007545B1" w:rsidP="007545B1">
      <w:pPr>
        <w:pStyle w:val="SingleTxtG"/>
      </w:pPr>
      <w:r>
        <w:t>9.</w:t>
      </w:r>
      <w:r>
        <w:tab/>
        <w:t>Однако в случае транспортных единиц, содержащих опасные грузы, упакованные в ограниченных количествах, складыва</w:t>
      </w:r>
      <w:r w:rsidR="007D73C8">
        <w:t>ется несколько иная ситуация. В </w:t>
      </w:r>
      <w:r>
        <w:t>этом случае маркировочные знаки LQ можно не наносить, если в транспортной единице также содержатся опасные грузы, для которых требуется маркировка в виде табличек оранжевого цвета в соответствии с разделом 5.3.2. Однако, поскольку таблички оранжевого цвета содержат ту же информацию об опасностях опасных грузов (т.</w:t>
      </w:r>
      <w:r w:rsidR="007D73C8">
        <w:rPr>
          <w:lang w:val="en-US"/>
        </w:rPr>
        <w:t> </w:t>
      </w:r>
      <w:r>
        <w:t>е. опасности могут варьироваться, поскольку груз может состоять из различных видов опасных грузов), необходимость нанесения маркировки LQ, по нашему мнению, была бы излишней.</w:t>
      </w:r>
    </w:p>
    <w:p w:rsidR="007545B1" w:rsidRPr="001A5206" w:rsidRDefault="007545B1" w:rsidP="007545B1">
      <w:pPr>
        <w:pStyle w:val="SingleTxtG"/>
      </w:pPr>
      <w:r>
        <w:t>10.</w:t>
      </w:r>
      <w:r>
        <w:tab/>
        <w:t>По приведенным выше причинам мы предлагаем изменить положения, касающиеся маркировки ограниченных количеств, с тем чтобы во всех случаях требовать размещения маркировочного знака LQ при перевозке более 8 т груза.</w:t>
      </w:r>
    </w:p>
    <w:p w:rsidR="007545B1" w:rsidRPr="00D17F16" w:rsidRDefault="007545B1" w:rsidP="007545B1">
      <w:pPr>
        <w:pStyle w:val="HChG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Предложения</w:t>
      </w:r>
    </w:p>
    <w:p w:rsidR="007545B1" w:rsidRPr="00D17F16" w:rsidRDefault="007545B1" w:rsidP="007545B1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>ДОПОГ</w:t>
      </w:r>
    </w:p>
    <w:p w:rsidR="007545B1" w:rsidRPr="00696F44" w:rsidRDefault="007545B1" w:rsidP="00696F44">
      <w:pPr>
        <w:pStyle w:val="SingleTxtG"/>
        <w:rPr>
          <w:i/>
        </w:rPr>
      </w:pPr>
      <w:r w:rsidRPr="00696F44">
        <w:rPr>
          <w:i/>
        </w:rPr>
        <w:tab/>
        <w:t xml:space="preserve">Внести следующие поправки в пункт 3.4.13 b) ДОПОГ (изменения </w:t>
      </w:r>
      <w:r w:rsidRPr="00696F44">
        <w:rPr>
          <w:i/>
          <w:u w:val="single"/>
        </w:rPr>
        <w:t>подчеркнуты</w:t>
      </w:r>
      <w:r w:rsidRPr="00696F44">
        <w:rPr>
          <w:i/>
        </w:rPr>
        <w:t xml:space="preserve"> или </w:t>
      </w:r>
      <w:r w:rsidRPr="00696F44">
        <w:rPr>
          <w:i/>
          <w:strike/>
        </w:rPr>
        <w:t>зачеркнуты</w:t>
      </w:r>
      <w:r w:rsidRPr="00696F44">
        <w:rPr>
          <w:i/>
        </w:rPr>
        <w:t>):</w:t>
      </w:r>
    </w:p>
    <w:p w:rsidR="007545B1" w:rsidRPr="00D17F16" w:rsidRDefault="007545B1" w:rsidP="007545B1">
      <w:pPr>
        <w:pStyle w:val="SingleTxtG"/>
        <w:spacing w:before="120"/>
      </w:pPr>
      <w:r>
        <w:t xml:space="preserve">«Контейнеры, в которых на транспортных единицах максимальной массой свыше 12 т перевозятся упаковки с опасными грузами в ограниченных количествах, должны иметь на всех четырех боковых сторонах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</w:t>
      </w:r>
      <w:r>
        <w:rPr>
          <w:u w:val="single"/>
        </w:rPr>
        <w:t>.</w:t>
      </w:r>
      <w:r>
        <w:t xml:space="preserve"> </w:t>
      </w:r>
      <w:r>
        <w:rPr>
          <w:strike/>
        </w:rPr>
        <w:t>за исключением случая, к</w:t>
      </w:r>
      <w:r>
        <w:t xml:space="preserve"> </w:t>
      </w:r>
      <w:r>
        <w:rPr>
          <w:u w:val="single"/>
        </w:rPr>
        <w:t>К</w:t>
      </w:r>
      <w:r w:rsidRPr="00321973">
        <w:t>огда</w:t>
      </w:r>
      <w:r>
        <w:t xml:space="preserve"> в контейнере содержатся </w:t>
      </w:r>
      <w:r>
        <w:lastRenderedPageBreak/>
        <w:t>другие опасные грузы, для которых требуется размещение больших знаков опасности в соответствии с разделом 5.3.1</w:t>
      </w:r>
      <w:r>
        <w:rPr>
          <w:strike/>
        </w:rPr>
        <w:t>.</w:t>
      </w:r>
      <w:r w:rsidRPr="00321973">
        <w:rPr>
          <w:strike/>
        </w:rPr>
        <w:t xml:space="preserve"> </w:t>
      </w:r>
      <w:r>
        <w:rPr>
          <w:strike/>
        </w:rPr>
        <w:t>В последнем случае</w:t>
      </w:r>
      <w:r w:rsidRPr="006B4265">
        <w:rPr>
          <w:u w:val="single"/>
        </w:rPr>
        <w:t>,</w:t>
      </w:r>
      <w:r>
        <w:t xml:space="preserve"> на контейнере </w:t>
      </w:r>
      <w:r>
        <w:rPr>
          <w:strike/>
        </w:rPr>
        <w:t>могут</w:t>
      </w:r>
      <w:r>
        <w:t xml:space="preserve"> </w:t>
      </w:r>
      <w:r>
        <w:rPr>
          <w:u w:val="single"/>
        </w:rPr>
        <w:t>должны</w:t>
      </w:r>
      <w:r>
        <w:t xml:space="preserve"> быть размещены </w:t>
      </w:r>
      <w:r>
        <w:rPr>
          <w:strike/>
        </w:rPr>
        <w:t>только</w:t>
      </w:r>
      <w:r>
        <w:t xml:space="preserve"> требуемые большие знаки опасности </w:t>
      </w:r>
      <w:r>
        <w:rPr>
          <w:strike/>
        </w:rPr>
        <w:t>или одновременно большие знаки опасности</w:t>
      </w:r>
      <w:r>
        <w:t xml:space="preserve"> в соответствии с разделом 5.3.1 и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3.4.15.</w:t>
      </w:r>
    </w:p>
    <w:p w:rsidR="007545B1" w:rsidRPr="00D17F16" w:rsidRDefault="00F835E1" w:rsidP="007545B1">
      <w:pPr>
        <w:pStyle w:val="SingleTxtG"/>
      </w:pPr>
      <w:r>
        <w:tab/>
      </w:r>
      <w:r w:rsidR="007545B1">
        <w:t>Перевозящая контейнеры транспортная единица необязательно должна иметь маркировочные знаки, за исключением случая, когда маркировочные знаки, размещенные на контейнерах, не видны снаружи перевозящей их транспортной единицы. В последнем случае такие же маркировочные знаки должны быть размещены спереди и сзади транспортной единицы.».</w:t>
      </w:r>
    </w:p>
    <w:p w:rsidR="007545B1" w:rsidRPr="00D17F16" w:rsidRDefault="007545B1" w:rsidP="007545B1">
      <w:pPr>
        <w:spacing w:before="120" w:after="120"/>
        <w:ind w:left="1134"/>
        <w:rPr>
          <w:b/>
        </w:rPr>
      </w:pPr>
      <w:r>
        <w:t>12.</w:t>
      </w:r>
      <w:r>
        <w:tab/>
      </w:r>
      <w:r>
        <w:rPr>
          <w:b/>
          <w:bCs/>
        </w:rPr>
        <w:t>МПОГ</w:t>
      </w:r>
    </w:p>
    <w:p w:rsidR="007545B1" w:rsidRPr="00D17F16" w:rsidRDefault="007545B1" w:rsidP="007545B1">
      <w:pPr>
        <w:pStyle w:val="SingleTxtG"/>
        <w:rPr>
          <w:i/>
        </w:rPr>
      </w:pPr>
      <w:r>
        <w:rPr>
          <w:i/>
          <w:iCs/>
        </w:rPr>
        <w:t xml:space="preserve">Внести следующие поправки в пункт 3.4.13 а) МПОГ (изменения </w:t>
      </w:r>
      <w:r>
        <w:rPr>
          <w:i/>
          <w:iCs/>
          <w:u w:val="single"/>
        </w:rPr>
        <w:t>подчеркнуты</w:t>
      </w:r>
      <w:r>
        <w:rPr>
          <w:i/>
          <w:iCs/>
        </w:rPr>
        <w:t xml:space="preserve"> или </w:t>
      </w:r>
      <w:r>
        <w:rPr>
          <w:i/>
          <w:iCs/>
          <w:strike/>
        </w:rPr>
        <w:t>зачеркнуты</w:t>
      </w:r>
      <w:r>
        <w:rPr>
          <w:i/>
          <w:iCs/>
        </w:rPr>
        <w:t>):</w:t>
      </w:r>
    </w:p>
    <w:p w:rsidR="007545B1" w:rsidRPr="00D17F16" w:rsidRDefault="007545B1" w:rsidP="007545B1">
      <w:pPr>
        <w:pStyle w:val="SingleTxtG"/>
      </w:pPr>
      <w:r>
        <w:t xml:space="preserve">«Вагоны, в которых перевозятся упаковки с опасными грузами в ограниченных количествах, должны иметь на обеих боковых сторонах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</w:t>
      </w:r>
      <w:r>
        <w:rPr>
          <w:u w:val="single"/>
        </w:rPr>
        <w:t>.</w:t>
      </w:r>
      <w:r>
        <w:t xml:space="preserve"> </w:t>
      </w:r>
      <w:r>
        <w:rPr>
          <w:strike/>
        </w:rPr>
        <w:t>за исключением случая, к</w:t>
      </w:r>
      <w:r>
        <w:t xml:space="preserve"> </w:t>
      </w:r>
      <w:r w:rsidRPr="006B4265">
        <w:rPr>
          <w:u w:val="single"/>
        </w:rPr>
        <w:t>К</w:t>
      </w:r>
      <w:r>
        <w:t>огда в вагоне содержатся другие опасные грузы, для которых требуется размещение больших знаков опасности в соответствии с разделом 5.3.1</w:t>
      </w:r>
      <w:r>
        <w:rPr>
          <w:strike/>
        </w:rPr>
        <w:t>.</w:t>
      </w:r>
      <w:r w:rsidRPr="006B4265">
        <w:rPr>
          <w:strike/>
        </w:rPr>
        <w:t xml:space="preserve"> </w:t>
      </w:r>
      <w:r>
        <w:rPr>
          <w:strike/>
        </w:rPr>
        <w:t>В последнем случае</w:t>
      </w:r>
      <w:r w:rsidRPr="006B4265">
        <w:rPr>
          <w:u w:val="single"/>
        </w:rPr>
        <w:t>,</w:t>
      </w:r>
      <w:r>
        <w:t xml:space="preserve"> на вагоне </w:t>
      </w:r>
      <w:r>
        <w:rPr>
          <w:strike/>
        </w:rPr>
        <w:t>могут</w:t>
      </w:r>
      <w:r>
        <w:t xml:space="preserve"> </w:t>
      </w:r>
      <w:r>
        <w:rPr>
          <w:u w:val="single"/>
        </w:rPr>
        <w:t>должны</w:t>
      </w:r>
      <w:r>
        <w:t xml:space="preserve"> быть размещены </w:t>
      </w:r>
      <w:r>
        <w:rPr>
          <w:strike/>
        </w:rPr>
        <w:t>только</w:t>
      </w:r>
      <w:r>
        <w:t xml:space="preserve"> требуемые большие знаки опасности </w:t>
      </w:r>
      <w:r>
        <w:rPr>
          <w:strike/>
        </w:rPr>
        <w:t>или одновременно большие знаки опасности</w:t>
      </w:r>
      <w:r>
        <w:t xml:space="preserve"> в соответствии с разделом 5.3.1 и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3.4.15.». </w:t>
      </w:r>
    </w:p>
    <w:p w:rsidR="007545B1" w:rsidRPr="00D17F16" w:rsidRDefault="007545B1" w:rsidP="007545B1">
      <w:pPr>
        <w:pStyle w:val="SingleTxtG"/>
        <w:rPr>
          <w:i/>
        </w:rPr>
      </w:pPr>
      <w:r>
        <w:rPr>
          <w:i/>
          <w:iCs/>
        </w:rPr>
        <w:t xml:space="preserve">Внести следующие поправки в пункт 3.4.13 b) МПОГ (изменения </w:t>
      </w:r>
      <w:r>
        <w:rPr>
          <w:i/>
          <w:iCs/>
          <w:u w:val="single"/>
        </w:rPr>
        <w:t>подчеркнуты</w:t>
      </w:r>
      <w:r>
        <w:rPr>
          <w:i/>
          <w:iCs/>
        </w:rPr>
        <w:t xml:space="preserve"> или </w:t>
      </w:r>
      <w:r>
        <w:rPr>
          <w:i/>
          <w:iCs/>
          <w:strike/>
        </w:rPr>
        <w:t>зачеркнуты</w:t>
      </w:r>
      <w:r>
        <w:rPr>
          <w:i/>
          <w:iCs/>
        </w:rPr>
        <w:t>):</w:t>
      </w:r>
    </w:p>
    <w:p w:rsidR="007545B1" w:rsidRPr="00D17F16" w:rsidRDefault="007545B1" w:rsidP="007545B1">
      <w:pPr>
        <w:pStyle w:val="SingleTxtG"/>
      </w:pPr>
      <w:r>
        <w:t xml:space="preserve">«Большие контейнеры, в которых перевозятся упаковки с опасными грузами в ограниченных количествах, должны иметь на всех четырех боковых сторонах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</w:t>
      </w:r>
      <w:r>
        <w:rPr>
          <w:u w:val="single"/>
        </w:rPr>
        <w:t>.</w:t>
      </w:r>
      <w:r>
        <w:t xml:space="preserve"> </w:t>
      </w:r>
      <w:r>
        <w:rPr>
          <w:strike/>
        </w:rPr>
        <w:t>за исключением случая, к</w:t>
      </w:r>
      <w:r>
        <w:t xml:space="preserve"> </w:t>
      </w:r>
      <w:r>
        <w:rPr>
          <w:u w:val="single"/>
        </w:rPr>
        <w:t>К</w:t>
      </w:r>
      <w:r w:rsidRPr="006B4265">
        <w:t>огда</w:t>
      </w:r>
      <w:r>
        <w:t xml:space="preserve"> в большом контейнере содержатся другие опасные грузы, для которых требуется размещение больших знаков опасности в соответствии с разделом 5.3.1</w:t>
      </w:r>
      <w:r>
        <w:rPr>
          <w:strike/>
        </w:rPr>
        <w:t>.</w:t>
      </w:r>
      <w:r w:rsidRPr="006B4265">
        <w:rPr>
          <w:strike/>
        </w:rPr>
        <w:t xml:space="preserve"> </w:t>
      </w:r>
      <w:r w:rsidR="00F835E1">
        <w:rPr>
          <w:strike/>
        </w:rPr>
        <w:t>В </w:t>
      </w:r>
      <w:r>
        <w:rPr>
          <w:strike/>
        </w:rPr>
        <w:t>последнем случае</w:t>
      </w:r>
      <w:r w:rsidRPr="006B4265">
        <w:rPr>
          <w:u w:val="single"/>
        </w:rPr>
        <w:t>,</w:t>
      </w:r>
      <w:r>
        <w:t xml:space="preserve"> на контейнере </w:t>
      </w:r>
      <w:r>
        <w:rPr>
          <w:strike/>
        </w:rPr>
        <w:t>могут</w:t>
      </w:r>
      <w:r>
        <w:t xml:space="preserve"> </w:t>
      </w:r>
      <w:r>
        <w:rPr>
          <w:u w:val="single"/>
        </w:rPr>
        <w:t>должны</w:t>
      </w:r>
      <w:r>
        <w:t xml:space="preserve"> быть размещены </w:t>
      </w:r>
      <w:r>
        <w:rPr>
          <w:strike/>
        </w:rPr>
        <w:t>только</w:t>
      </w:r>
      <w:r>
        <w:t xml:space="preserve"> требуемые большие знаки опасности </w:t>
      </w:r>
      <w:r>
        <w:rPr>
          <w:strike/>
        </w:rPr>
        <w:t>или одновременно большие знаки опасности</w:t>
      </w:r>
      <w:r>
        <w:t xml:space="preserve"> в соответствии с разделом 5.3.1 и маркировочные знаки в соответствии с </w:t>
      </w:r>
      <w:r>
        <w:rPr>
          <w:strike/>
        </w:rPr>
        <w:t>разделом</w:t>
      </w:r>
      <w:r>
        <w:t xml:space="preserve"> </w:t>
      </w:r>
      <w:r>
        <w:rPr>
          <w:u w:val="single"/>
        </w:rPr>
        <w:t>пунктом</w:t>
      </w:r>
      <w:r>
        <w:t xml:space="preserve"> 3.4.15.</w:t>
      </w:r>
    </w:p>
    <w:p w:rsidR="007545B1" w:rsidRPr="00D17F16" w:rsidRDefault="007545B1" w:rsidP="007545B1">
      <w:pPr>
        <w:pStyle w:val="SingleTxtG"/>
      </w:pPr>
      <w:r>
        <w:t>Если маркировочные знаки, размещенные на больших контейнерах, не видны снаружи перевозящего их вагона, то такие же маркировочные знаки должны быть также размещены на обеих боковых сторонах вагона.».</w:t>
      </w:r>
    </w:p>
    <w:p w:rsidR="007545B1" w:rsidRPr="00D17F16" w:rsidRDefault="007545B1" w:rsidP="007545B1">
      <w:pPr>
        <w:pStyle w:val="HChG"/>
        <w:rPr>
          <w:rFonts w:eastAsiaTheme="minorEastAsia"/>
        </w:rPr>
      </w:pPr>
      <w:r>
        <w:tab/>
      </w:r>
      <w:r>
        <w:tab/>
      </w:r>
      <w:r>
        <w:rPr>
          <w:bCs/>
        </w:rPr>
        <w:t>Обоснование</w:t>
      </w:r>
    </w:p>
    <w:p w:rsidR="007545B1" w:rsidRPr="00D17F16" w:rsidRDefault="007545B1" w:rsidP="007545B1">
      <w:pPr>
        <w:pStyle w:val="SingleTxtG"/>
      </w:pPr>
      <w:r>
        <w:t>13.</w:t>
      </w:r>
      <w:r>
        <w:tab/>
        <w:t>Аварийно-спасательные службы могли бы извлечь пользу из более всеобъемлющего отображения перевозимых грузов.</w:t>
      </w:r>
    </w:p>
    <w:p w:rsidR="007545B1" w:rsidRPr="00D17F16" w:rsidRDefault="007545B1" w:rsidP="007545B1">
      <w:pPr>
        <w:spacing w:before="240"/>
        <w:jc w:val="center"/>
        <w:rPr>
          <w:u w:val="single"/>
        </w:rPr>
      </w:pPr>
      <w:r w:rsidRPr="00D17F16">
        <w:rPr>
          <w:u w:val="single"/>
        </w:rPr>
        <w:tab/>
      </w:r>
      <w:r w:rsidRPr="00D17F16">
        <w:rPr>
          <w:u w:val="single"/>
        </w:rPr>
        <w:tab/>
      </w:r>
      <w:r w:rsidRPr="00D17F16">
        <w:rPr>
          <w:u w:val="single"/>
        </w:rPr>
        <w:tab/>
      </w:r>
    </w:p>
    <w:p w:rsidR="00E12C5F" w:rsidRPr="008D53B6" w:rsidRDefault="00E12C5F" w:rsidP="00D9145B"/>
    <w:sectPr w:rsidR="00E12C5F" w:rsidRPr="008D53B6" w:rsidSect="007545B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52" w:rsidRPr="00A312BC" w:rsidRDefault="00F67652" w:rsidP="00A312BC"/>
  </w:endnote>
  <w:endnote w:type="continuationSeparator" w:id="0">
    <w:p w:rsidR="00F67652" w:rsidRPr="00A312BC" w:rsidRDefault="00F676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1" w:rsidRPr="007545B1" w:rsidRDefault="007545B1">
    <w:pPr>
      <w:pStyle w:val="Footer"/>
    </w:pPr>
    <w:r w:rsidRPr="007545B1">
      <w:rPr>
        <w:b/>
        <w:sz w:val="18"/>
      </w:rPr>
      <w:fldChar w:fldCharType="begin"/>
    </w:r>
    <w:r w:rsidRPr="007545B1">
      <w:rPr>
        <w:b/>
        <w:sz w:val="18"/>
      </w:rPr>
      <w:instrText xml:space="preserve"> PAGE  \* MERGEFORMAT </w:instrText>
    </w:r>
    <w:r w:rsidRPr="007545B1">
      <w:rPr>
        <w:b/>
        <w:sz w:val="18"/>
      </w:rPr>
      <w:fldChar w:fldCharType="separate"/>
    </w:r>
    <w:r w:rsidR="00AA18DD">
      <w:rPr>
        <w:b/>
        <w:noProof/>
        <w:sz w:val="18"/>
      </w:rPr>
      <w:t>4</w:t>
    </w:r>
    <w:r w:rsidRPr="007545B1">
      <w:rPr>
        <w:b/>
        <w:sz w:val="18"/>
      </w:rPr>
      <w:fldChar w:fldCharType="end"/>
    </w:r>
    <w:r>
      <w:rPr>
        <w:b/>
        <w:sz w:val="18"/>
      </w:rPr>
      <w:tab/>
    </w:r>
    <w:r>
      <w:t>GE.19-10383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1" w:rsidRPr="007545B1" w:rsidRDefault="007545B1" w:rsidP="007545B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GE.19-10383</w:t>
    </w:r>
    <w:r>
      <w:tab/>
    </w:r>
    <w:r w:rsidRPr="007545B1">
      <w:rPr>
        <w:b/>
        <w:sz w:val="18"/>
      </w:rPr>
      <w:fldChar w:fldCharType="begin"/>
    </w:r>
    <w:r w:rsidRPr="007545B1">
      <w:rPr>
        <w:b/>
        <w:sz w:val="18"/>
      </w:rPr>
      <w:instrText xml:space="preserve"> PAGE  \* MERGEFORMAT </w:instrText>
    </w:r>
    <w:r w:rsidRPr="007545B1">
      <w:rPr>
        <w:b/>
        <w:sz w:val="18"/>
      </w:rPr>
      <w:fldChar w:fldCharType="separate"/>
    </w:r>
    <w:r w:rsidR="00AA18DD">
      <w:rPr>
        <w:b/>
        <w:noProof/>
        <w:sz w:val="18"/>
      </w:rPr>
      <w:t>3</w:t>
    </w:r>
    <w:r w:rsidRPr="007545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545B1" w:rsidRDefault="007545B1" w:rsidP="007545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19-10383  (R)</w:t>
    </w:r>
    <w:r>
      <w:rPr>
        <w:lang w:val="en-US"/>
      </w:rPr>
      <w:t xml:space="preserve">  040719  040719</w:t>
    </w:r>
    <w:r>
      <w:br/>
    </w:r>
    <w:r w:rsidRPr="007545B1">
      <w:rPr>
        <w:rFonts w:ascii="C39T30Lfz" w:hAnsi="C39T30Lfz"/>
        <w:kern w:val="14"/>
        <w:sz w:val="56"/>
      </w:rPr>
      <w:t></w:t>
    </w:r>
    <w:r w:rsidRPr="007545B1">
      <w:rPr>
        <w:rFonts w:ascii="C39T30Lfz" w:hAnsi="C39T30Lfz"/>
        <w:kern w:val="14"/>
        <w:sz w:val="56"/>
      </w:rPr>
      <w:t></w:t>
    </w:r>
    <w:r w:rsidRPr="007545B1">
      <w:rPr>
        <w:rFonts w:ascii="C39T30Lfz" w:hAnsi="C39T30Lfz"/>
        <w:kern w:val="14"/>
        <w:sz w:val="56"/>
      </w:rPr>
      <w:t></w:t>
    </w:r>
    <w:r w:rsidRPr="007545B1">
      <w:rPr>
        <w:rFonts w:ascii="C39T30Lfz" w:hAnsi="C39T30Lfz"/>
        <w:kern w:val="14"/>
        <w:sz w:val="56"/>
      </w:rPr>
      <w:t></w:t>
    </w:r>
    <w:r w:rsidRPr="007545B1">
      <w:rPr>
        <w:rFonts w:ascii="C39T30Lfz" w:hAnsi="C39T30Lfz"/>
        <w:kern w:val="14"/>
        <w:sz w:val="56"/>
      </w:rPr>
      <w:t></w:t>
    </w:r>
    <w:r w:rsidRPr="007545B1">
      <w:rPr>
        <w:rFonts w:ascii="C39T30Lfz" w:hAnsi="C39T30Lfz"/>
        <w:kern w:val="14"/>
        <w:sz w:val="56"/>
      </w:rPr>
      <w:t></w:t>
    </w:r>
    <w:r w:rsidRPr="007545B1">
      <w:rPr>
        <w:rFonts w:ascii="C39T30Lfz" w:hAnsi="C39T30Lfz"/>
        <w:kern w:val="14"/>
        <w:sz w:val="56"/>
      </w:rPr>
      <w:t></w:t>
    </w:r>
    <w:r w:rsidRPr="007545B1">
      <w:rPr>
        <w:rFonts w:ascii="C39T30Lfz" w:hAnsi="C39T30Lfz"/>
        <w:kern w:val="14"/>
        <w:sz w:val="56"/>
      </w:rPr>
      <w:t></w:t>
    </w:r>
    <w:r w:rsidRPr="007545B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52" w:rsidRPr="001075E9" w:rsidRDefault="00F676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7652" w:rsidRDefault="00F676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545B1" w:rsidRPr="00D17F16" w:rsidRDefault="00A766AC" w:rsidP="00A766AC">
      <w:pPr>
        <w:pStyle w:val="FootnoteText"/>
        <w:rPr>
          <w:sz w:val="20"/>
        </w:rPr>
      </w:pPr>
      <w:r>
        <w:tab/>
      </w:r>
      <w:r w:rsidR="007545B1" w:rsidRPr="00A766AC">
        <w:rPr>
          <w:sz w:val="20"/>
        </w:rPr>
        <w:t>*</w:t>
      </w:r>
      <w:r w:rsidR="007545B1"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7545B1" w:rsidRPr="00D17F16" w:rsidRDefault="00A766AC" w:rsidP="00A766AC">
      <w:pPr>
        <w:pStyle w:val="FootnoteText"/>
        <w:rPr>
          <w:sz w:val="20"/>
        </w:rPr>
      </w:pPr>
      <w:r>
        <w:tab/>
      </w:r>
      <w:r w:rsidRPr="00A766AC">
        <w:rPr>
          <w:sz w:val="20"/>
        </w:rPr>
        <w:t>*</w:t>
      </w:r>
      <w:r w:rsidR="007545B1" w:rsidRPr="00A766AC">
        <w:rPr>
          <w:sz w:val="20"/>
        </w:rPr>
        <w:t>*</w:t>
      </w:r>
      <w:r w:rsidR="007545B1"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1" w:rsidRPr="007545B1" w:rsidRDefault="00166AA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18DD">
      <w:t>ECE/TRANS/WP.15/AC.1/2019/38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1" w:rsidRPr="007545B1" w:rsidRDefault="00166AAB" w:rsidP="007545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18DD">
      <w:t>ECE/TRANS/WP.15/AC.1/2019/38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DE0E86"/>
    <w:multiLevelType w:val="hybridMultilevel"/>
    <w:tmpl w:val="C9344694"/>
    <w:lvl w:ilvl="0" w:tplc="041D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404"/>
    <w:multiLevelType w:val="hybridMultilevel"/>
    <w:tmpl w:val="75B64D64"/>
    <w:lvl w:ilvl="0" w:tplc="041D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4"/>
    <w:lvlOverride w:ilvl="0">
      <w:lvl w:ilvl="0" w:tplc="041D0001">
        <w:start w:val="1"/>
        <w:numFmt w:val="bullet"/>
        <w:lvlText w:val=""/>
        <w:lvlJc w:val="left"/>
        <w:pPr>
          <w:ind w:left="1026" w:hanging="360"/>
        </w:pPr>
        <w:rPr>
          <w:rFonts w:ascii="Symbol" w:hAnsi="Symbol" w:hint="default"/>
        </w:rPr>
      </w:lvl>
    </w:lvlOverride>
  </w:num>
  <w:num w:numId="23">
    <w:abstractNumId w:val="11"/>
    <w:lvlOverride w:ilvl="0">
      <w:lvl w:ilvl="0" w:tplc="041D0001">
        <w:start w:val="1"/>
        <w:numFmt w:val="bullet"/>
        <w:lvlText w:val=""/>
        <w:lvlJc w:val="left"/>
        <w:pPr>
          <w:ind w:left="1026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5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AAB"/>
    <w:rsid w:val="00180183"/>
    <w:rsid w:val="0018024D"/>
    <w:rsid w:val="0018649F"/>
    <w:rsid w:val="00196389"/>
    <w:rsid w:val="001B3EF6"/>
    <w:rsid w:val="001C7A89"/>
    <w:rsid w:val="00255343"/>
    <w:rsid w:val="00266DD6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ECE"/>
    <w:rsid w:val="00347133"/>
    <w:rsid w:val="00365AD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38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F44"/>
    <w:rsid w:val="006A1ED8"/>
    <w:rsid w:val="006C2031"/>
    <w:rsid w:val="006D461A"/>
    <w:rsid w:val="006F35EE"/>
    <w:rsid w:val="007021FF"/>
    <w:rsid w:val="00712895"/>
    <w:rsid w:val="00734ACB"/>
    <w:rsid w:val="007545B1"/>
    <w:rsid w:val="00757357"/>
    <w:rsid w:val="00792497"/>
    <w:rsid w:val="007D73C8"/>
    <w:rsid w:val="00806737"/>
    <w:rsid w:val="00825F8D"/>
    <w:rsid w:val="00834B71"/>
    <w:rsid w:val="0086445C"/>
    <w:rsid w:val="0086757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66AC"/>
    <w:rsid w:val="00A84021"/>
    <w:rsid w:val="00A84D35"/>
    <w:rsid w:val="00A917B3"/>
    <w:rsid w:val="00AA18DD"/>
    <w:rsid w:val="00AB4B51"/>
    <w:rsid w:val="00B10CC7"/>
    <w:rsid w:val="00B36DF7"/>
    <w:rsid w:val="00B539E7"/>
    <w:rsid w:val="00B554CE"/>
    <w:rsid w:val="00B62458"/>
    <w:rsid w:val="00BC18B2"/>
    <w:rsid w:val="00BD33EE"/>
    <w:rsid w:val="00BE1CC7"/>
    <w:rsid w:val="00C106D6"/>
    <w:rsid w:val="00C119AE"/>
    <w:rsid w:val="00C45802"/>
    <w:rsid w:val="00C60F0C"/>
    <w:rsid w:val="00C71E84"/>
    <w:rsid w:val="00C805C9"/>
    <w:rsid w:val="00C92939"/>
    <w:rsid w:val="00CA01E4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652"/>
    <w:rsid w:val="00F835E1"/>
    <w:rsid w:val="00F94155"/>
    <w:rsid w:val="00F9783F"/>
    <w:rsid w:val="00FD2EF7"/>
    <w:rsid w:val="00FD4CF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3644D0-E688-4075-92AD-72A19236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545B1"/>
    <w:rPr>
      <w:lang w:val="ru-RU" w:eastAsia="en-US"/>
    </w:rPr>
  </w:style>
  <w:style w:type="character" w:customStyle="1" w:styleId="HChGChar">
    <w:name w:val="_ H _Ch_G Char"/>
    <w:link w:val="HChG"/>
    <w:rsid w:val="007545B1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7545B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8433</Characters>
  <Application>Microsoft Office Word</Application>
  <DocSecurity>0</DocSecurity>
  <Lines>172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ECE/TRANS/WP.15/AC.1/2019/38</vt:lpstr>
      <vt:lpstr>ECE/TRANS/WP.15/AC.1/2019/38</vt:lpstr>
      <vt:lpstr>A/</vt:lpstr>
    </vt:vector>
  </TitlesOfParts>
  <Company>DCM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ECE/TRANS/WP.15/AC.1/2019/38</dc:title>
  <dc:subject/>
  <dc:creator>Elena IZOTOVA</dc:creator>
  <cp:keywords/>
  <cp:lastModifiedBy>Christine Barrio-Champeau</cp:lastModifiedBy>
  <cp:revision>2</cp:revision>
  <cp:lastPrinted>2019-07-04T11:05:00Z</cp:lastPrinted>
  <dcterms:created xsi:type="dcterms:W3CDTF">2019-08-05T14:18:00Z</dcterms:created>
  <dcterms:modified xsi:type="dcterms:W3CDTF">2019-08-05T14:18:00Z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