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B24C70" w:rsidRPr="001F310D">
        <w:trPr>
          <w:trHeight w:hRule="exact" w:val="851"/>
        </w:trPr>
        <w:tc>
          <w:tcPr>
            <w:tcW w:w="1276" w:type="dxa"/>
            <w:tcBorders>
              <w:bottom w:val="single" w:sz="4" w:space="0" w:color="auto"/>
            </w:tcBorders>
          </w:tcPr>
          <w:p w:rsidR="00B24C70" w:rsidRDefault="00B24C70"/>
        </w:tc>
        <w:tc>
          <w:tcPr>
            <w:tcW w:w="2268" w:type="dxa"/>
            <w:tcBorders>
              <w:bottom w:val="single" w:sz="4" w:space="0" w:color="auto"/>
            </w:tcBorders>
            <w:vAlign w:val="bottom"/>
          </w:tcPr>
          <w:p w:rsidR="00B24C70" w:rsidRDefault="001F310D">
            <w:pPr>
              <w:spacing w:after="80" w:line="300" w:lineRule="exact"/>
              <w:rPr>
                <w:sz w:val="28"/>
              </w:rPr>
            </w:pPr>
            <w:r>
              <w:rPr>
                <w:sz w:val="28"/>
              </w:rPr>
              <w:t>Nations Unies</w:t>
            </w:r>
          </w:p>
        </w:tc>
        <w:tc>
          <w:tcPr>
            <w:tcW w:w="6095" w:type="dxa"/>
            <w:gridSpan w:val="2"/>
            <w:tcBorders>
              <w:bottom w:val="single" w:sz="4" w:space="0" w:color="auto"/>
            </w:tcBorders>
            <w:vAlign w:val="bottom"/>
          </w:tcPr>
          <w:p w:rsidR="00B24C70" w:rsidRDefault="001F310D">
            <w:pPr>
              <w:jc w:val="right"/>
              <w:rPr>
                <w:lang w:val="en-US"/>
              </w:rPr>
            </w:pPr>
            <w:r>
              <w:rPr>
                <w:sz w:val="40"/>
                <w:lang w:val="en-US"/>
              </w:rPr>
              <w:t>ECE</w:t>
            </w:r>
            <w:r>
              <w:rPr>
                <w:lang w:val="en-US"/>
              </w:rPr>
              <w:t>/TRANS/WP.15/AC.1/2019/</w:t>
            </w:r>
            <w:r w:rsidR="00F75623">
              <w:rPr>
                <w:lang w:val="en-US"/>
              </w:rPr>
              <w:t>9</w:t>
            </w:r>
          </w:p>
        </w:tc>
      </w:tr>
      <w:tr w:rsidR="00B24C70">
        <w:trPr>
          <w:trHeight w:hRule="exact" w:val="2835"/>
        </w:trPr>
        <w:tc>
          <w:tcPr>
            <w:tcW w:w="1276" w:type="dxa"/>
            <w:tcBorders>
              <w:top w:val="single" w:sz="4" w:space="0" w:color="auto"/>
              <w:bottom w:val="single" w:sz="12" w:space="0" w:color="auto"/>
            </w:tcBorders>
          </w:tcPr>
          <w:p w:rsidR="00B24C70" w:rsidRDefault="001F310D">
            <w:pPr>
              <w:spacing w:before="120"/>
              <w:jc w:val="center"/>
            </w:pPr>
            <w:r>
              <w:rPr>
                <w:noProof/>
                <w:lang w:val="en-US"/>
              </w:rPr>
              <w:drawing>
                <wp:inline distT="0" distB="0" distL="0" distR="0">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rsidR="00B24C70" w:rsidRDefault="001F310D">
            <w:pPr>
              <w:spacing w:before="120" w:line="420" w:lineRule="exact"/>
              <w:rPr>
                <w:b/>
                <w:sz w:val="40"/>
                <w:szCs w:val="40"/>
              </w:rPr>
            </w:pPr>
            <w:r>
              <w:rPr>
                <w:b/>
                <w:sz w:val="40"/>
                <w:szCs w:val="40"/>
              </w:rPr>
              <w:t>Conseil économique et social</w:t>
            </w:r>
          </w:p>
        </w:tc>
        <w:tc>
          <w:tcPr>
            <w:tcW w:w="2835" w:type="dxa"/>
            <w:tcBorders>
              <w:top w:val="single" w:sz="4" w:space="0" w:color="auto"/>
              <w:bottom w:val="single" w:sz="12" w:space="0" w:color="auto"/>
            </w:tcBorders>
          </w:tcPr>
          <w:p w:rsidR="00B24C70" w:rsidRDefault="001F310D">
            <w:pPr>
              <w:spacing w:before="240"/>
            </w:pPr>
            <w:proofErr w:type="spellStart"/>
            <w:r>
              <w:t>Distr</w:t>
            </w:r>
            <w:proofErr w:type="spellEnd"/>
            <w:r>
              <w:t>. générale</w:t>
            </w:r>
          </w:p>
          <w:p w:rsidR="00B24C70" w:rsidRDefault="00606854">
            <w:pPr>
              <w:spacing w:line="240" w:lineRule="exact"/>
            </w:pPr>
            <w:r>
              <w:t>27</w:t>
            </w:r>
            <w:r w:rsidR="001F310D">
              <w:t xml:space="preserve"> décembre 2018</w:t>
            </w:r>
          </w:p>
          <w:p w:rsidR="00B24C70" w:rsidRDefault="00B24C70">
            <w:pPr>
              <w:spacing w:line="240" w:lineRule="exact"/>
            </w:pPr>
          </w:p>
          <w:p w:rsidR="00B24C70" w:rsidRDefault="001F310D">
            <w:pPr>
              <w:spacing w:line="240" w:lineRule="exact"/>
            </w:pPr>
            <w:r>
              <w:t>Original :  français</w:t>
            </w:r>
          </w:p>
        </w:tc>
      </w:tr>
    </w:tbl>
    <w:p w:rsidR="00B24C70" w:rsidRDefault="001F310D">
      <w:pPr>
        <w:spacing w:before="120"/>
        <w:rPr>
          <w:b/>
          <w:sz w:val="28"/>
          <w:szCs w:val="28"/>
        </w:rPr>
      </w:pPr>
      <w:r>
        <w:rPr>
          <w:b/>
          <w:sz w:val="28"/>
          <w:szCs w:val="28"/>
        </w:rPr>
        <w:t>Commission économique pour l’Europe</w:t>
      </w:r>
    </w:p>
    <w:p w:rsidR="00B24C70" w:rsidRDefault="001F310D">
      <w:pPr>
        <w:spacing w:before="120"/>
        <w:rPr>
          <w:sz w:val="28"/>
          <w:szCs w:val="28"/>
        </w:rPr>
      </w:pPr>
      <w:r>
        <w:rPr>
          <w:sz w:val="28"/>
          <w:szCs w:val="28"/>
        </w:rPr>
        <w:t>Comité des transports intérieurs</w:t>
      </w:r>
    </w:p>
    <w:p w:rsidR="00B24C70" w:rsidRDefault="001F310D">
      <w:pPr>
        <w:spacing w:before="120"/>
        <w:rPr>
          <w:b/>
          <w:sz w:val="24"/>
          <w:szCs w:val="24"/>
        </w:rPr>
      </w:pPr>
      <w:r>
        <w:rPr>
          <w:b/>
          <w:sz w:val="24"/>
          <w:szCs w:val="24"/>
        </w:rPr>
        <w:t>Groupe de travail des transports de marchandises dangereuses</w:t>
      </w:r>
    </w:p>
    <w:p w:rsidR="00B24C70" w:rsidRDefault="001F310D">
      <w:pPr>
        <w:spacing w:before="120"/>
        <w:rPr>
          <w:b/>
        </w:rPr>
      </w:pPr>
      <w:r>
        <w:rPr>
          <w:b/>
        </w:rPr>
        <w:t>Réunion commune de la Commission d’experts du RID et</w:t>
      </w:r>
      <w:r>
        <w:rPr>
          <w:b/>
        </w:rPr>
        <w:br/>
        <w:t>du Groupe de travail des transports de marchandises dangereuses</w:t>
      </w:r>
    </w:p>
    <w:p w:rsidR="00B24C70" w:rsidRDefault="001F310D">
      <w:r>
        <w:t>Berne, 18-22 mars 2019</w:t>
      </w:r>
    </w:p>
    <w:p w:rsidR="00B24C70" w:rsidRDefault="001F310D">
      <w:r>
        <w:t>Point 5 b) de l’ordre du jour provisoire</w:t>
      </w:r>
    </w:p>
    <w:p w:rsidR="00B24C70" w:rsidRDefault="001F310D">
      <w:pPr>
        <w:rPr>
          <w:highlight w:val="yellow"/>
        </w:rPr>
      </w:pPr>
      <w:bookmarkStart w:id="0" w:name="bookmark_16"/>
      <w:r>
        <w:rPr>
          <w:b/>
        </w:rPr>
        <w:t xml:space="preserve">Propositions diverses d’amendements au RID/ADR/ADN : </w:t>
      </w:r>
      <w:r>
        <w:rPr>
          <w:b/>
        </w:rPr>
        <w:br/>
        <w:t>nouvelles propositions</w:t>
      </w:r>
      <w:bookmarkEnd w:id="0"/>
    </w:p>
    <w:p w:rsidR="00B24C70" w:rsidRDefault="00B24C70">
      <w:pPr>
        <w:rPr>
          <w:b/>
        </w:rPr>
      </w:pPr>
    </w:p>
    <w:p w:rsidR="00F75623" w:rsidRDefault="001F310D" w:rsidP="00F75623">
      <w:pPr>
        <w:pStyle w:val="HChG"/>
      </w:pPr>
      <w:r>
        <w:rPr>
          <w:lang w:val="fr-FR"/>
        </w:rPr>
        <w:tab/>
      </w:r>
      <w:r>
        <w:rPr>
          <w:lang w:val="fr-FR"/>
        </w:rPr>
        <w:tab/>
      </w:r>
      <w:r w:rsidR="00F75623">
        <w:t>Modification de la disposition supplémentaire CW36/CV36 du 7.5.11</w:t>
      </w:r>
    </w:p>
    <w:p w:rsidR="00F75623" w:rsidRDefault="00F75623" w:rsidP="00F75623">
      <w:pPr>
        <w:pStyle w:val="H1G"/>
      </w:pPr>
      <w:bookmarkStart w:id="1" w:name="bookmark_18"/>
      <w:r>
        <w:tab/>
      </w:r>
      <w:r>
        <w:tab/>
        <w:t>Communication du Gouvernement suisse</w:t>
      </w:r>
      <w:bookmarkEnd w:id="1"/>
      <w:r w:rsidR="008E56FF" w:rsidRPr="008544D2">
        <w:rPr>
          <w:rStyle w:val="FootnoteReference"/>
          <w:sz w:val="20"/>
        </w:rPr>
        <w:footnoteReference w:customMarkFollows="1" w:id="2"/>
        <w:t>*</w:t>
      </w:r>
      <w:r w:rsidR="008E56FF" w:rsidRPr="00DF7ED3">
        <w:rPr>
          <w:rStyle w:val="FootnoteReference"/>
          <w:sz w:val="20"/>
        </w:rPr>
        <w:t>,</w:t>
      </w:r>
      <w:r w:rsidR="008E56FF">
        <w:rPr>
          <w:sz w:val="20"/>
        </w:rPr>
        <w:t xml:space="preserve"> </w:t>
      </w:r>
      <w:r w:rsidR="008E56FF" w:rsidRPr="00DF7ED3">
        <w:rPr>
          <w:rStyle w:val="FootnoteReference"/>
          <w:sz w:val="20"/>
        </w:rPr>
        <w:footnoteReference w:customMarkFollows="1" w:id="3"/>
        <w:t>**</w:t>
      </w:r>
    </w:p>
    <w:tbl>
      <w:tblPr>
        <w:tblW w:w="0" w:type="auto"/>
        <w:jc w:val="center"/>
        <w:tblBorders>
          <w:top w:val="single" w:sz="4" w:space="0" w:color="auto"/>
          <w:left w:val="single" w:sz="4" w:space="0" w:color="auto"/>
          <w:bottom w:val="single" w:sz="4" w:space="0" w:color="auto"/>
          <w:right w:val="single" w:sz="4" w:space="0" w:color="auto"/>
          <w:insideV w:val="single" w:sz="4" w:space="0" w:color="auto"/>
        </w:tblBorders>
        <w:tblCellMar>
          <w:left w:w="0" w:type="dxa"/>
          <w:right w:w="0" w:type="dxa"/>
        </w:tblCellMar>
        <w:tblLook w:val="05E0" w:firstRow="1" w:lastRow="1" w:firstColumn="1" w:lastColumn="1" w:noHBand="0" w:noVBand="1"/>
      </w:tblPr>
      <w:tblGrid>
        <w:gridCol w:w="9628"/>
      </w:tblGrid>
      <w:tr w:rsidR="00F75623" w:rsidTr="000D44C7">
        <w:trPr>
          <w:jc w:val="center"/>
        </w:trPr>
        <w:tc>
          <w:tcPr>
            <w:tcW w:w="9629" w:type="dxa"/>
            <w:tcBorders>
              <w:top w:val="single" w:sz="4" w:space="0" w:color="auto"/>
              <w:left w:val="single" w:sz="4" w:space="0" w:color="auto"/>
              <w:bottom w:val="nil"/>
              <w:right w:val="single" w:sz="4" w:space="0" w:color="auto"/>
            </w:tcBorders>
            <w:hideMark/>
          </w:tcPr>
          <w:p w:rsidR="00F75623" w:rsidRDefault="00F75623" w:rsidP="000D44C7">
            <w:pPr>
              <w:spacing w:before="240" w:after="120"/>
              <w:ind w:left="255"/>
              <w:rPr>
                <w:i/>
                <w:sz w:val="24"/>
              </w:rPr>
            </w:pPr>
            <w:r>
              <w:tab/>
            </w:r>
            <w:r>
              <w:rPr>
                <w:i/>
                <w:sz w:val="24"/>
              </w:rPr>
              <w:t>Résumé</w:t>
            </w:r>
          </w:p>
        </w:tc>
      </w:tr>
      <w:tr w:rsidR="00F75623" w:rsidRPr="008A1794" w:rsidTr="000D44C7">
        <w:trPr>
          <w:jc w:val="center"/>
        </w:trPr>
        <w:tc>
          <w:tcPr>
            <w:tcW w:w="9629" w:type="dxa"/>
            <w:tcBorders>
              <w:top w:val="nil"/>
              <w:left w:val="single" w:sz="4" w:space="0" w:color="auto"/>
              <w:bottom w:val="nil"/>
              <w:right w:val="single" w:sz="4" w:space="0" w:color="auto"/>
            </w:tcBorders>
          </w:tcPr>
          <w:p w:rsidR="00F75623" w:rsidRDefault="00F75623" w:rsidP="000D44C7">
            <w:pPr>
              <w:pStyle w:val="SingleTxtG"/>
              <w:tabs>
                <w:tab w:val="left" w:pos="3260"/>
              </w:tabs>
              <w:ind w:left="3260" w:hanging="2126"/>
            </w:pPr>
            <w:r>
              <w:rPr>
                <w:b/>
              </w:rPr>
              <w:t>Résumé analytique :</w:t>
            </w:r>
            <w:r>
              <w:rPr>
                <w:b/>
              </w:rPr>
              <w:tab/>
            </w:r>
            <w:r>
              <w:t>Appliquer au transport de gaz pour lesquels la disposition supplémentaire CW36/CV36 du 7.5.11 est assignée des mesures de sécurité similaires à celles prévues au 5.5.3.3.3 pour les matières présentant un risque d’asphyxie</w:t>
            </w:r>
          </w:p>
        </w:tc>
      </w:tr>
      <w:tr w:rsidR="00F75623" w:rsidRPr="008A1794" w:rsidTr="000D44C7">
        <w:trPr>
          <w:jc w:val="center"/>
        </w:trPr>
        <w:tc>
          <w:tcPr>
            <w:tcW w:w="9629" w:type="dxa"/>
            <w:tcBorders>
              <w:top w:val="nil"/>
              <w:left w:val="single" w:sz="4" w:space="0" w:color="auto"/>
              <w:bottom w:val="nil"/>
              <w:right w:val="single" w:sz="4" w:space="0" w:color="auto"/>
            </w:tcBorders>
          </w:tcPr>
          <w:p w:rsidR="00F75623" w:rsidRDefault="00F75623" w:rsidP="000D44C7">
            <w:pPr>
              <w:pStyle w:val="SingleTxtG"/>
              <w:tabs>
                <w:tab w:val="left" w:pos="3260"/>
              </w:tabs>
              <w:ind w:left="3260" w:hanging="2126"/>
              <w:jc w:val="left"/>
              <w:rPr>
                <w:b/>
              </w:rPr>
            </w:pPr>
            <w:r>
              <w:rPr>
                <w:b/>
              </w:rPr>
              <w:t>Mesure à prendre :</w:t>
            </w:r>
            <w:r>
              <w:rPr>
                <w:b/>
              </w:rPr>
              <w:tab/>
            </w:r>
            <w:r>
              <w:rPr>
                <w:rStyle w:val="SingleTxtGChar"/>
              </w:rPr>
              <w:t xml:space="preserve">Modifier le texte de la </w:t>
            </w:r>
            <w:r>
              <w:t>disposition supplémentaire</w:t>
            </w:r>
            <w:r>
              <w:rPr>
                <w:rStyle w:val="SingleTxtGChar"/>
              </w:rPr>
              <w:t xml:space="preserve"> </w:t>
            </w:r>
            <w:r>
              <w:t xml:space="preserve">CW36/CV36 </w:t>
            </w:r>
            <w:r>
              <w:rPr>
                <w:rStyle w:val="SingleTxtGChar"/>
              </w:rPr>
              <w:t>du 7.5.11</w:t>
            </w:r>
            <w:r>
              <w:t>.</w:t>
            </w:r>
          </w:p>
        </w:tc>
      </w:tr>
      <w:tr w:rsidR="00F75623" w:rsidRPr="008A1794" w:rsidTr="000D44C7">
        <w:trPr>
          <w:jc w:val="center"/>
        </w:trPr>
        <w:tc>
          <w:tcPr>
            <w:tcW w:w="9629" w:type="dxa"/>
            <w:tcBorders>
              <w:top w:val="nil"/>
              <w:left w:val="single" w:sz="4" w:space="0" w:color="auto"/>
              <w:bottom w:val="nil"/>
              <w:right w:val="single" w:sz="4" w:space="0" w:color="auto"/>
            </w:tcBorders>
          </w:tcPr>
          <w:p w:rsidR="00F75623" w:rsidRPr="008A1794" w:rsidRDefault="00F75623" w:rsidP="000D44C7">
            <w:pPr>
              <w:pStyle w:val="SingleTxtG"/>
              <w:tabs>
                <w:tab w:val="left" w:pos="3260"/>
              </w:tabs>
              <w:ind w:left="3260" w:hanging="2126"/>
              <w:jc w:val="left"/>
            </w:pPr>
            <w:r>
              <w:rPr>
                <w:b/>
              </w:rPr>
              <w:t xml:space="preserve">Documents </w:t>
            </w:r>
            <w:r>
              <w:rPr>
                <w:b/>
                <w:bCs/>
              </w:rPr>
              <w:t>connexes </w:t>
            </w:r>
            <w:r>
              <w:rPr>
                <w:b/>
              </w:rPr>
              <w:t>:</w:t>
            </w:r>
            <w:r>
              <w:rPr>
                <w:b/>
              </w:rPr>
              <w:tab/>
            </w:r>
            <w:r>
              <w:t xml:space="preserve">ECE/TRANS/WP.15/2017/13, </w:t>
            </w:r>
            <w:r w:rsidRPr="008A1794">
              <w:t>ECE</w:t>
            </w:r>
            <w:r w:rsidRPr="008A1794">
              <w:rPr>
                <w:sz w:val="22"/>
                <w:szCs w:val="22"/>
              </w:rPr>
              <w:t>/</w:t>
            </w:r>
            <w:r w:rsidRPr="008A1794">
              <w:t xml:space="preserve">TRANS/WP.15/239, </w:t>
            </w:r>
            <w:r w:rsidR="00606854">
              <w:t>document informel I</w:t>
            </w:r>
            <w:r w:rsidRPr="008A1794">
              <w:t>NF.21</w:t>
            </w:r>
            <w:r w:rsidR="00606854">
              <w:t xml:space="preserve"> de la session de mars 2018</w:t>
            </w:r>
            <w:r w:rsidRPr="008A1794">
              <w:t>, ECE/TRANS/WP.15/AC.1/</w:t>
            </w:r>
            <w:proofErr w:type="gramStart"/>
            <w:r w:rsidRPr="008A1794">
              <w:t xml:space="preserve">150 </w:t>
            </w:r>
            <w:r>
              <w:t>.</w:t>
            </w:r>
            <w:proofErr w:type="gramEnd"/>
          </w:p>
        </w:tc>
      </w:tr>
      <w:tr w:rsidR="00F75623" w:rsidRPr="008A1794" w:rsidTr="000D44C7">
        <w:trPr>
          <w:jc w:val="center"/>
        </w:trPr>
        <w:tc>
          <w:tcPr>
            <w:tcW w:w="9629" w:type="dxa"/>
            <w:tcBorders>
              <w:top w:val="nil"/>
              <w:left w:val="single" w:sz="4" w:space="0" w:color="auto"/>
              <w:bottom w:val="single" w:sz="4" w:space="0" w:color="auto"/>
              <w:right w:val="single" w:sz="4" w:space="0" w:color="auto"/>
            </w:tcBorders>
          </w:tcPr>
          <w:p w:rsidR="00F75623" w:rsidRDefault="00F75623" w:rsidP="000D44C7">
            <w:pPr>
              <w:pStyle w:val="SingleTxtG"/>
              <w:tabs>
                <w:tab w:val="left" w:pos="3260"/>
              </w:tabs>
              <w:ind w:left="3260" w:hanging="2126"/>
              <w:jc w:val="left"/>
              <w:rPr>
                <w:b/>
              </w:rPr>
            </w:pPr>
          </w:p>
        </w:tc>
      </w:tr>
    </w:tbl>
    <w:p w:rsidR="00F75623" w:rsidRDefault="00F75623" w:rsidP="00F75623">
      <w:pPr>
        <w:pStyle w:val="HChG"/>
        <w:tabs>
          <w:tab w:val="clear" w:pos="851"/>
        </w:tabs>
        <w:ind w:left="567" w:right="0" w:firstLine="567"/>
      </w:pPr>
      <w:r>
        <w:t>Introduction</w:t>
      </w:r>
    </w:p>
    <w:p w:rsidR="00F75623" w:rsidRDefault="00F75623" w:rsidP="00F75623">
      <w:pPr>
        <w:pStyle w:val="SingleTxtG"/>
      </w:pPr>
      <w:r>
        <w:t>1.</w:t>
      </w:r>
      <w:r>
        <w:tab/>
        <w:t xml:space="preserve">Au cours de la réunion du Groupe de travail des transports de marchandises dangereuses (WP.15) de novembre 2017, une discussion sur le champ d’application de la disposition CV36 a eu lieu sur la base du document ECE/TRANS/WP.15/2017/13 de la Suisse. Elle a conduit à adapter la terminologie du français à celle de l’anglais (proposition 2). </w:t>
      </w:r>
      <w:r>
        <w:lastRenderedPageBreak/>
        <w:t>Cette même adaptation a été adoptée pour la CW36 par le groupe de travail permanent de la Commission d’experts du RID en novembre 2017.</w:t>
      </w:r>
    </w:p>
    <w:p w:rsidR="00F75623" w:rsidRDefault="00F75623" w:rsidP="00F75623">
      <w:pPr>
        <w:pStyle w:val="SingleTxtG"/>
      </w:pPr>
      <w:r>
        <w:t>2.</w:t>
      </w:r>
      <w:r>
        <w:tab/>
        <w:t xml:space="preserve">Par ailleurs, la proposition 1 de la Suisse, reproduite ci-après, a reçu le soutien de la plupart des délégations qui se sont prononcées. Le groupe de travail du WP.15 est convenu que cette proposition avait une portée multimodale et devait être discutée au sein de la Réunion commune RID/ADR/ADN. </w:t>
      </w:r>
    </w:p>
    <w:p w:rsidR="00F75623" w:rsidRDefault="00F75623" w:rsidP="00F75623">
      <w:pPr>
        <w:pStyle w:val="SingleTxtG"/>
        <w:tabs>
          <w:tab w:val="left" w:pos="1701"/>
        </w:tabs>
      </w:pPr>
      <w:r>
        <w:t>3.</w:t>
      </w:r>
      <w:r>
        <w:tab/>
        <w:t xml:space="preserve">Suite à la discussion du document informel INF.21 par la Réunion commune en mars 2018, les représentants de l’EIGA et de l’AEGPL se sont déclarés disposés à consulter leurs membres afin de contribuer à l’élaboration d’une version révisée (para. 47 du rapport </w:t>
      </w:r>
      <w:fldSimple w:instr=" TITLE  \* MERGEFORMAT ">
        <w:r>
          <w:t>ECE/TRANS/WP.15/AC.1/150</w:t>
        </w:r>
      </w:fldSimple>
      <w:proofErr w:type="gramStart"/>
      <w:r>
        <w:t>) .</w:t>
      </w:r>
      <w:proofErr w:type="gramEnd"/>
    </w:p>
    <w:p w:rsidR="00F75623" w:rsidRDefault="00F75623" w:rsidP="00F75623">
      <w:pPr>
        <w:pStyle w:val="SingleTxtG"/>
        <w:tabs>
          <w:tab w:val="left" w:pos="1701"/>
        </w:tabs>
      </w:pPr>
      <w:r>
        <w:t>4.</w:t>
      </w:r>
      <w:r>
        <w:tab/>
        <w:t>Ces associations nous ont par la suite confirmé que de leur côté ils n’ont pas d’objections à la proposition contenue dans le document</w:t>
      </w:r>
      <w:r w:rsidR="00606854">
        <w:t xml:space="preserve"> informel</w:t>
      </w:r>
      <w:r>
        <w:t xml:space="preserve"> INF.21 et que celui-ci correspond aux directives publiées dans nombre de leurs publications. Elles sont disposées à en discuter dans les détails et à décrire les pratiques qu’elles recommandent. </w:t>
      </w:r>
    </w:p>
    <w:p w:rsidR="00F75623" w:rsidRDefault="00F75623" w:rsidP="00F75623">
      <w:pPr>
        <w:pStyle w:val="SingleTxtG"/>
      </w:pPr>
      <w:r>
        <w:t>5.</w:t>
      </w:r>
      <w:r>
        <w:tab/>
        <w:t>Il existe des véhicules routiers couverts dont le compartiment de charge n’est pas séparé de l’habitacle des voyageurs et du conducteur (voir la première image en annexe). Des wagons de voyageurs peuvent également présenter un compartiment de chargement de marchandises. Il est dans ce cas nécessaire d’assurer une ventilation non seulement lors de l’ouverture des portes mais également durant le transport de gaz auxquels est affectée la CW36/CV36.</w:t>
      </w:r>
    </w:p>
    <w:p w:rsidR="00F75623" w:rsidRDefault="00F75623" w:rsidP="00F75623">
      <w:pPr>
        <w:pStyle w:val="SingleTxtG"/>
      </w:pPr>
      <w:r>
        <w:t>6.</w:t>
      </w:r>
      <w:r>
        <w:tab/>
        <w:t>Dans le RID/ADR 2017, des dispositions ont été introduites au 5.5.3.3.3 afin d’assurer la sécurité du conducteur lors du transport de matières présentant un risque d’asphyxie. Elles prescrivent une séparation des compartiments accessibles pendant le transport des compartiments de chargement lorsque ces derniers ne sont pas ventilés.</w:t>
      </w:r>
    </w:p>
    <w:p w:rsidR="00F75623" w:rsidRDefault="00F75623" w:rsidP="00F75623">
      <w:pPr>
        <w:pStyle w:val="SingleTxtG"/>
      </w:pPr>
      <w:r>
        <w:t>7.</w:t>
      </w:r>
      <w:r>
        <w:tab/>
        <w:t xml:space="preserve">Les mêmes questions de sécurité se posent lors du transport de gaz auxquels est affectée la CW36/CV36. Il serait donc utile d’adopter pour celle-ci des dispositions similaires à celles du 5.5.3.3.3. </w:t>
      </w:r>
    </w:p>
    <w:p w:rsidR="00F75623" w:rsidRDefault="00F75623" w:rsidP="00F75623">
      <w:pPr>
        <w:pStyle w:val="HChG"/>
        <w:ind w:firstLine="0"/>
      </w:pPr>
      <w:r>
        <w:t>Proposition</w:t>
      </w:r>
    </w:p>
    <w:p w:rsidR="00F75623" w:rsidRDefault="00F75623" w:rsidP="00F75623">
      <w:pPr>
        <w:pStyle w:val="SingleTxtG"/>
      </w:pPr>
      <w:r>
        <w:t>8.</w:t>
      </w:r>
      <w:r>
        <w:tab/>
        <w:t xml:space="preserve">Modifier la disposition supplémentaire CW36/CV36 du 7.5.11 de la manière suivante (nouveau texte souligné en gras): </w:t>
      </w:r>
    </w:p>
    <w:p w:rsidR="00F75623" w:rsidRDefault="00F75623" w:rsidP="00F75623">
      <w:pPr>
        <w:pStyle w:val="SingleTxtG"/>
      </w:pPr>
      <w:r>
        <w:t>« CW36/CV36</w:t>
      </w:r>
      <w:r>
        <w:tab/>
      </w:r>
      <w:r>
        <w:rPr>
          <w:lang w:eastAsia="en-GB"/>
        </w:rPr>
        <w:t xml:space="preserve">Les colis doivent de préférence être chargés dans des </w:t>
      </w:r>
      <w:r>
        <w:rPr>
          <w:sz w:val="18"/>
          <w:szCs w:val="18"/>
        </w:rPr>
        <w:t>wagons/</w:t>
      </w:r>
      <w:r>
        <w:rPr>
          <w:lang w:eastAsia="en-GB"/>
        </w:rPr>
        <w:t>véhicules découverts ou ventilés ou dans des conteneurs ouverts ou ventilés. Si cela n'est pas possible et que les colis sont chargés dans d'autres wagons/véhicules couverts ou conteneurs fermés,</w:t>
      </w:r>
      <w:r>
        <w:rPr>
          <w:b/>
          <w:u w:val="single"/>
        </w:rPr>
        <w:t xml:space="preserve"> aucun échange de gaz ne doit être possible entre le compartiment de chargement et </w:t>
      </w:r>
      <w:r w:rsidR="00F97B3D">
        <w:rPr>
          <w:b/>
          <w:u w:val="single"/>
        </w:rPr>
        <w:t>les compartiments accessibles pendant le transport/</w:t>
      </w:r>
      <w:bookmarkStart w:id="2" w:name="_GoBack"/>
      <w:bookmarkEnd w:id="2"/>
      <w:r>
        <w:rPr>
          <w:b/>
          <w:u w:val="single"/>
        </w:rPr>
        <w:t>la cabine du conducteur et</w:t>
      </w:r>
      <w:r>
        <w:rPr>
          <w:lang w:eastAsia="en-GB"/>
        </w:rPr>
        <w:t xml:space="preserve"> les portes de chargement de ces wagons/véhicules ou conteneurs seront marquées comme suit, en lettre d'au moins 25 mm de hauteur</w:t>
      </w:r>
      <w:r>
        <w:t>:</w:t>
      </w:r>
    </w:p>
    <w:p w:rsidR="00F75623" w:rsidRDefault="00F75623" w:rsidP="00F75623">
      <w:pPr>
        <w:pStyle w:val="SingleTxtG"/>
        <w:spacing w:after="0"/>
        <w:jc w:val="center"/>
      </w:pPr>
      <w:r>
        <w:t>«ATTENTION</w:t>
      </w:r>
    </w:p>
    <w:p w:rsidR="00F75623" w:rsidRDefault="00F75623" w:rsidP="00F75623">
      <w:pPr>
        <w:pStyle w:val="SingleTxtG"/>
        <w:spacing w:after="0"/>
        <w:jc w:val="center"/>
      </w:pPr>
      <w:r>
        <w:t>MOYEN DE CONFINEMENT FERMÉ</w:t>
      </w:r>
    </w:p>
    <w:p w:rsidR="00F75623" w:rsidRDefault="00F75623" w:rsidP="00F75623">
      <w:pPr>
        <w:pStyle w:val="SingleTxtG"/>
        <w:spacing w:after="0"/>
        <w:jc w:val="center"/>
      </w:pPr>
      <w:r>
        <w:t>OUVRIR AVEC PRÉCAUTION»</w:t>
      </w:r>
    </w:p>
    <w:p w:rsidR="00F75623" w:rsidRDefault="00F75623" w:rsidP="00F75623">
      <w:pPr>
        <w:pStyle w:val="SingleTxtG"/>
        <w:rPr>
          <w:lang w:eastAsia="en-GB"/>
        </w:rPr>
      </w:pPr>
      <w:r>
        <w:tab/>
      </w:r>
      <w:r>
        <w:rPr>
          <w:lang w:eastAsia="en-GB"/>
        </w:rPr>
        <w:t>Le texte doit être rédigé dans une langue jugée appropriée par l’expéditeur. Pour les Nos ONU 2211 et 3314, cette marque n'est pas nécessaire si le wagon/véhicule ou conteneur est déjà marqué conformément à la disposition spéciale 965 du code IMDG</w:t>
      </w:r>
      <w:r>
        <w:rPr>
          <w:vertAlign w:val="superscript"/>
          <w:lang w:eastAsia="en-GB"/>
        </w:rPr>
        <w:footnoteReference w:customMarkFollows="1" w:id="4"/>
        <w:t xml:space="preserve">3 </w:t>
      </w:r>
      <w:r>
        <w:rPr>
          <w:lang w:eastAsia="en-GB"/>
        </w:rPr>
        <w:t>».</w:t>
      </w:r>
    </w:p>
    <w:p w:rsidR="00F75623" w:rsidRDefault="00F75623" w:rsidP="00606854">
      <w:pPr>
        <w:pStyle w:val="HChG"/>
        <w:rPr>
          <w:lang w:eastAsia="en-GB"/>
        </w:rPr>
      </w:pPr>
      <w:r>
        <w:rPr>
          <w:lang w:eastAsia="en-GB"/>
        </w:rPr>
        <w:br w:type="page"/>
      </w:r>
      <w:r>
        <w:lastRenderedPageBreak/>
        <w:t>Annexe</w:t>
      </w:r>
    </w:p>
    <w:p w:rsidR="00F75623" w:rsidRDefault="00F75623" w:rsidP="00F75623">
      <w:pPr>
        <w:spacing w:before="240"/>
        <w:ind w:left="1134" w:right="1134"/>
        <w:jc w:val="center"/>
        <w:rPr>
          <w:rFonts w:ascii="TimesNewRomanPSMT" w:hAnsi="TimesNewRomanPSMT"/>
          <w:u w:val="single"/>
        </w:rPr>
      </w:pPr>
      <w:r>
        <w:rPr>
          <w:rFonts w:ascii="TimesNewRomanPSMT" w:hAnsi="TimesNewRomanPSMT" w:cs="TimesNewRomanPSMT"/>
          <w:u w:val="single"/>
          <w:lang w:eastAsia="fr-CH"/>
        </w:rPr>
        <w:tab/>
      </w:r>
      <w:r>
        <w:rPr>
          <w:noProof/>
          <w:lang w:val="en-US"/>
        </w:rPr>
        <w:drawing>
          <wp:inline distT="0" distB="0" distL="0" distR="0" wp14:anchorId="405DEA0E" wp14:editId="6DE8E317">
            <wp:extent cx="5029200" cy="3162300"/>
            <wp:effectExtent l="0" t="0" r="0" b="0"/>
            <wp:docPr id="6" name="Image 6" descr="voiture bâch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iture bâché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29200" cy="3162300"/>
                    </a:xfrm>
                    <a:prstGeom prst="rect">
                      <a:avLst/>
                    </a:prstGeom>
                    <a:noFill/>
                    <a:ln>
                      <a:noFill/>
                    </a:ln>
                  </pic:spPr>
                </pic:pic>
              </a:graphicData>
            </a:graphic>
          </wp:inline>
        </w:drawing>
      </w:r>
      <w:r>
        <w:rPr>
          <w:noProof/>
          <w:lang w:val="en-US"/>
        </w:rPr>
        <w:drawing>
          <wp:inline distT="0" distB="0" distL="0" distR="0" wp14:anchorId="1A5CD88D" wp14:editId="76EC61FA">
            <wp:extent cx="5158740" cy="3771900"/>
            <wp:effectExtent l="0" t="0" r="3810" b="0"/>
            <wp:docPr id="4" name="Image 4" descr="camion bâch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mion bâché"/>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58740" cy="3771900"/>
                    </a:xfrm>
                    <a:prstGeom prst="rect">
                      <a:avLst/>
                    </a:prstGeom>
                    <a:noFill/>
                    <a:ln>
                      <a:noFill/>
                    </a:ln>
                  </pic:spPr>
                </pic:pic>
              </a:graphicData>
            </a:graphic>
          </wp:inline>
        </w:drawing>
      </w:r>
    </w:p>
    <w:p w:rsidR="00F75623" w:rsidRPr="00D92932" w:rsidRDefault="00D92932" w:rsidP="00D92932">
      <w:pPr>
        <w:pStyle w:val="SingleTxtG"/>
        <w:spacing w:before="240" w:after="0"/>
        <w:jc w:val="center"/>
        <w:rPr>
          <w:u w:val="single"/>
          <w:lang w:eastAsia="de-DE"/>
        </w:rPr>
      </w:pPr>
      <w:r>
        <w:rPr>
          <w:u w:val="single"/>
          <w:lang w:eastAsia="de-DE"/>
        </w:rPr>
        <w:tab/>
      </w:r>
      <w:r>
        <w:rPr>
          <w:u w:val="single"/>
          <w:lang w:eastAsia="de-DE"/>
        </w:rPr>
        <w:tab/>
      </w:r>
      <w:r>
        <w:rPr>
          <w:u w:val="single"/>
          <w:lang w:eastAsia="de-DE"/>
        </w:rPr>
        <w:tab/>
      </w:r>
    </w:p>
    <w:sectPr w:rsidR="00F75623" w:rsidRPr="00D92932">
      <w:headerReference w:type="even" r:id="rId10"/>
      <w:headerReference w:type="default" r:id="rId11"/>
      <w:footerReference w:type="even" r:id="rId12"/>
      <w:footerReference w:type="first" r:id="rId13"/>
      <w:endnotePr>
        <w:numFmt w:val="decimal"/>
      </w:endnotePr>
      <w:pgSz w:w="11906" w:h="16838" w:code="9"/>
      <w:pgMar w:top="1417" w:right="1134" w:bottom="1134" w:left="1134" w:header="85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24C70" w:rsidRDefault="00B24C70">
      <w:pPr>
        <w:spacing w:line="240" w:lineRule="auto"/>
      </w:pPr>
    </w:p>
  </w:endnote>
  <w:endnote w:type="continuationSeparator" w:id="0">
    <w:p w:rsidR="00B24C70" w:rsidRDefault="00B24C70">
      <w:pPr>
        <w:pStyle w:val="Footer"/>
      </w:pPr>
    </w:p>
  </w:endnote>
  <w:endnote w:type="continuationNotice" w:id="1">
    <w:p w:rsidR="00B24C70" w:rsidRDefault="00B24C7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4C70" w:rsidRDefault="001F310D">
    <w:pPr>
      <w:pStyle w:val="Footer"/>
      <w:tabs>
        <w:tab w:val="right" w:pos="9638"/>
      </w:tabs>
    </w:pPr>
    <w:r>
      <w:rPr>
        <w:b/>
        <w:sz w:val="18"/>
      </w:rPr>
      <w:fldChar w:fldCharType="begin"/>
    </w:r>
    <w:r>
      <w:rPr>
        <w:b/>
        <w:sz w:val="18"/>
      </w:rPr>
      <w:instrText xml:space="preserve"> PAGE  \* MERGEFORMAT </w:instrText>
    </w:r>
    <w:r>
      <w:rPr>
        <w:b/>
        <w:sz w:val="18"/>
      </w:rPr>
      <w:fldChar w:fldCharType="separate"/>
    </w:r>
    <w:r>
      <w:rPr>
        <w:b/>
        <w:noProof/>
        <w:sz w:val="18"/>
      </w:rPr>
      <w:t>2</w:t>
    </w:r>
    <w:r>
      <w:rPr>
        <w:b/>
        <w:sz w:val="18"/>
      </w:rPr>
      <w:fldChar w:fldCharType="end"/>
    </w:r>
    <w:r>
      <w:rPr>
        <w:b/>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4C70" w:rsidRDefault="00B24C70">
    <w:pPr>
      <w:pStyle w:val="Footer"/>
      <w:spacing w:before="120"/>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24C70" w:rsidRDefault="001F310D">
      <w:pPr>
        <w:pStyle w:val="Footer"/>
        <w:tabs>
          <w:tab w:val="right" w:pos="2155"/>
        </w:tabs>
        <w:spacing w:after="80" w:line="240" w:lineRule="atLeast"/>
        <w:ind w:left="680"/>
        <w:rPr>
          <w:u w:val="single"/>
        </w:rPr>
      </w:pPr>
      <w:r>
        <w:rPr>
          <w:u w:val="single"/>
        </w:rPr>
        <w:tab/>
      </w:r>
    </w:p>
  </w:footnote>
  <w:footnote w:type="continuationSeparator" w:id="0">
    <w:p w:rsidR="00B24C70" w:rsidRDefault="001F310D">
      <w:pPr>
        <w:pStyle w:val="Footer"/>
        <w:tabs>
          <w:tab w:val="right" w:pos="2155"/>
        </w:tabs>
        <w:spacing w:after="80" w:line="240" w:lineRule="atLeast"/>
        <w:ind w:left="680"/>
        <w:rPr>
          <w:u w:val="single"/>
        </w:rPr>
      </w:pPr>
      <w:r>
        <w:rPr>
          <w:u w:val="single"/>
        </w:rPr>
        <w:tab/>
      </w:r>
    </w:p>
  </w:footnote>
  <w:footnote w:type="continuationNotice" w:id="1">
    <w:p w:rsidR="00B24C70" w:rsidRDefault="00B24C70">
      <w:pPr>
        <w:spacing w:line="240" w:lineRule="auto"/>
        <w:rPr>
          <w:sz w:val="2"/>
          <w:szCs w:val="2"/>
        </w:rPr>
      </w:pPr>
    </w:p>
  </w:footnote>
  <w:footnote w:id="2">
    <w:p w:rsidR="008E56FF" w:rsidRPr="008544D2" w:rsidRDefault="008E56FF" w:rsidP="008E56FF">
      <w:pPr>
        <w:pStyle w:val="FootnoteText"/>
      </w:pPr>
      <w:r>
        <w:rPr>
          <w:rStyle w:val="FootnoteReference"/>
        </w:rPr>
        <w:tab/>
      </w:r>
      <w:r w:rsidRPr="00DF7ED3">
        <w:rPr>
          <w:rStyle w:val="FootnoteReference"/>
          <w:sz w:val="20"/>
        </w:rPr>
        <w:t>*</w:t>
      </w:r>
      <w:r>
        <w:rPr>
          <w:rStyle w:val="FootnoteReference"/>
          <w:sz w:val="20"/>
        </w:rPr>
        <w:tab/>
      </w:r>
      <w:r w:rsidRPr="004809ED">
        <w:rPr>
          <w:szCs w:val="18"/>
        </w:rPr>
        <w:t>Conformément au programme de travail du Comité des</w:t>
      </w:r>
      <w:r>
        <w:rPr>
          <w:szCs w:val="18"/>
        </w:rPr>
        <w:t xml:space="preserve"> transports intérieurs pour 2018-2019 (ECE/TRANS</w:t>
      </w:r>
      <w:r w:rsidRPr="004809ED">
        <w:rPr>
          <w:szCs w:val="18"/>
        </w:rPr>
        <w:t>/</w:t>
      </w:r>
      <w:r>
        <w:rPr>
          <w:szCs w:val="18"/>
        </w:rPr>
        <w:t>WP.15/237, annexe V, (</w:t>
      </w:r>
      <w:r w:rsidRPr="004809ED">
        <w:rPr>
          <w:szCs w:val="18"/>
        </w:rPr>
        <w:t>9.2)</w:t>
      </w:r>
      <w:r>
        <w:rPr>
          <w:szCs w:val="18"/>
        </w:rPr>
        <w:t>)</w:t>
      </w:r>
      <w:r w:rsidRPr="004809ED">
        <w:rPr>
          <w:szCs w:val="18"/>
        </w:rPr>
        <w:t>.</w:t>
      </w:r>
    </w:p>
  </w:footnote>
  <w:footnote w:id="3">
    <w:p w:rsidR="008E56FF" w:rsidRPr="00DF7ED3" w:rsidRDefault="008E56FF" w:rsidP="008E56FF">
      <w:pPr>
        <w:pStyle w:val="FootnoteText"/>
      </w:pPr>
      <w:r>
        <w:rPr>
          <w:rStyle w:val="FootnoteReference"/>
        </w:rPr>
        <w:tab/>
      </w:r>
      <w:r w:rsidRPr="00DF7ED3">
        <w:rPr>
          <w:rStyle w:val="FootnoteReference"/>
          <w:sz w:val="20"/>
        </w:rPr>
        <w:t>**</w:t>
      </w:r>
      <w:r>
        <w:tab/>
      </w:r>
      <w:r>
        <w:rPr>
          <w:lang w:val="fr-FR"/>
        </w:rPr>
        <w:t>Diffusée par l’Organisation intergouvernementale pour les transports internationaux ferroviaires (OTIF) sous la cote OTIF/RID/RC/2019/9.</w:t>
      </w:r>
      <w:r>
        <w:rPr>
          <w:rStyle w:val="FootnoteReference"/>
          <w:sz w:val="20"/>
        </w:rPr>
        <w:tab/>
      </w:r>
    </w:p>
  </w:footnote>
  <w:footnote w:id="4">
    <w:p w:rsidR="00F75623" w:rsidRPr="0054323C" w:rsidRDefault="00F75623" w:rsidP="00F75623">
      <w:pPr>
        <w:pStyle w:val="FootnoteText"/>
        <w:rPr>
          <w:szCs w:val="18"/>
        </w:rPr>
      </w:pPr>
      <w:r>
        <w:tab/>
      </w:r>
      <w:r w:rsidRPr="0054323C">
        <w:rPr>
          <w:rStyle w:val="FootnoteReference"/>
          <w:b/>
          <w:bCs/>
        </w:rPr>
        <w:t>3</w:t>
      </w:r>
      <w:r>
        <w:t xml:space="preserve"> </w:t>
      </w:r>
      <w:r>
        <w:rPr>
          <w:sz w:val="20"/>
        </w:rPr>
        <w:tab/>
      </w:r>
      <w:r>
        <w:rPr>
          <w:sz w:val="20"/>
        </w:rPr>
        <w:tab/>
      </w:r>
      <w:r w:rsidRPr="0054323C">
        <w:rPr>
          <w:szCs w:val="18"/>
        </w:rPr>
        <w:t>Marque de mise en garde comportant l'inscription "ATTENTION – PEUT CONTENIR DES VAPEURS INFLAMMABLES" écrite avec des lettres mesurant au moins 25 mm de haut, placée à chaque point d'accès à un emplacement où elle sera facilement vue par les personnes ouvrant l'engin de transport ou entrant à l'intérieur.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4C70" w:rsidRDefault="005D3CB8">
    <w:pPr>
      <w:pStyle w:val="Header"/>
    </w:pPr>
    <w:r>
      <w:t>ECE/TRANS/WP.15/AC.1/2019/</w:t>
    </w:r>
    <w:r w:rsidR="00F75623">
      <w:t>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4C70" w:rsidRDefault="00FF03CB">
    <w:pPr>
      <w:pStyle w:val="Header"/>
      <w:jc w:val="right"/>
    </w:pPr>
    <w:r>
      <w:t>ECE/TRANS/WP.15/AC.1/2019/9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954887"/>
    <w:multiLevelType w:val="hybridMultilevel"/>
    <w:tmpl w:val="8E1AEC92"/>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38B70F7B"/>
    <w:multiLevelType w:val="hybridMultilevel"/>
    <w:tmpl w:val="41780A32"/>
    <w:lvl w:ilvl="0" w:tplc="04090017">
      <w:start w:val="1"/>
      <w:numFmt w:val="lowerLetter"/>
      <w:lvlText w:val="%1)"/>
      <w:lvlJc w:val="left"/>
      <w:pPr>
        <w:ind w:left="1854" w:hanging="360"/>
      </w:pPr>
    </w:lvl>
    <w:lvl w:ilvl="1" w:tplc="100C0019" w:tentative="1">
      <w:start w:val="1"/>
      <w:numFmt w:val="lowerLetter"/>
      <w:lvlText w:val="%2."/>
      <w:lvlJc w:val="left"/>
      <w:pPr>
        <w:ind w:left="2574" w:hanging="360"/>
      </w:pPr>
    </w:lvl>
    <w:lvl w:ilvl="2" w:tplc="100C001B" w:tentative="1">
      <w:start w:val="1"/>
      <w:numFmt w:val="lowerRoman"/>
      <w:lvlText w:val="%3."/>
      <w:lvlJc w:val="right"/>
      <w:pPr>
        <w:ind w:left="3294" w:hanging="180"/>
      </w:pPr>
    </w:lvl>
    <w:lvl w:ilvl="3" w:tplc="100C000F" w:tentative="1">
      <w:start w:val="1"/>
      <w:numFmt w:val="decimal"/>
      <w:lvlText w:val="%4."/>
      <w:lvlJc w:val="left"/>
      <w:pPr>
        <w:ind w:left="4014" w:hanging="360"/>
      </w:pPr>
    </w:lvl>
    <w:lvl w:ilvl="4" w:tplc="100C0019" w:tentative="1">
      <w:start w:val="1"/>
      <w:numFmt w:val="lowerLetter"/>
      <w:lvlText w:val="%5."/>
      <w:lvlJc w:val="left"/>
      <w:pPr>
        <w:ind w:left="4734" w:hanging="360"/>
      </w:pPr>
    </w:lvl>
    <w:lvl w:ilvl="5" w:tplc="100C001B" w:tentative="1">
      <w:start w:val="1"/>
      <w:numFmt w:val="lowerRoman"/>
      <w:lvlText w:val="%6."/>
      <w:lvlJc w:val="right"/>
      <w:pPr>
        <w:ind w:left="5454" w:hanging="180"/>
      </w:pPr>
    </w:lvl>
    <w:lvl w:ilvl="6" w:tplc="100C000F" w:tentative="1">
      <w:start w:val="1"/>
      <w:numFmt w:val="decimal"/>
      <w:lvlText w:val="%7."/>
      <w:lvlJc w:val="left"/>
      <w:pPr>
        <w:ind w:left="6174" w:hanging="360"/>
      </w:pPr>
    </w:lvl>
    <w:lvl w:ilvl="7" w:tplc="100C0019" w:tentative="1">
      <w:start w:val="1"/>
      <w:numFmt w:val="lowerLetter"/>
      <w:lvlText w:val="%8."/>
      <w:lvlJc w:val="left"/>
      <w:pPr>
        <w:ind w:left="6894" w:hanging="360"/>
      </w:pPr>
    </w:lvl>
    <w:lvl w:ilvl="8" w:tplc="100C001B" w:tentative="1">
      <w:start w:val="1"/>
      <w:numFmt w:val="lowerRoman"/>
      <w:lvlText w:val="%9."/>
      <w:lvlJc w:val="right"/>
      <w:pPr>
        <w:ind w:left="7614" w:hanging="180"/>
      </w:pPr>
    </w:lvl>
  </w:abstractNum>
  <w:abstractNum w:abstractNumId="12" w15:restartNumberingAfterBreak="0">
    <w:nsid w:val="3ACF4EB2"/>
    <w:multiLevelType w:val="hybridMultilevel"/>
    <w:tmpl w:val="979CD290"/>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3" w15:restartNumberingAfterBreak="0">
    <w:nsid w:val="68AD07B2"/>
    <w:multiLevelType w:val="hybridMultilevel"/>
    <w:tmpl w:val="6700CE80"/>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abstractNumId w:val="13"/>
  </w:num>
  <w:num w:numId="2">
    <w:abstractNumId w:val="12"/>
  </w:num>
  <w:num w:numId="3">
    <w:abstractNumId w:val="10"/>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13"/>
  </w:num>
  <w:num w:numId="15">
    <w:abstractNumId w:val="12"/>
  </w:num>
  <w:num w:numId="16">
    <w:abstractNumId w:val="10"/>
  </w:num>
  <w:num w:numId="17">
    <w:abstractNumId w:val="11"/>
    <w:lvlOverride w:ilvl="0">
      <w:lvl w:ilvl="0" w:tplc="04090017">
        <w:start w:val="1"/>
        <w:numFmt w:val="lowerLetter"/>
        <w:lvlText w:val="%1)"/>
        <w:lvlJc w:val="left"/>
        <w:pPr>
          <w:ind w:left="1854" w:hanging="360"/>
        </w:pPr>
      </w:lvl>
    </w:lvlOverride>
  </w:num>
  <w:num w:numId="18">
    <w:abstractNumId w:val="13"/>
  </w:num>
  <w:num w:numId="19">
    <w:abstractNumId w:val="12"/>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567"/>
  <w:hyphenationZone w:val="425"/>
  <w:evenAndOddHeaders/>
  <w:characterSpacingControl w:val="doNotCompress"/>
  <w:hdrShapeDefaults>
    <o:shapedefaults v:ext="edit" spidmax="26625"/>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4C70"/>
    <w:rsid w:val="00057D43"/>
    <w:rsid w:val="001F310D"/>
    <w:rsid w:val="005D3CB8"/>
    <w:rsid w:val="00606854"/>
    <w:rsid w:val="0085172F"/>
    <w:rsid w:val="008E56FF"/>
    <w:rsid w:val="00B24C70"/>
    <w:rsid w:val="00D92932"/>
    <w:rsid w:val="00F75623"/>
    <w:rsid w:val="00F97B3D"/>
    <w:rsid w:val="00FF03CB"/>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1C90C669"/>
  <w15:docId w15:val="{ECE65C54-0A2C-4509-987B-C62EB0686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Heading1">
    <w:name w:val="heading 1"/>
    <w:aliases w:val="Table_G"/>
    <w:basedOn w:val="SingleTxtG"/>
    <w:next w:val="SingleTxtG"/>
    <w:link w:val="Heading1Char"/>
    <w:qFormat/>
    <w:pPr>
      <w:keepNext/>
      <w:keepLines/>
      <w:spacing w:after="0" w:line="240" w:lineRule="auto"/>
      <w:ind w:right="0"/>
      <w:jc w:val="left"/>
      <w:outlineLvl w:val="0"/>
    </w:pPr>
  </w:style>
  <w:style w:type="paragraph" w:styleId="Heading2">
    <w:name w:val="heading 2"/>
    <w:basedOn w:val="Normal"/>
    <w:next w:val="Normal"/>
    <w:link w:val="Heading2Char"/>
    <w:semiHidden/>
    <w:qFormat/>
    <w:pPr>
      <w:outlineLvl w:val="1"/>
    </w:pPr>
  </w:style>
  <w:style w:type="paragraph" w:styleId="Heading3">
    <w:name w:val="heading 3"/>
    <w:basedOn w:val="Normal"/>
    <w:next w:val="Normal"/>
    <w:link w:val="Heading3Char"/>
    <w:semiHidden/>
    <w:qFormat/>
    <w:pPr>
      <w:outlineLvl w:val="2"/>
    </w:pPr>
  </w:style>
  <w:style w:type="paragraph" w:styleId="Heading4">
    <w:name w:val="heading 4"/>
    <w:basedOn w:val="Normal"/>
    <w:next w:val="Normal"/>
    <w:link w:val="Heading4Char"/>
    <w:semiHidden/>
    <w:qFormat/>
    <w:pPr>
      <w:outlineLvl w:val="3"/>
    </w:pPr>
  </w:style>
  <w:style w:type="paragraph" w:styleId="Heading5">
    <w:name w:val="heading 5"/>
    <w:basedOn w:val="Normal"/>
    <w:next w:val="Normal"/>
    <w:link w:val="Heading5Char"/>
    <w:semiHidden/>
    <w:qFormat/>
    <w:pPr>
      <w:outlineLvl w:val="4"/>
    </w:pPr>
  </w:style>
  <w:style w:type="paragraph" w:styleId="Heading6">
    <w:name w:val="heading 6"/>
    <w:basedOn w:val="Normal"/>
    <w:next w:val="Normal"/>
    <w:link w:val="Heading6Char"/>
    <w:semiHidden/>
    <w:qFormat/>
    <w:pPr>
      <w:outlineLvl w:val="5"/>
    </w:pPr>
  </w:style>
  <w:style w:type="paragraph" w:styleId="Heading7">
    <w:name w:val="heading 7"/>
    <w:basedOn w:val="Normal"/>
    <w:next w:val="Normal"/>
    <w:link w:val="Heading7Char"/>
    <w:semiHidden/>
    <w:qFormat/>
    <w:pPr>
      <w:outlineLvl w:val="6"/>
    </w:pPr>
  </w:style>
  <w:style w:type="paragraph" w:styleId="Heading8">
    <w:name w:val="heading 8"/>
    <w:basedOn w:val="Normal"/>
    <w:next w:val="Normal"/>
    <w:link w:val="Heading8Char"/>
    <w:semiHidden/>
    <w:qFormat/>
    <w:pPr>
      <w:outlineLvl w:val="7"/>
    </w:pPr>
  </w:style>
  <w:style w:type="paragraph" w:styleId="Heading9">
    <w:name w:val="heading 9"/>
    <w:basedOn w:val="Normal"/>
    <w:next w:val="Normal"/>
    <w:link w:val="Heading9Char"/>
    <w:semiHidden/>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next w:val="Normal"/>
    <w:link w:val="HeaderChar"/>
    <w:qFormat/>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Pr>
      <w:rFonts w:ascii="Times New Roman" w:eastAsiaTheme="minorHAnsi" w:hAnsi="Times New Roman" w:cs="Times New Roman"/>
      <w:b/>
      <w:sz w:val="18"/>
      <w:szCs w:val="20"/>
      <w:lang w:eastAsia="en-US"/>
    </w:rPr>
  </w:style>
  <w:style w:type="paragraph" w:styleId="Footer">
    <w:name w:val="footer"/>
    <w:aliases w:val="3_G"/>
    <w:basedOn w:val="Normal"/>
    <w:next w:val="Normal"/>
    <w:link w:val="FooterChar"/>
    <w:qFormat/>
    <w:pPr>
      <w:spacing w:line="240" w:lineRule="auto"/>
    </w:pPr>
    <w:rPr>
      <w:sz w:val="16"/>
    </w:rPr>
  </w:style>
  <w:style w:type="character" w:customStyle="1" w:styleId="FooterChar">
    <w:name w:val="Footer Char"/>
    <w:aliases w:val="3_G Char"/>
    <w:basedOn w:val="DefaultParagraphFont"/>
    <w:link w:val="Footer"/>
    <w:rPr>
      <w:rFonts w:ascii="Times New Roman" w:eastAsiaTheme="minorHAnsi" w:hAnsi="Times New Roman" w:cs="Times New Roman"/>
      <w:sz w:val="16"/>
      <w:szCs w:val="20"/>
      <w:lang w:eastAsia="en-US"/>
    </w:rPr>
  </w:style>
  <w:style w:type="paragraph" w:customStyle="1" w:styleId="HMG">
    <w:name w:val="_ H __M_G"/>
    <w:basedOn w:val="Normal"/>
    <w:next w:val="Normal"/>
    <w:qFormat/>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link w:val="H1GChar"/>
    <w:qFormat/>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pPr>
      <w:spacing w:after="120"/>
      <w:ind w:left="1134" w:right="1134"/>
      <w:jc w:val="both"/>
    </w:pPr>
  </w:style>
  <w:style w:type="paragraph" w:customStyle="1" w:styleId="SLG">
    <w:name w:val="__S_L_G"/>
    <w:basedOn w:val="Normal"/>
    <w:next w:val="Normal"/>
    <w:pPr>
      <w:keepNext/>
      <w:keepLines/>
      <w:spacing w:before="240" w:after="240" w:line="580" w:lineRule="exact"/>
      <w:ind w:left="1134" w:right="1134"/>
    </w:pPr>
    <w:rPr>
      <w:b/>
      <w:sz w:val="56"/>
    </w:rPr>
  </w:style>
  <w:style w:type="paragraph" w:customStyle="1" w:styleId="SMG">
    <w:name w:val="__S_M_G"/>
    <w:basedOn w:val="Normal"/>
    <w:next w:val="Normal"/>
    <w:pPr>
      <w:keepNext/>
      <w:keepLines/>
      <w:spacing w:before="240" w:after="240" w:line="420" w:lineRule="exact"/>
      <w:ind w:left="1134" w:right="1134"/>
    </w:pPr>
    <w:rPr>
      <w:b/>
      <w:sz w:val="40"/>
    </w:rPr>
  </w:style>
  <w:style w:type="paragraph" w:customStyle="1" w:styleId="SSG">
    <w:name w:val="__S_S_G"/>
    <w:basedOn w:val="Normal"/>
    <w:next w:val="Normal"/>
    <w:pPr>
      <w:keepNext/>
      <w:keepLines/>
      <w:spacing w:before="240" w:after="240" w:line="300" w:lineRule="exact"/>
      <w:ind w:left="1134" w:right="1134"/>
    </w:pPr>
    <w:rPr>
      <w:b/>
      <w:sz w:val="28"/>
    </w:rPr>
  </w:style>
  <w:style w:type="paragraph" w:customStyle="1" w:styleId="XLargeG">
    <w:name w:val="__XLarge_G"/>
    <w:basedOn w:val="Normal"/>
    <w:next w:val="Normal"/>
    <w:pPr>
      <w:keepNext/>
      <w:keepLines/>
      <w:spacing w:before="240" w:after="240" w:line="420" w:lineRule="exact"/>
      <w:ind w:left="1134" w:right="1134"/>
    </w:pPr>
    <w:rPr>
      <w:b/>
      <w:sz w:val="40"/>
    </w:rPr>
  </w:style>
  <w:style w:type="paragraph" w:customStyle="1" w:styleId="Bullet1G">
    <w:name w:val="_Bullet 1_G"/>
    <w:basedOn w:val="Normal"/>
    <w:qFormat/>
    <w:pPr>
      <w:numPr>
        <w:numId w:val="18"/>
      </w:numPr>
      <w:spacing w:after="120"/>
      <w:ind w:right="1134"/>
      <w:jc w:val="both"/>
    </w:pPr>
  </w:style>
  <w:style w:type="paragraph" w:customStyle="1" w:styleId="Bullet2G">
    <w:name w:val="_Bullet 2_G"/>
    <w:basedOn w:val="Normal"/>
    <w:qFormat/>
    <w:pPr>
      <w:numPr>
        <w:numId w:val="19"/>
      </w:numPr>
      <w:spacing w:after="120"/>
      <w:ind w:right="1134"/>
      <w:jc w:val="both"/>
    </w:pPr>
  </w:style>
  <w:style w:type="paragraph" w:customStyle="1" w:styleId="ParNoG">
    <w:name w:val="_ParNo_G"/>
    <w:basedOn w:val="Normal"/>
    <w:qFormat/>
    <w:pPr>
      <w:numPr>
        <w:numId w:val="20"/>
      </w:numPr>
      <w:tabs>
        <w:tab w:val="clear" w:pos="1701"/>
      </w:tabs>
      <w:spacing w:after="120"/>
      <w:ind w:right="1134"/>
      <w:jc w:val="both"/>
    </w:pPr>
  </w:style>
  <w:style w:type="character" w:styleId="FootnoteReference">
    <w:name w:val="footnote reference"/>
    <w:aliases w:val="4_G,Footnote Reference/,4_GR"/>
    <w:basedOn w:val="DefaultParagraphFont"/>
    <w:qFormat/>
    <w:rPr>
      <w:rFonts w:ascii="Times New Roman" w:hAnsi="Times New Roman"/>
      <w:sz w:val="18"/>
      <w:vertAlign w:val="superscript"/>
      <w:lang w:val="fr-CH"/>
    </w:rPr>
  </w:style>
  <w:style w:type="character" w:styleId="EndnoteReference">
    <w:name w:val="endnote reference"/>
    <w:aliases w:val="1_G"/>
    <w:basedOn w:val="FootnoteReference"/>
    <w:qFormat/>
    <w:rPr>
      <w:rFonts w:ascii="Times New Roman" w:hAnsi="Times New Roman"/>
      <w:sz w:val="18"/>
      <w:vertAlign w:val="superscript"/>
      <w:lang w:val="fr-CH"/>
    </w:rPr>
  </w:style>
  <w:style w:type="table" w:styleId="TableGrid">
    <w:name w:val="Table Grid"/>
    <w:basedOn w:val="TableNormal"/>
    <w:pPr>
      <w:suppressAutoHyphens/>
      <w:spacing w:after="0" w:line="24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nhideWhenUsed/>
    <w:rPr>
      <w:color w:val="0000FF"/>
      <w:u w:val="none"/>
    </w:rPr>
  </w:style>
  <w:style w:type="character" w:styleId="FollowedHyperlink">
    <w:name w:val="FollowedHyperlink"/>
    <w:basedOn w:val="DefaultParagraphFont"/>
    <w:unhideWhenUsed/>
    <w:rPr>
      <w:color w:val="0000FF"/>
      <w:u w:val="none"/>
    </w:rPr>
  </w:style>
  <w:style w:type="paragraph" w:styleId="FootnoteText">
    <w:name w:val="footnote text"/>
    <w:aliases w:val="5_G,5_GR"/>
    <w:basedOn w:val="Normal"/>
    <w:link w:val="FootnoteTextChar"/>
    <w:qFormat/>
    <w:pPr>
      <w:tabs>
        <w:tab w:val="right" w:pos="1021"/>
      </w:tabs>
      <w:spacing w:line="220" w:lineRule="exact"/>
      <w:ind w:left="1134" w:right="1134" w:hanging="1134"/>
    </w:pPr>
    <w:rPr>
      <w:sz w:val="18"/>
    </w:rPr>
  </w:style>
  <w:style w:type="character" w:customStyle="1" w:styleId="FootnoteTextChar">
    <w:name w:val="Footnote Text Char"/>
    <w:aliases w:val="5_G Char,5_GR Char"/>
    <w:basedOn w:val="DefaultParagraphFont"/>
    <w:link w:val="FootnoteText"/>
    <w:rPr>
      <w:rFonts w:ascii="Times New Roman" w:eastAsiaTheme="minorHAnsi" w:hAnsi="Times New Roman" w:cs="Times New Roman"/>
      <w:sz w:val="18"/>
      <w:szCs w:val="20"/>
      <w:lang w:eastAsia="en-US"/>
    </w:rPr>
  </w:style>
  <w:style w:type="paragraph" w:styleId="EndnoteText">
    <w:name w:val="endnote text"/>
    <w:aliases w:val="2_G"/>
    <w:basedOn w:val="FootnoteText"/>
    <w:link w:val="EndnoteTextChar"/>
    <w:qFormat/>
  </w:style>
  <w:style w:type="character" w:customStyle="1" w:styleId="EndnoteTextChar">
    <w:name w:val="Endnote Text Char"/>
    <w:aliases w:val="2_G Char"/>
    <w:basedOn w:val="DefaultParagraphFont"/>
    <w:link w:val="EndnoteText"/>
    <w:rPr>
      <w:rFonts w:ascii="Times New Roman" w:eastAsiaTheme="minorHAnsi" w:hAnsi="Times New Roman" w:cs="Times New Roman"/>
      <w:sz w:val="18"/>
      <w:szCs w:val="20"/>
      <w:lang w:eastAsia="en-US"/>
    </w:rPr>
  </w:style>
  <w:style w:type="character" w:styleId="PageNumber">
    <w:name w:val="page number"/>
    <w:aliases w:val="7_G"/>
    <w:basedOn w:val="DefaultParagraphFont"/>
    <w:qFormat/>
    <w:rPr>
      <w:rFonts w:ascii="Times New Roman" w:hAnsi="Times New Roman"/>
      <w:b/>
      <w:sz w:val="18"/>
      <w:lang w:val="fr-CH"/>
    </w:rPr>
  </w:style>
  <w:style w:type="character" w:customStyle="1" w:styleId="Heading1Char">
    <w:name w:val="Heading 1 Char"/>
    <w:aliases w:val="Table_G Char"/>
    <w:basedOn w:val="DefaultParagraphFont"/>
    <w:link w:val="Heading1"/>
    <w:rPr>
      <w:rFonts w:ascii="Times New Roman" w:eastAsiaTheme="minorHAnsi" w:hAnsi="Times New Roman" w:cs="Times New Roman"/>
      <w:sz w:val="20"/>
      <w:szCs w:val="20"/>
      <w:lang w:eastAsia="en-US"/>
    </w:rPr>
  </w:style>
  <w:style w:type="character" w:customStyle="1" w:styleId="Heading2Char">
    <w:name w:val="Heading 2 Char"/>
    <w:basedOn w:val="DefaultParagraphFont"/>
    <w:link w:val="Heading2"/>
    <w:semiHidden/>
    <w:rPr>
      <w:rFonts w:ascii="Times New Roman" w:eastAsiaTheme="minorHAnsi" w:hAnsi="Times New Roman" w:cs="Times New Roman"/>
      <w:sz w:val="20"/>
      <w:szCs w:val="20"/>
      <w:lang w:eastAsia="en-US"/>
    </w:rPr>
  </w:style>
  <w:style w:type="character" w:customStyle="1" w:styleId="Heading3Char">
    <w:name w:val="Heading 3 Char"/>
    <w:basedOn w:val="DefaultParagraphFont"/>
    <w:link w:val="Heading3"/>
    <w:semiHidden/>
    <w:rPr>
      <w:rFonts w:ascii="Times New Roman" w:eastAsiaTheme="minorHAnsi" w:hAnsi="Times New Roman" w:cs="Times New Roman"/>
      <w:sz w:val="20"/>
      <w:szCs w:val="20"/>
      <w:lang w:eastAsia="en-US"/>
    </w:rPr>
  </w:style>
  <w:style w:type="character" w:customStyle="1" w:styleId="Heading4Char">
    <w:name w:val="Heading 4 Char"/>
    <w:basedOn w:val="DefaultParagraphFont"/>
    <w:link w:val="Heading4"/>
    <w:semiHidden/>
    <w:rPr>
      <w:rFonts w:ascii="Times New Roman" w:eastAsiaTheme="minorHAnsi" w:hAnsi="Times New Roman" w:cs="Times New Roman"/>
      <w:sz w:val="20"/>
      <w:szCs w:val="20"/>
      <w:lang w:eastAsia="en-US"/>
    </w:rPr>
  </w:style>
  <w:style w:type="character" w:customStyle="1" w:styleId="Heading5Char">
    <w:name w:val="Heading 5 Char"/>
    <w:basedOn w:val="DefaultParagraphFont"/>
    <w:link w:val="Heading5"/>
    <w:semiHidden/>
    <w:rPr>
      <w:rFonts w:ascii="Times New Roman" w:eastAsiaTheme="minorHAnsi" w:hAnsi="Times New Roman" w:cs="Times New Roman"/>
      <w:sz w:val="20"/>
      <w:szCs w:val="20"/>
      <w:lang w:eastAsia="en-US"/>
    </w:rPr>
  </w:style>
  <w:style w:type="character" w:customStyle="1" w:styleId="Heading6Char">
    <w:name w:val="Heading 6 Char"/>
    <w:basedOn w:val="DefaultParagraphFont"/>
    <w:link w:val="Heading6"/>
    <w:semiHidden/>
    <w:rPr>
      <w:rFonts w:ascii="Times New Roman" w:eastAsiaTheme="minorHAnsi" w:hAnsi="Times New Roman" w:cs="Times New Roman"/>
      <w:sz w:val="20"/>
      <w:szCs w:val="20"/>
      <w:lang w:eastAsia="en-US"/>
    </w:rPr>
  </w:style>
  <w:style w:type="character" w:customStyle="1" w:styleId="Heading7Char">
    <w:name w:val="Heading 7 Char"/>
    <w:basedOn w:val="DefaultParagraphFont"/>
    <w:link w:val="Heading7"/>
    <w:semiHidden/>
    <w:rPr>
      <w:rFonts w:ascii="Times New Roman" w:eastAsiaTheme="minorHAnsi" w:hAnsi="Times New Roman" w:cs="Times New Roman"/>
      <w:sz w:val="20"/>
      <w:szCs w:val="20"/>
      <w:lang w:eastAsia="en-US"/>
    </w:rPr>
  </w:style>
  <w:style w:type="character" w:customStyle="1" w:styleId="Heading8Char">
    <w:name w:val="Heading 8 Char"/>
    <w:basedOn w:val="DefaultParagraphFont"/>
    <w:link w:val="Heading8"/>
    <w:semiHidden/>
    <w:rPr>
      <w:rFonts w:ascii="Times New Roman" w:eastAsiaTheme="minorHAnsi" w:hAnsi="Times New Roman" w:cs="Times New Roman"/>
      <w:sz w:val="20"/>
      <w:szCs w:val="20"/>
      <w:lang w:eastAsia="en-US"/>
    </w:rPr>
  </w:style>
  <w:style w:type="character" w:customStyle="1" w:styleId="Heading9Char">
    <w:name w:val="Heading 9 Char"/>
    <w:basedOn w:val="DefaultParagraphFont"/>
    <w:link w:val="Heading9"/>
    <w:semiHidden/>
    <w:rPr>
      <w:rFonts w:ascii="Times New Roman" w:eastAsiaTheme="minorHAnsi" w:hAnsi="Times New Roman" w:cs="Times New Roman"/>
      <w:sz w:val="20"/>
      <w:szCs w:val="20"/>
      <w:lang w:eastAsia="en-US"/>
    </w:rPr>
  </w:style>
  <w:style w:type="paragraph" w:styleId="BalloonText">
    <w:name w:val="Balloon Text"/>
    <w:basedOn w:val="Normal"/>
    <w:link w:val="BalloonTextChar"/>
    <w:uiPriority w:val="99"/>
    <w:semiHidden/>
    <w:unhideWhenUse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character" w:customStyle="1" w:styleId="H1GChar">
    <w:name w:val="_ H_1_G Char"/>
    <w:link w:val="H1G"/>
    <w:rPr>
      <w:rFonts w:ascii="Times New Roman" w:eastAsiaTheme="minorHAnsi" w:hAnsi="Times New Roman" w:cs="Times New Roman"/>
      <w:b/>
      <w:sz w:val="24"/>
      <w:szCs w:val="20"/>
      <w:lang w:eastAsia="en-US"/>
    </w:rPr>
  </w:style>
  <w:style w:type="character" w:customStyle="1" w:styleId="HChGChar">
    <w:name w:val="_ H _Ch_G Char"/>
    <w:link w:val="HChG"/>
    <w:rPr>
      <w:rFonts w:ascii="Times New Roman" w:eastAsiaTheme="minorHAnsi" w:hAnsi="Times New Roman" w:cs="Times New Roman"/>
      <w:b/>
      <w:sz w:val="28"/>
      <w:szCs w:val="20"/>
      <w:lang w:eastAsia="en-US"/>
    </w:rPr>
  </w:style>
  <w:style w:type="character" w:customStyle="1" w:styleId="SingleTxtGChar">
    <w:name w:val="_ Single Txt_G Char"/>
    <w:link w:val="SingleTxtG"/>
    <w:qFormat/>
    <w:rPr>
      <w:rFonts w:ascii="Times New Roman" w:eastAsiaTheme="minorHAnsi" w:hAnsi="Times New Roman" w:cs="Times New Roman"/>
      <w:sz w:val="20"/>
      <w:szCs w:val="20"/>
      <w:lang w:eastAsia="en-US"/>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rPr>
      <w:rFonts w:ascii="Times New Roman" w:eastAsiaTheme="minorHAnsi"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heme="minorHAnsi" w:hAnsi="Times New Roman" w:cs="Times New Roman"/>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6517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3</Pages>
  <Words>692</Words>
  <Characters>3904</Characters>
  <Application>Microsoft Office Word</Application>
  <DocSecurity>0</DocSecurity>
  <Lines>88</Lines>
  <Paragraphs>41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ECE/TRANS/WP.15/AC.1/2018/4</vt:lpstr>
      <vt:lpstr>ECE/TRANS/WP.15/AC.1/2018/4</vt:lpstr>
    </vt:vector>
  </TitlesOfParts>
  <Company>DCM</Company>
  <LinksUpToDate>false</LinksUpToDate>
  <CharactersWithSpaces>4555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ECE/TRANS/WP.15/AC.1/2018/4</dc:title>
  <dc:subject/>
  <dc:creator>Fabienne CRELIER</dc:creator>
  <cp:keywords/>
  <cp:lastModifiedBy>Christine Barrio-Champeau</cp:lastModifiedBy>
  <cp:revision>8</cp:revision>
  <cp:lastPrinted>2018-01-10T16:02:00Z</cp:lastPrinted>
  <dcterms:created xsi:type="dcterms:W3CDTF">2018-12-27T11:41:00Z</dcterms:created>
  <dcterms:modified xsi:type="dcterms:W3CDTF">2018-12-27T14:43:00Z</dcterms:modified>
</cp:coreProperties>
</file>