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>
        <w:rPr>
          <w:noProof/>
          <w:lang w:val="en-US"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54673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268"/>
                              <w:gridCol w:w="6095"/>
                            </w:tblGrid>
                            <w:tr w:rsidR="00152473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/>
                                  </w:pPr>
                                  <w:bookmarkStart w:id="0" w:name="__UnoMark__48_988894821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 w:line="300" w:lineRule="exact"/>
                                  </w:pPr>
                                  <w:bookmarkStart w:id="1" w:name="__UnoMark__49_988894821"/>
                                  <w:bookmarkStart w:id="2" w:name="__UnoMark__50_988894821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B3602D" w:rsidP="008B1779">
                                  <w:pPr>
                                    <w:suppressAutoHyphens w:val="0"/>
                                    <w:spacing w:after="20"/>
                                    <w:jc w:val="right"/>
                                  </w:pPr>
                                  <w:bookmarkStart w:id="3" w:name="__UnoMark__51_988894821"/>
                                  <w:bookmarkEnd w:id="3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</w:t>
                                  </w:r>
                                  <w:r w:rsidR="007351B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7914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3/E</w:t>
                                  </w:r>
                                </w:p>
                              </w:tc>
                            </w:tr>
                          </w:tbl>
                          <w:p w:rsidR="00677416" w:rsidRDefault="0067741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56.75pt;margin-top:28.4pt;width:481.95pt;height:43.0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268"/>
                        <w:gridCol w:w="6095"/>
                      </w:tblGrid>
                      <w:tr w:rsidR="00152473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/>
                            </w:pPr>
                            <w:bookmarkStart w:id="4" w:name="__UnoMark__48_988894821"/>
                            <w:bookmarkEnd w:id="4"/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 w:line="300" w:lineRule="exact"/>
                            </w:pPr>
                            <w:bookmarkStart w:id="5" w:name="__UnoMark__49_988894821"/>
                            <w:bookmarkStart w:id="6" w:name="__UnoMark__50_988894821"/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6095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B3602D" w:rsidP="008B1779">
                            <w:pPr>
                              <w:suppressAutoHyphens w:val="0"/>
                              <w:spacing w:after="20"/>
                              <w:jc w:val="right"/>
                            </w:pPr>
                            <w:bookmarkStart w:id="7" w:name="__UnoMark__51_988894821"/>
                            <w:bookmarkEnd w:id="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</w:t>
                            </w:r>
                            <w:r w:rsidR="007351B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791427">
                              <w:rPr>
                                <w:b/>
                                <w:sz w:val="28"/>
                                <w:szCs w:val="28"/>
                              </w:rPr>
                              <w:t>3/E</w:t>
                            </w:r>
                          </w:p>
                        </w:tc>
                      </w:tr>
                    </w:tbl>
                    <w:p w:rsidR="00677416" w:rsidRDefault="0067741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32BE">
        <w:rPr>
          <w:b/>
        </w:rPr>
        <w:t>27 J</w:t>
      </w:r>
      <w:bookmarkStart w:id="8" w:name="_GoBack"/>
      <w:bookmarkEnd w:id="8"/>
      <w:r w:rsidR="00E93BD9">
        <w:rPr>
          <w:b/>
        </w:rPr>
        <w:t>une</w:t>
      </w:r>
      <w:r>
        <w:rPr>
          <w:b/>
        </w:rPr>
        <w:t xml:space="preserve"> 2017</w:t>
      </w:r>
    </w:p>
    <w:p w:rsidR="00E732BE" w:rsidRDefault="00E732BE" w:rsidP="00E732BE">
      <w:r>
        <w:t>Geneva, 17–27 September 2019</w:t>
      </w:r>
    </w:p>
    <w:p w:rsidR="00E732BE" w:rsidRDefault="00E732BE" w:rsidP="00E732BE">
      <w:pPr>
        <w:rPr>
          <w:lang w:val="en-US"/>
        </w:rPr>
      </w:pPr>
      <w:r>
        <w:rPr>
          <w:lang w:val="en-US"/>
        </w:rPr>
        <w:t>Item 5 (b) of the provisional agenda</w:t>
      </w:r>
    </w:p>
    <w:p w:rsidR="00152473" w:rsidRDefault="00E732BE" w:rsidP="00E732BE">
      <w:pPr>
        <w:rPr>
          <w:b/>
        </w:rPr>
      </w:pPr>
      <w:r>
        <w:rPr>
          <w:b/>
          <w:lang w:val="en-US"/>
        </w:rPr>
        <w:t>Proposals for amendments to RID/ADR/ADN:</w:t>
      </w:r>
      <w:r>
        <w:rPr>
          <w:b/>
          <w:lang w:val="en-US"/>
        </w:rPr>
        <w:br/>
        <w:t>new proposals</w:t>
      </w:r>
    </w:p>
    <w:p w:rsidR="00791427" w:rsidRDefault="00791427" w:rsidP="007351B2">
      <w:pPr>
        <w:tabs>
          <w:tab w:val="right" w:pos="10201"/>
        </w:tabs>
        <w:spacing w:line="259" w:lineRule="auto"/>
        <w:jc w:val="right"/>
        <w:rPr>
          <w:rFonts w:ascii="Times" w:eastAsiaTheme="minorHAnsi" w:hAnsi="Times" w:cs="Times"/>
          <w:sz w:val="24"/>
          <w:szCs w:val="24"/>
        </w:rPr>
      </w:pPr>
      <w:r w:rsidRPr="007351B2">
        <w:rPr>
          <w:b/>
          <w:sz w:val="64"/>
        </w:rPr>
        <w:t>IRS 50592</w:t>
      </w:r>
      <w:r>
        <w:rPr>
          <w:rFonts w:ascii="Times" w:eastAsiaTheme="minorHAnsi" w:hAnsi="Times" w:cs="Times"/>
          <w:sz w:val="64"/>
          <w:szCs w:val="64"/>
        </w:rPr>
        <w:t xml:space="preserve"> </w:t>
      </w:r>
    </w:p>
    <w:p w:rsidR="00791427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eastAsiaTheme="minorHAnsi" w:hAnsi="Times" w:cs="Times"/>
          <w:sz w:val="24"/>
          <w:szCs w:val="24"/>
        </w:rPr>
      </w:pPr>
      <w:r w:rsidRPr="007351B2">
        <w:t xml:space="preserve">1st edition, 2019-1 </w:t>
      </w:r>
    </w:p>
    <w:p w:rsidR="00791427" w:rsidRDefault="00791427" w:rsidP="00791427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eastAsiaTheme="minorHAnsi" w:hAnsi="Times" w:cs="Times"/>
          <w:sz w:val="42"/>
          <w:szCs w:val="42"/>
        </w:rPr>
      </w:pPr>
    </w:p>
    <w:p w:rsidR="00791427" w:rsidRPr="00791427" w:rsidRDefault="00791427" w:rsidP="00791427">
      <w:pPr>
        <w:spacing w:line="373" w:lineRule="auto"/>
        <w:ind w:left="851" w:right="236"/>
        <w:rPr>
          <w:b/>
          <w:sz w:val="32"/>
        </w:rPr>
      </w:pPr>
      <w:r w:rsidRPr="00791427">
        <w:rPr>
          <w:b/>
          <w:sz w:val="32"/>
        </w:rPr>
        <w:t xml:space="preserve">Intermodal Transport Units (other than semi-trailers) for vertical transhipment and suitable for carriage on wagons - Minimum requirements </w:t>
      </w:r>
    </w:p>
    <w:p w:rsidR="00791427" w:rsidRDefault="00791427">
      <w:pPr>
        <w:suppressAutoHyphens w:val="0"/>
        <w:spacing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791427" w:rsidRPr="00791427" w:rsidRDefault="00791427" w:rsidP="0079142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b/>
        </w:rPr>
      </w:pPr>
      <w:r w:rsidRPr="00791427">
        <w:rPr>
          <w:rFonts w:eastAsiaTheme="minorHAnsi"/>
          <w:b/>
        </w:rPr>
        <w:lastRenderedPageBreak/>
        <w:t xml:space="preserve">Normative references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HAnsi"/>
        </w:rPr>
      </w:pPr>
      <w:r w:rsidRPr="00C7037E">
        <w:rPr>
          <w:rFonts w:eastAsiaTheme="minorHAnsi"/>
        </w:rPr>
        <w:t xml:space="preserve">The following referenced documents are indispensable for the application of this document.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HAnsi"/>
        </w:rPr>
      </w:pPr>
      <w:r w:rsidRPr="00C7037E">
        <w:rPr>
          <w:rFonts w:eastAsiaTheme="minorHAnsi"/>
        </w:rPr>
        <w:t xml:space="preserve">For dated references, only the edition cited applies.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rPr>
          <w:rFonts w:eastAsiaTheme="minorHAnsi"/>
        </w:rPr>
      </w:pPr>
      <w:r w:rsidRPr="00C7037E">
        <w:rPr>
          <w:rFonts w:eastAsiaTheme="minorHAnsi"/>
        </w:rPr>
        <w:t xml:space="preserve">For undated references, the latest edition of the referenced document (including any amendments) applies.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</w:rPr>
      </w:pPr>
      <w:r w:rsidRPr="00C7037E">
        <w:rPr>
          <w:rFonts w:eastAsiaTheme="minorHAnsi"/>
        </w:rPr>
        <w:t>1.</w:t>
      </w:r>
      <w:r>
        <w:rPr>
          <w:rFonts w:eastAsiaTheme="minorHAnsi"/>
        </w:rPr>
        <w:tab/>
      </w:r>
      <w:r w:rsidRPr="00C7037E">
        <w:rPr>
          <w:rFonts w:eastAsiaTheme="minorHAnsi"/>
          <w:u w:val="single"/>
        </w:rPr>
        <w:t>UIC Leaflets</w:t>
      </w:r>
      <w:r w:rsidRPr="00C7037E">
        <w:rPr>
          <w:rFonts w:eastAsiaTheme="minorHAnsi"/>
        </w:rPr>
        <w:t xml:space="preserve">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eastAsiaTheme="minorHAnsi"/>
        </w:rPr>
      </w:pPr>
      <w:r w:rsidRPr="00C7037E">
        <w:rPr>
          <w:rFonts w:eastAsiaTheme="minorHAnsi"/>
        </w:rPr>
        <w:t xml:space="preserve">International Union of Railways (UIC)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UIC Leaflet 592-3: Large containers (CT), swap bodies (CM) and transport frames for horizontal transhipment (CA) - Standard report on acceptance tests, </w:t>
      </w:r>
      <w:r w:rsidRPr="00C7037E">
        <w:rPr>
          <w:rFonts w:eastAsiaTheme="minorHAnsi"/>
        </w:rPr>
        <w:t xml:space="preserve">2nd edition, January 1998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</w:rPr>
      </w:pPr>
      <w:r w:rsidRPr="00C7037E">
        <w:rPr>
          <w:rFonts w:eastAsiaTheme="minorHAnsi"/>
        </w:rPr>
        <w:t>2.</w:t>
      </w:r>
      <w:r>
        <w:rPr>
          <w:rFonts w:eastAsiaTheme="minorHAnsi"/>
        </w:rPr>
        <w:tab/>
      </w:r>
      <w:r w:rsidRPr="00C7037E">
        <w:rPr>
          <w:rFonts w:eastAsiaTheme="minorHAnsi"/>
          <w:u w:val="single"/>
        </w:rPr>
        <w:t>International Railway Solution (IRS</w:t>
      </w:r>
      <w:r w:rsidRPr="00C7037E">
        <w:rPr>
          <w:rFonts w:eastAsiaTheme="minorHAnsi"/>
        </w:rPr>
        <w:t xml:space="preserve">)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eastAsiaTheme="minorHAnsi"/>
        </w:rPr>
      </w:pPr>
      <w:r w:rsidRPr="00C7037E">
        <w:rPr>
          <w:rFonts w:eastAsiaTheme="minorHAnsi"/>
        </w:rPr>
        <w:t xml:space="preserve">International Union of Railways (UIC)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IRS 50571-4: Wagons for combined transport - Vertical transhipment - Characteristics, </w:t>
      </w:r>
      <w:r w:rsidRPr="00C7037E">
        <w:rPr>
          <w:rFonts w:eastAsiaTheme="minorHAnsi"/>
        </w:rPr>
        <w:t xml:space="preserve">1st edition, April 2018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IRS 50596-6: Conditions for coding intermodal loading units in combined transport, combined transport lines and wagons, </w:t>
      </w:r>
      <w:r w:rsidRPr="00C7037E">
        <w:rPr>
          <w:rFonts w:eastAsiaTheme="minorHAnsi"/>
        </w:rPr>
        <w:t xml:space="preserve">1st edition, July 2018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</w:rPr>
      </w:pPr>
      <w:r w:rsidRPr="00C7037E">
        <w:rPr>
          <w:rFonts w:eastAsiaTheme="minorHAnsi"/>
        </w:rPr>
        <w:t>3.</w:t>
      </w:r>
      <w:r>
        <w:rPr>
          <w:rFonts w:eastAsiaTheme="minorHAnsi"/>
        </w:rPr>
        <w:tab/>
      </w:r>
      <w:r w:rsidRPr="00C7037E">
        <w:rPr>
          <w:rFonts w:eastAsiaTheme="minorHAnsi"/>
          <w:u w:val="single"/>
        </w:rPr>
        <w:t>European Standards European Committee for Standardization</w:t>
      </w:r>
      <w:r w:rsidRPr="00C7037E">
        <w:rPr>
          <w:rFonts w:eastAsiaTheme="minorHAnsi"/>
        </w:rPr>
        <w:t xml:space="preserve"> (CEN)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283: Swap bodies - testing</w:t>
      </w:r>
      <w:r w:rsidRPr="00C7037E">
        <w:rPr>
          <w:rFonts w:eastAsiaTheme="minorHAnsi"/>
        </w:rPr>
        <w:t>, 1991 </w:t>
      </w:r>
      <w:r w:rsidRPr="00C7037E">
        <w:rPr>
          <w:rFonts w:eastAsiaTheme="minorHAnsi"/>
          <w:i/>
          <w:iCs/>
        </w:rPr>
        <w:t xml:space="preserve">EN 284: Swap bodies. Non-stackable swap bodies of class C. Dimensions and general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requirements</w:t>
      </w:r>
      <w:r w:rsidRPr="00C7037E">
        <w:rPr>
          <w:rFonts w:eastAsiaTheme="minorHAnsi"/>
        </w:rPr>
        <w:t>, 2006 </w:t>
      </w:r>
      <w:r w:rsidRPr="00C7037E">
        <w:rPr>
          <w:rFonts w:eastAsiaTheme="minorHAnsi"/>
          <w:i/>
          <w:iCs/>
        </w:rPr>
        <w:t xml:space="preserve">EN 452: </w:t>
      </w:r>
      <w:r w:rsidRPr="00C7037E">
        <w:rPr>
          <w:rFonts w:eastAsiaTheme="minorHAnsi"/>
        </w:rPr>
        <w:t xml:space="preserve">Swap bodies. Swap bodies of Class A. Dimensions and general requirements, 1995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1432: Swap bodies. Swap tanks. Dimensions, requirements, test methods, operating conditions</w:t>
      </w:r>
      <w:r w:rsidRPr="00C7037E">
        <w:rPr>
          <w:rFonts w:eastAsiaTheme="minorHAnsi"/>
        </w:rPr>
        <w:t xml:space="preserve">, 1997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12195-1: Load restraint assemblies on road vehicles. Safety. Part 1: Calculation of lashing forces</w:t>
      </w:r>
      <w:r w:rsidRPr="00C7037E">
        <w:rPr>
          <w:rFonts w:eastAsiaTheme="minorHAnsi"/>
        </w:rPr>
        <w:t xml:space="preserve">, 2010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12406: Swap bodies. Thermal swap bodies of class C. Dimensions and general requirements</w:t>
      </w:r>
      <w:r w:rsidRPr="00C7037E">
        <w:rPr>
          <w:rFonts w:eastAsiaTheme="minorHAnsi"/>
        </w:rPr>
        <w:t xml:space="preserve">, 1999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EN 12410: Swap bodies. Thermal swap bodies of class A. Dimensions and general requirements, </w:t>
      </w:r>
      <w:r w:rsidRPr="00C7037E">
        <w:rPr>
          <w:rFonts w:eastAsiaTheme="minorHAnsi"/>
        </w:rPr>
        <w:t xml:space="preserve">1999 </w:t>
      </w:r>
    </w:p>
    <w:p w:rsidR="00791427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12640: Securing of cargo on road vehicles. Lashing points on commercial vehicles for goods transportation. Minimum requirements and testing</w:t>
      </w:r>
      <w:r w:rsidRPr="00C7037E">
        <w:rPr>
          <w:rFonts w:eastAsiaTheme="minorHAnsi"/>
        </w:rPr>
        <w:t xml:space="preserve">, 2000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lastRenderedPageBreak/>
        <w:t>EN 12641-1: Swap bodies and commercial vehicles. Tarpaulins. Part 1: Minimum requirements</w:t>
      </w:r>
      <w:r w:rsidRPr="00C7037E">
        <w:rPr>
          <w:rFonts w:eastAsiaTheme="minorHAnsi"/>
        </w:rPr>
        <w:t xml:space="preserve">, 2005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EN 12641-2: Swap bodies and commercial vehicles. Tarpaulins. Part 2: Minimum requirements for </w:t>
      </w:r>
      <w:proofErr w:type="spellStart"/>
      <w:r w:rsidRPr="00C7037E">
        <w:rPr>
          <w:rFonts w:eastAsiaTheme="minorHAnsi"/>
          <w:i/>
          <w:iCs/>
        </w:rPr>
        <w:t>curtainsiders</w:t>
      </w:r>
      <w:proofErr w:type="spellEnd"/>
      <w:r w:rsidRPr="00C7037E">
        <w:rPr>
          <w:rFonts w:eastAsiaTheme="minorHAnsi"/>
        </w:rPr>
        <w:t xml:space="preserve">, 2006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12642: Securing of cargo on road vehicles. Body structure of commercial vehicles. Minimum requirements</w:t>
      </w:r>
      <w:r w:rsidRPr="00C7037E">
        <w:rPr>
          <w:rFonts w:eastAsiaTheme="minorHAnsi"/>
        </w:rPr>
        <w:t xml:space="preserve">, 2016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>EN 13044-2: Intermodal loading units. Marking. Part 2: Markings of swap bodies related to rail operation</w:t>
      </w:r>
      <w:r w:rsidRPr="00C7037E">
        <w:rPr>
          <w:rFonts w:eastAsiaTheme="minorHAnsi"/>
        </w:rPr>
        <w:t xml:space="preserve">, 2011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EN 13853: Swap bodies for combined transport - Stackable swap bodies type C 745- S16 - Dimensions, design requirements and testing, </w:t>
      </w:r>
      <w:r w:rsidRPr="00C7037E">
        <w:rPr>
          <w:rFonts w:eastAsiaTheme="minorHAnsi"/>
        </w:rPr>
        <w:t xml:space="preserve">2003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EN 14993: Swap bodies for combined transport - Stackable swap bodies type A 1371 - Dimensions, design requirements and testing, </w:t>
      </w:r>
      <w:r w:rsidRPr="00C7037E">
        <w:rPr>
          <w:rFonts w:eastAsiaTheme="minorHAnsi"/>
        </w:rPr>
        <w:t xml:space="preserve">2005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</w:rPr>
      </w:pPr>
      <w:r w:rsidRPr="00C7037E">
        <w:rPr>
          <w:rFonts w:eastAsiaTheme="minorHAnsi"/>
        </w:rPr>
        <w:t>4.</w:t>
      </w:r>
      <w:r>
        <w:rPr>
          <w:rFonts w:eastAsiaTheme="minorHAnsi"/>
        </w:rPr>
        <w:tab/>
      </w:r>
      <w:r w:rsidRPr="00C7037E">
        <w:rPr>
          <w:rFonts w:eastAsiaTheme="minorHAnsi"/>
          <w:u w:val="single"/>
        </w:rPr>
        <w:t>International Standards International Organization for Standardization</w:t>
      </w:r>
      <w:r w:rsidRPr="00C7037E">
        <w:rPr>
          <w:rFonts w:eastAsiaTheme="minorHAnsi"/>
        </w:rPr>
        <w:t xml:space="preserve"> (ISO)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668: Series 1 freight containers - Classification, dimensions and ratings, </w:t>
      </w:r>
      <w:r w:rsidRPr="00C7037E">
        <w:rPr>
          <w:rFonts w:eastAsiaTheme="minorHAnsi"/>
        </w:rPr>
        <w:t xml:space="preserve">2013 </w:t>
      </w:r>
      <w:r w:rsidRPr="00C7037E">
        <w:rPr>
          <w:rFonts w:eastAsiaTheme="minorHAnsi"/>
          <w:i/>
          <w:iCs/>
        </w:rPr>
        <w:t xml:space="preserve">ISO 1161: Series 1 freight containers - Corner fittings - Specification, </w:t>
      </w:r>
      <w:r w:rsidRPr="00C7037E">
        <w:rPr>
          <w:rFonts w:eastAsiaTheme="minorHAnsi"/>
        </w:rPr>
        <w:t xml:space="preserve">2016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1496-1: Series 1 freight containers - Specification and testing - Part 1: General cargo containers for general purposes, </w:t>
      </w:r>
      <w:r w:rsidRPr="00C7037E">
        <w:rPr>
          <w:rFonts w:eastAsiaTheme="minorHAnsi"/>
        </w:rPr>
        <w:t xml:space="preserve">1990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1496-2: Series 1 freight containers - Specification and testing - Part 2: Thermal containers, </w:t>
      </w:r>
      <w:r w:rsidRPr="00C7037E">
        <w:rPr>
          <w:rFonts w:eastAsiaTheme="minorHAnsi"/>
        </w:rPr>
        <w:t xml:space="preserve">2008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1496-3: Series 1 freight containers - Specification and testing - Part 3: Tank containers for liquids, gases and pressurized dry bulk, </w:t>
      </w:r>
      <w:r w:rsidRPr="00C7037E">
        <w:rPr>
          <w:rFonts w:eastAsiaTheme="minorHAnsi"/>
        </w:rPr>
        <w:t xml:space="preserve">1995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1496-4: Series 1 freight containers - Specification and testing - Part 4: Non- pressurized containers for dry </w:t>
      </w:r>
      <w:proofErr w:type="spellStart"/>
      <w:r w:rsidRPr="00C7037E">
        <w:rPr>
          <w:rFonts w:eastAsiaTheme="minorHAnsi"/>
          <w:i/>
          <w:iCs/>
        </w:rPr>
        <w:t>bulkc</w:t>
      </w:r>
      <w:proofErr w:type="spellEnd"/>
      <w:r w:rsidRPr="00C7037E">
        <w:rPr>
          <w:rFonts w:eastAsiaTheme="minorHAnsi"/>
          <w:i/>
          <w:iCs/>
        </w:rPr>
        <w:t xml:space="preserve">, </w:t>
      </w:r>
      <w:r w:rsidRPr="00C7037E">
        <w:rPr>
          <w:rFonts w:eastAsiaTheme="minorHAnsi"/>
        </w:rPr>
        <w:t xml:space="preserve">1991 </w:t>
      </w:r>
    </w:p>
    <w:p w:rsidR="00791427" w:rsidRPr="00C7037E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1496-5: Series 1 freight containers - Specification and testing - Part 5: Platform and platform-based containers, </w:t>
      </w:r>
      <w:r w:rsidRPr="00C7037E">
        <w:rPr>
          <w:rFonts w:eastAsiaTheme="minorHAnsi"/>
        </w:rPr>
        <w:t xml:space="preserve">1991 </w:t>
      </w:r>
    </w:p>
    <w:p w:rsidR="00791427" w:rsidRDefault="00791427" w:rsidP="00791427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C7037E">
        <w:rPr>
          <w:rFonts w:eastAsiaTheme="minorHAnsi"/>
          <w:i/>
          <w:iCs/>
        </w:rPr>
        <w:t xml:space="preserve">ISO 6346: Freight containers - Coding, identification and marking, </w:t>
      </w:r>
      <w:r w:rsidRPr="00C7037E">
        <w:rPr>
          <w:rFonts w:eastAsiaTheme="minorHAnsi"/>
        </w:rPr>
        <w:t xml:space="preserve">1995 </w:t>
      </w:r>
    </w:p>
    <w:p w:rsidR="00791427" w:rsidRDefault="00791427">
      <w:pPr>
        <w:suppressAutoHyphens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br w:type="page"/>
      </w:r>
    </w:p>
    <w:p w:rsidR="00791427" w:rsidRPr="00CD1C10" w:rsidRDefault="00791427" w:rsidP="00791427">
      <w:pPr>
        <w:pStyle w:val="HChG"/>
      </w:pPr>
      <w:r>
        <w:lastRenderedPageBreak/>
        <w:tab/>
      </w:r>
      <w:r>
        <w:tab/>
      </w:r>
      <w:r w:rsidRPr="00CD1C10">
        <w:t>Introduction</w:t>
      </w:r>
    </w:p>
    <w:p w:rsidR="00791427" w:rsidRPr="00CD1C10" w:rsidRDefault="00791427" w:rsidP="00791427">
      <w:pPr>
        <w:pStyle w:val="SingleTxtG"/>
      </w:pPr>
      <w:r w:rsidRPr="00CD1C10">
        <w:t xml:space="preserve">The present leaflet lists all the intermodal transport units (ILUs) other than semi-trailers which may be carried by rail. </w:t>
      </w:r>
    </w:p>
    <w:p w:rsidR="00791427" w:rsidRPr="00CD1C10" w:rsidRDefault="00791427" w:rsidP="00791427">
      <w:pPr>
        <w:pStyle w:val="SingleTxtG"/>
      </w:pPr>
      <w:r w:rsidRPr="00CD1C10">
        <w:t xml:space="preserve">It lists the references for standardised ILUs and sets minimum requirements for specific ILUs. </w:t>
      </w:r>
    </w:p>
    <w:p w:rsidR="00791427" w:rsidRPr="00CD1C10" w:rsidRDefault="00791427" w:rsidP="00791427">
      <w:pPr>
        <w:pStyle w:val="SingleTxtG"/>
        <w:rPr>
          <w:b/>
          <w:bCs/>
        </w:rPr>
      </w:pPr>
      <w:r w:rsidRPr="00CD1C10">
        <w:rPr>
          <w:b/>
          <w:bCs/>
        </w:rPr>
        <w:t>Inventory of ILUs</w:t>
      </w:r>
    </w:p>
    <w:p w:rsidR="00791427" w:rsidRDefault="00791427" w:rsidP="00791427">
      <w:pPr>
        <w:pStyle w:val="SingleTxtG"/>
      </w:pPr>
      <w:r w:rsidRPr="00CD1C10">
        <w:t>The following table lists the standards and requirements to be complied with for each type of ILU (see Glossary; for references to standards see Bibliography and points in the present leaflet).</w:t>
      </w:r>
    </w:p>
    <w:p w:rsidR="00791427" w:rsidRPr="00CD1C10" w:rsidRDefault="00791427" w:rsidP="00791427"/>
    <w:tbl>
      <w:tblPr>
        <w:tblW w:w="98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3715"/>
        <w:gridCol w:w="2241"/>
        <w:gridCol w:w="1368"/>
        <w:gridCol w:w="1700"/>
      </w:tblGrid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Type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Dimensions and maximum loads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Markings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proofErr w:type="spellStart"/>
            <w:r w:rsidRPr="00CD1C10">
              <w:rPr>
                <w:b/>
                <w:bCs/>
              </w:rPr>
              <w:t>Strength</w:t>
            </w:r>
            <w:r w:rsidRPr="00CD1C10">
              <w:rPr>
                <w:vertAlign w:val="superscript"/>
              </w:rPr>
              <w:t>a</w:t>
            </w:r>
            <w:proofErr w:type="spellEnd"/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ISO container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 xml:space="preserve">ISO 668 </w:t>
            </w:r>
            <w:r w:rsidRPr="00CD1C10">
              <w:rPr>
                <w:b/>
              </w:rPr>
              <w:t>with maximum load equal or less 36t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ISO 6346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ISO 1496-1 to 5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Class C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Stackable class C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13853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13853, 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Refrigerated class C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12406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12406, 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Class A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452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452, 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Stackable class A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14993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14993, 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Refrigerated class A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12410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12410, UIC Leaflet 592</w:t>
            </w:r>
          </w:p>
        </w:tc>
      </w:tr>
      <w:tr w:rsidR="00791427" w:rsidRPr="00CD1C10" w:rsidTr="00791427">
        <w:trPr>
          <w:trHeight w:val="9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Tank ILUs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 xml:space="preserve">EN 1432 / point 5.3 </w:t>
            </w:r>
            <w:r w:rsidRPr="00CD1C10">
              <w:rPr>
                <w:b/>
              </w:rPr>
              <w:t>with maximum load equal or less 36t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EN 1432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Intermediate frame</w:t>
            </w:r>
            <w:r w:rsidRPr="00CD1C10" w:rsidDel="00C458EB">
              <w:rPr>
                <w:b/>
                <w:bCs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Bilateral/multilateral agreement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Bilateral/multilateral agreement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  <w:i/>
                <w:iCs/>
              </w:rPr>
            </w:pPr>
            <w:r w:rsidRPr="00CD1C10">
              <w:rPr>
                <w:b/>
                <w:bCs/>
              </w:rPr>
              <w:t xml:space="preserve">ILUs which do not fall under points 1.2 to 1.9 but whose dimensions allow them to be coded </w:t>
            </w:r>
            <w:proofErr w:type="gramStart"/>
            <w:r w:rsidRPr="00CD1C10">
              <w:rPr>
                <w:b/>
                <w:bCs/>
              </w:rPr>
              <w:t>on the basis of</w:t>
            </w:r>
            <w:proofErr w:type="gramEnd"/>
            <w:r w:rsidRPr="00CD1C10">
              <w:rPr>
                <w:b/>
                <w:bCs/>
              </w:rPr>
              <w:t xml:space="preserve"> </w:t>
            </w:r>
            <w:r w:rsidRPr="00CD1C10">
              <w:rPr>
                <w:b/>
                <w:bCs/>
                <w:i/>
                <w:iCs/>
              </w:rPr>
              <w:t>UIC Leaflet 596-6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Must be suitable for carriage on wagons with compatibility code 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ILUs with a base width &gt; 2600 mm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Appendix 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vertAlign w:val="superscript"/>
              </w:rPr>
            </w:pPr>
            <w:r w:rsidRPr="00CD1C10">
              <w:t>Point 10</w:t>
            </w:r>
            <w:r w:rsidRPr="00CD1C10">
              <w:rPr>
                <w:vertAlign w:val="superscript"/>
              </w:rPr>
              <w:t>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ILUs which, due to their dimensions or weight, may not be freely loaded onto carrying wagons with compatibility code C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Appendix B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Hybrid ILUs</w:t>
            </w:r>
          </w:p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</w:p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lastRenderedPageBreak/>
              <w:t>Non-ISO ILUs with upper corner fittings but no grab-handling grooves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lastRenderedPageBreak/>
              <w:t>Appendix H</w:t>
            </w:r>
          </w:p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  <w:bCs/>
              </w:rPr>
              <w:t>1.14.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Del="00C458EB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  <w:r w:rsidRPr="00CD1C10">
              <w:rPr>
                <w:b/>
              </w:rPr>
              <w:t>Non-standardised ILUs carried stacked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Appendix 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Point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  <w:r w:rsidRPr="00CD1C10">
              <w:t>UIC Leaflet 592</w:t>
            </w:r>
          </w:p>
        </w:tc>
      </w:tr>
      <w:tr w:rsidR="00791427" w:rsidRPr="00CD1C10" w:rsidTr="00791427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  <w:rPr>
                <w:b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7" w:rsidRPr="00CD1C10" w:rsidRDefault="00791427" w:rsidP="00791427">
            <w:pPr>
              <w:adjustRightInd w:val="0"/>
              <w:snapToGrid w:val="0"/>
              <w:spacing w:beforeLines="60" w:before="144" w:afterLines="60" w:after="144"/>
            </w:pPr>
          </w:p>
        </w:tc>
      </w:tr>
    </w:tbl>
    <w:p w:rsidR="00791427" w:rsidRPr="00CD1C10" w:rsidRDefault="00791427" w:rsidP="00791427">
      <w:pPr>
        <w:pStyle w:val="SingleTxtG"/>
        <w:spacing w:before="120"/>
      </w:pPr>
      <w:r>
        <w:t>a.</w:t>
      </w:r>
      <w:r>
        <w:tab/>
      </w:r>
      <w:r w:rsidRPr="00CD1C10">
        <w:t>Demonstration of strength is recognised by means of a CSC plate and/or code plate.</w:t>
      </w:r>
    </w:p>
    <w:p w:rsidR="00791427" w:rsidRDefault="00791427" w:rsidP="00791427">
      <w:pPr>
        <w:pStyle w:val="SingleTxtG"/>
        <w:spacing w:before="120"/>
      </w:pPr>
      <w:r>
        <w:t>b.</w:t>
      </w:r>
      <w:r>
        <w:tab/>
      </w:r>
      <w:r w:rsidRPr="00CD1C10">
        <w:t>Specific marking.</w:t>
      </w:r>
    </w:p>
    <w:p w:rsidR="00791427" w:rsidRPr="00791427" w:rsidRDefault="00791427" w:rsidP="0079142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1427" w:rsidRPr="00791427" w:rsidSect="007172E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5118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50" w:rsidRPr="00AC1150" w:rsidRDefault="00AC1150">
        <w:pPr>
          <w:pStyle w:val="Footer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1364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AC1150" w:rsidRPr="00AC1150" w:rsidRDefault="00AC1150">
        <w:pPr>
          <w:pStyle w:val="Footer"/>
          <w:jc w:val="right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rPr>
        <w:b/>
        <w:bCs/>
        <w:lang w:val="fr-CH"/>
      </w:rPr>
    </w:pPr>
    <w:r w:rsidRPr="00AC1150">
      <w:rPr>
        <w:b/>
        <w:bCs/>
        <w:lang w:val="fr-CH"/>
      </w:rPr>
      <w:t>INF.</w:t>
    </w:r>
    <w:r w:rsidR="00791427">
      <w:rPr>
        <w:b/>
        <w:bCs/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 w:rsidRPr="00AC1150">
      <w:rPr>
        <w:b/>
        <w:bCs/>
        <w:sz w:val="18"/>
        <w:szCs w:val="18"/>
        <w:lang w:val="fr-CH"/>
      </w:rPr>
      <w:t>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D380"/>
    <w:multiLevelType w:val="singleLevel"/>
    <w:tmpl w:val="36B238D1"/>
    <w:lvl w:ilvl="0">
      <w:start w:val="1"/>
      <w:numFmt w:val="lowerLetter"/>
      <w:lvlText w:val="%1."/>
      <w:lvlJc w:val="left"/>
      <w:pPr>
        <w:tabs>
          <w:tab w:val="num" w:pos="144"/>
        </w:tabs>
      </w:pPr>
      <w:rPr>
        <w:rFonts w:ascii="Arial" w:hAnsi="Arial" w:cs="Arial"/>
        <w:snapToGrid/>
        <w:sz w:val="16"/>
        <w:szCs w:val="16"/>
      </w:rPr>
    </w:lvl>
  </w:abstractNum>
  <w:abstractNum w:abstractNumId="1" w15:restartNumberingAfterBreak="0">
    <w:nsid w:val="3C427F14"/>
    <w:multiLevelType w:val="hybridMultilevel"/>
    <w:tmpl w:val="9676B4DC"/>
    <w:lvl w:ilvl="0" w:tplc="EDCA0AAC">
      <w:start w:val="1"/>
      <w:numFmt w:val="lowerLetter"/>
      <w:lvlText w:val="%1.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0B7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0B4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A3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AE9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A28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BE6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DE3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40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152473"/>
    <w:rsid w:val="005A249B"/>
    <w:rsid w:val="00677416"/>
    <w:rsid w:val="00682185"/>
    <w:rsid w:val="007172E4"/>
    <w:rsid w:val="007351B2"/>
    <w:rsid w:val="00791427"/>
    <w:rsid w:val="008A49FA"/>
    <w:rsid w:val="008B1779"/>
    <w:rsid w:val="00A30ADE"/>
    <w:rsid w:val="00AC1150"/>
    <w:rsid w:val="00B3602D"/>
    <w:rsid w:val="00BD48A6"/>
    <w:rsid w:val="00CC4D07"/>
    <w:rsid w:val="00DE1523"/>
    <w:rsid w:val="00E732BE"/>
    <w:rsid w:val="00E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1E96B6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next w:val="Normal"/>
    <w:link w:val="Heading1Char"/>
    <w:uiPriority w:val="99"/>
    <w:unhideWhenUsed/>
    <w:qFormat/>
    <w:rsid w:val="00AC1150"/>
    <w:pPr>
      <w:keepNext/>
      <w:keepLines/>
      <w:spacing w:after="353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C1150"/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table" w:customStyle="1" w:styleId="TableGrid0">
    <w:name w:val="TableGrid"/>
    <w:rsid w:val="00AC1150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1E15-64EF-4728-8AAE-AA66217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806</Words>
  <Characters>5063</Characters>
  <Application>Microsoft Office Word</Application>
  <DocSecurity>0</DocSecurity>
  <Lines>180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2017-07-17T13:13:00Z</cp:lastPrinted>
  <dcterms:created xsi:type="dcterms:W3CDTF">2019-06-27T12:05:00Z</dcterms:created>
  <dcterms:modified xsi:type="dcterms:W3CDTF">2019-07-01T14:46:00Z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