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37" w:rsidRPr="00075637" w:rsidRDefault="00075637" w:rsidP="00075637">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rPr>
      </w:pPr>
      <w:bookmarkStart w:id="0" w:name="_GoBack"/>
      <w:bookmarkEnd w:id="0"/>
      <w:r w:rsidRPr="00075637">
        <w:rPr>
          <w:rFonts w:ascii="Arial" w:eastAsia="Arial" w:hAnsi="Arial" w:cs="Arial"/>
          <w:bCs/>
          <w:noProof/>
          <w:szCs w:val="24"/>
          <w:lang w:val="en-GB" w:eastAsia="de-DE"/>
        </w:rPr>
        <w:drawing>
          <wp:anchor distT="0" distB="0" distL="114300" distR="114300" simplePos="0" relativeHeight="251659264" behindDoc="0" locked="0" layoutInCell="1" allowOverlap="1" wp14:anchorId="1C30432F" wp14:editId="028E101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75637">
        <w:rPr>
          <w:rFonts w:ascii="Arial" w:eastAsia="Arial" w:hAnsi="Arial" w:cs="Arial"/>
          <w:bCs/>
          <w:szCs w:val="24"/>
          <w:lang w:val="en-GB" w:eastAsia="de-DE"/>
        </w:rPr>
        <w:t>CCNR-ZKR/ADN/WP.15/AC.2/2019/</w:t>
      </w:r>
      <w:r w:rsidR="00815C92">
        <w:rPr>
          <w:rFonts w:ascii="Arial" w:eastAsia="Arial" w:hAnsi="Arial" w:cs="Arial"/>
          <w:bCs/>
          <w:szCs w:val="24"/>
          <w:lang w:val="en-GB" w:eastAsia="de-DE"/>
        </w:rPr>
        <w:t>18</w:t>
      </w:r>
    </w:p>
    <w:p w:rsidR="00075637" w:rsidRPr="00075637" w:rsidRDefault="00075637" w:rsidP="0007563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75637">
        <w:rPr>
          <w:rFonts w:ascii="Arial" w:hAnsi="Arial" w:cs="Arial"/>
          <w:sz w:val="16"/>
          <w:szCs w:val="24"/>
          <w:lang w:eastAsia="de-DE"/>
        </w:rPr>
        <w:t>Allgemeine Verteilung</w:t>
      </w:r>
    </w:p>
    <w:p w:rsidR="00075637" w:rsidRPr="00075637" w:rsidRDefault="0095447A" w:rsidP="0007563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075637" w:rsidRPr="00075637">
        <w:rPr>
          <w:rFonts w:ascii="Arial" w:eastAsia="Arial" w:hAnsi="Arial" w:cs="Arial"/>
          <w:szCs w:val="24"/>
          <w:lang w:eastAsia="de-DE"/>
        </w:rPr>
        <w:t xml:space="preserve">. </w:t>
      </w:r>
      <w:r>
        <w:rPr>
          <w:rFonts w:ascii="Arial" w:eastAsia="Arial" w:hAnsi="Arial" w:cs="Arial"/>
          <w:szCs w:val="24"/>
          <w:lang w:eastAsia="de-DE"/>
        </w:rPr>
        <w:t>Juni</w:t>
      </w:r>
      <w:r w:rsidR="00075637" w:rsidRPr="00075637">
        <w:rPr>
          <w:rFonts w:ascii="Arial" w:eastAsia="Arial" w:hAnsi="Arial" w:cs="Arial"/>
          <w:szCs w:val="24"/>
          <w:lang w:eastAsia="de-DE"/>
        </w:rPr>
        <w:t xml:space="preserve"> 2019</w:t>
      </w:r>
    </w:p>
    <w:p w:rsidR="00075637" w:rsidRPr="00075637" w:rsidRDefault="00075637" w:rsidP="0007563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75637">
        <w:rPr>
          <w:rFonts w:ascii="Arial" w:eastAsia="Arial" w:hAnsi="Arial" w:cs="Arial"/>
          <w:sz w:val="16"/>
          <w:szCs w:val="24"/>
          <w:lang w:eastAsia="de-DE"/>
        </w:rPr>
        <w:t>Or</w:t>
      </w:r>
      <w:proofErr w:type="spellEnd"/>
      <w:r w:rsidRPr="00075637">
        <w:rPr>
          <w:rFonts w:ascii="Arial" w:eastAsia="Arial" w:hAnsi="Arial" w:cs="Arial"/>
          <w:sz w:val="16"/>
          <w:szCs w:val="24"/>
          <w:lang w:eastAsia="de-DE"/>
        </w:rPr>
        <w:t>. DEUTSCH</w:t>
      </w:r>
    </w:p>
    <w:p w:rsidR="00075637" w:rsidRPr="00075637" w:rsidRDefault="00075637" w:rsidP="00075637">
      <w:pPr>
        <w:widowControl/>
        <w:overflowPunct/>
        <w:autoSpaceDE/>
        <w:autoSpaceDN/>
        <w:adjustRightInd/>
        <w:snapToGrid w:val="0"/>
        <w:ind w:left="0" w:firstLine="0"/>
        <w:jc w:val="left"/>
        <w:textAlignment w:val="auto"/>
        <w:rPr>
          <w:rFonts w:ascii="Arial" w:hAnsi="Arial" w:cs="Arial"/>
          <w:sz w:val="16"/>
          <w:szCs w:val="24"/>
          <w:lang w:eastAsia="de-DE"/>
        </w:rPr>
      </w:pPr>
    </w:p>
    <w:p w:rsidR="00075637" w:rsidRPr="00075637" w:rsidRDefault="00075637" w:rsidP="00075637">
      <w:pPr>
        <w:widowControl/>
        <w:overflowPunct/>
        <w:autoSpaceDE/>
        <w:autoSpaceDN/>
        <w:adjustRightInd/>
        <w:snapToGrid w:val="0"/>
        <w:ind w:left="0" w:firstLine="0"/>
        <w:jc w:val="left"/>
        <w:textAlignment w:val="auto"/>
        <w:rPr>
          <w:rFonts w:ascii="Arial" w:hAnsi="Arial" w:cs="Arial"/>
          <w:sz w:val="16"/>
          <w:szCs w:val="24"/>
          <w:lang w:eastAsia="de-DE"/>
        </w:rPr>
      </w:pPr>
    </w:p>
    <w:p w:rsidR="00075637" w:rsidRPr="00075637" w:rsidRDefault="00075637" w:rsidP="00075637">
      <w:pPr>
        <w:widowControl/>
        <w:tabs>
          <w:tab w:val="left" w:pos="2977"/>
        </w:tabs>
        <w:overflowPunct/>
        <w:autoSpaceDE/>
        <w:autoSpaceDN/>
        <w:adjustRightInd/>
        <w:snapToGrid w:val="0"/>
        <w:ind w:left="3958" w:firstLine="0"/>
        <w:jc w:val="left"/>
        <w:textAlignment w:val="auto"/>
        <w:rPr>
          <w:rFonts w:ascii="Arial" w:hAnsi="Arial"/>
          <w:sz w:val="16"/>
        </w:rPr>
      </w:pPr>
      <w:r w:rsidRPr="00075637">
        <w:rPr>
          <w:rFonts w:ascii="Arial" w:hAnsi="Arial"/>
          <w:sz w:val="16"/>
        </w:rPr>
        <w:t xml:space="preserve">GEMEINSAME EXPERTENTAGUNG FÜR DIE DEM ÜBEREINKOMMEN ÜBER DIE INTERNATIONALE BEFÖRDERUNG VON GEFÄHRLICHEN GÜTERN AUF </w:t>
      </w:r>
      <w:r w:rsidRPr="00075637">
        <w:rPr>
          <w:rFonts w:ascii="Arial" w:eastAsia="Calibri" w:hAnsi="Arial"/>
          <w:sz w:val="16"/>
        </w:rPr>
        <w:t xml:space="preserve">BINNENWASSERSTRAẞEN (ADN) </w:t>
      </w:r>
      <w:r w:rsidRPr="00075637">
        <w:rPr>
          <w:rFonts w:ascii="Arial" w:hAnsi="Arial"/>
          <w:sz w:val="16"/>
        </w:rPr>
        <w:t>BEIGEFÜGTE VERORDNUNG (SICHERHEITSAUSSCHUSS)</w:t>
      </w:r>
    </w:p>
    <w:p w:rsidR="00075637" w:rsidRPr="00075637" w:rsidRDefault="00075637" w:rsidP="00075637">
      <w:pPr>
        <w:widowControl/>
        <w:tabs>
          <w:tab w:val="left" w:pos="2977"/>
        </w:tabs>
        <w:overflowPunct/>
        <w:autoSpaceDE/>
        <w:autoSpaceDN/>
        <w:adjustRightInd/>
        <w:snapToGrid w:val="0"/>
        <w:ind w:left="3960" w:firstLine="0"/>
        <w:jc w:val="left"/>
        <w:textAlignment w:val="auto"/>
        <w:rPr>
          <w:rFonts w:ascii="Arial" w:hAnsi="Arial"/>
          <w:sz w:val="16"/>
          <w:szCs w:val="24"/>
        </w:rPr>
      </w:pPr>
      <w:r w:rsidRPr="00075637">
        <w:rPr>
          <w:rFonts w:ascii="Arial" w:hAnsi="Arial"/>
          <w:sz w:val="16"/>
          <w:szCs w:val="24"/>
        </w:rPr>
        <w:t>(35. Tagung, Genf, 26.-30. August 2019)</w:t>
      </w:r>
    </w:p>
    <w:p w:rsidR="00075637" w:rsidRPr="00075637" w:rsidRDefault="00075637" w:rsidP="0007563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75637">
        <w:rPr>
          <w:rFonts w:ascii="Arial" w:hAnsi="Arial" w:cs="Arial"/>
          <w:sz w:val="16"/>
          <w:szCs w:val="16"/>
          <w:lang w:eastAsia="en-US"/>
        </w:rPr>
        <w:t xml:space="preserve">Punkt </w:t>
      </w:r>
      <w:r w:rsidR="0095447A">
        <w:rPr>
          <w:rFonts w:ascii="Arial" w:hAnsi="Arial" w:cs="Arial"/>
          <w:sz w:val="16"/>
          <w:szCs w:val="16"/>
          <w:lang w:eastAsia="en-US"/>
        </w:rPr>
        <w:t>4 b)</w:t>
      </w:r>
      <w:r w:rsidRPr="00075637">
        <w:rPr>
          <w:rFonts w:ascii="Arial" w:hAnsi="Arial" w:cs="Arial"/>
          <w:sz w:val="16"/>
          <w:szCs w:val="16"/>
          <w:lang w:eastAsia="en-US"/>
        </w:rPr>
        <w:t xml:space="preserve"> zur vorläufigen Tagesordnung</w:t>
      </w:r>
    </w:p>
    <w:p w:rsidR="00075637" w:rsidRPr="00075637" w:rsidRDefault="00075637" w:rsidP="00075637">
      <w:pPr>
        <w:tabs>
          <w:tab w:val="left" w:pos="2977"/>
        </w:tabs>
        <w:ind w:left="3960"/>
        <w:rPr>
          <w:rFonts w:ascii="Arial" w:hAnsi="Arial" w:cs="Arial"/>
          <w:b/>
          <w:sz w:val="16"/>
          <w:szCs w:val="16"/>
          <w:lang w:eastAsia="en-US"/>
        </w:rPr>
      </w:pPr>
      <w:r w:rsidRPr="00075637">
        <w:rPr>
          <w:rFonts w:ascii="Arial" w:hAnsi="Arial" w:cs="Arial"/>
          <w:b/>
          <w:sz w:val="16"/>
          <w:szCs w:val="16"/>
          <w:lang w:eastAsia="en-US"/>
        </w:rPr>
        <w:tab/>
      </w:r>
      <w:r w:rsidRPr="00075637">
        <w:rPr>
          <w:rFonts w:ascii="Arial" w:hAnsi="Arial" w:cs="Arial"/>
          <w:b/>
          <w:sz w:val="16"/>
          <w:szCs w:val="16"/>
          <w:lang w:eastAsia="en-US"/>
        </w:rPr>
        <w:tab/>
        <w:t>Vorschläge für Änderungen der dem ADN beigefügten Verordnung: weitere Vorschläge</w:t>
      </w:r>
    </w:p>
    <w:p w:rsidR="00075637" w:rsidRPr="00075637" w:rsidRDefault="00075637" w:rsidP="0007563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75637" w:rsidRPr="00075637" w:rsidRDefault="00075637" w:rsidP="0007563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75637" w:rsidRPr="00075637" w:rsidRDefault="00075637" w:rsidP="0007563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75637" w:rsidRPr="00075637" w:rsidRDefault="00075637" w:rsidP="0007563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75637" w:rsidRPr="00075637" w:rsidRDefault="00075637" w:rsidP="00884592">
      <w:pPr>
        <w:ind w:right="565" w:firstLine="0"/>
        <w:jc w:val="left"/>
        <w:rPr>
          <w:b/>
          <w:bCs/>
          <w:sz w:val="28"/>
          <w:szCs w:val="28"/>
        </w:rPr>
      </w:pPr>
      <w:r w:rsidRPr="00075637">
        <w:rPr>
          <w:b/>
          <w:bCs/>
          <w:sz w:val="28"/>
          <w:szCs w:val="28"/>
        </w:rPr>
        <w:t>Korrekturen zum ADN 2019</w:t>
      </w:r>
    </w:p>
    <w:p w:rsidR="00075637" w:rsidRPr="00075637" w:rsidRDefault="00075637" w:rsidP="00884592">
      <w:pPr>
        <w:keepNext/>
        <w:keepLines/>
        <w:widowControl/>
        <w:suppressAutoHyphens/>
        <w:overflowPunct/>
        <w:autoSpaceDE/>
        <w:autoSpaceDN/>
        <w:adjustRightInd/>
        <w:snapToGrid w:val="0"/>
        <w:spacing w:before="360" w:after="240" w:line="270" w:lineRule="exact"/>
        <w:ind w:right="565" w:firstLine="0"/>
        <w:jc w:val="left"/>
        <w:textAlignment w:val="auto"/>
        <w:rPr>
          <w:b/>
          <w:sz w:val="24"/>
        </w:rPr>
      </w:pPr>
      <w:r w:rsidRPr="00075637">
        <w:rPr>
          <w:b/>
          <w:sz w:val="24"/>
        </w:rPr>
        <w:t>Eingereicht von Österreich</w:t>
      </w:r>
      <w:r w:rsidRPr="00075637">
        <w:rPr>
          <w:b/>
          <w:sz w:val="18"/>
          <w:vertAlign w:val="superscript"/>
        </w:rPr>
        <w:footnoteReference w:id="1"/>
      </w:r>
      <w:r w:rsidRPr="00075637">
        <w:rPr>
          <w:b/>
          <w:sz w:val="18"/>
          <w:vertAlign w:val="superscript"/>
        </w:rPr>
        <w:t>,</w:t>
      </w:r>
      <w:r w:rsidRPr="00075637">
        <w:rPr>
          <w:b/>
          <w:sz w:val="18"/>
          <w:vertAlign w:val="superscript"/>
        </w:rPr>
        <w:footnoteReference w:id="2"/>
      </w:r>
    </w:p>
    <w:p w:rsidR="00075637" w:rsidRDefault="00075637" w:rsidP="00884592">
      <w:pPr>
        <w:widowControl/>
        <w:overflowPunct/>
        <w:ind w:left="0" w:right="565" w:firstLine="0"/>
        <w:jc w:val="left"/>
        <w:textAlignment w:val="auto"/>
        <w:rPr>
          <w:bCs/>
          <w:lang w:eastAsia="de-DE"/>
        </w:rPr>
      </w:pPr>
    </w:p>
    <w:p w:rsidR="00884592" w:rsidRPr="00903BA0" w:rsidRDefault="00884592" w:rsidP="00AF07E0">
      <w:pPr>
        <w:widowControl/>
        <w:overflowPunct/>
        <w:spacing w:line="240" w:lineRule="atLeast"/>
        <w:ind w:left="0" w:right="565" w:firstLine="0"/>
        <w:jc w:val="left"/>
        <w:textAlignment w:val="auto"/>
        <w:rPr>
          <w:bCs/>
          <w:lang w:eastAsia="de-DE"/>
        </w:rPr>
      </w:pPr>
    </w:p>
    <w:p w:rsidR="00075637" w:rsidRPr="00903BA0" w:rsidRDefault="0095447A" w:rsidP="00AF07E0">
      <w:pPr>
        <w:widowControl/>
        <w:overflowPunct/>
        <w:spacing w:line="240" w:lineRule="atLeast"/>
        <w:ind w:left="0" w:right="565" w:firstLine="0"/>
        <w:jc w:val="left"/>
        <w:textAlignment w:val="auto"/>
        <w:rPr>
          <w:b/>
          <w:bCs/>
          <w:sz w:val="24"/>
          <w:szCs w:val="24"/>
          <w:lang w:eastAsia="de-DE"/>
        </w:rPr>
      </w:pPr>
      <w:r>
        <w:rPr>
          <w:b/>
          <w:bCs/>
          <w:sz w:val="24"/>
          <w:szCs w:val="24"/>
          <w:lang w:eastAsia="de-DE"/>
        </w:rPr>
        <w:t>A</w:t>
      </w:r>
      <w:r w:rsidR="00075637" w:rsidRPr="00903BA0">
        <w:rPr>
          <w:b/>
          <w:bCs/>
          <w:sz w:val="24"/>
          <w:szCs w:val="24"/>
          <w:lang w:eastAsia="de-DE"/>
        </w:rPr>
        <w:t>.</w:t>
      </w:r>
      <w:r w:rsidR="00075637" w:rsidRPr="00903BA0">
        <w:rPr>
          <w:b/>
          <w:bCs/>
          <w:sz w:val="24"/>
          <w:szCs w:val="24"/>
          <w:lang w:eastAsia="de-DE"/>
        </w:rPr>
        <w:tab/>
        <w:t>Einleitung zur Korrektur in 1.6.7.2.2.2</w:t>
      </w:r>
    </w:p>
    <w:p w:rsidR="00075637" w:rsidRPr="00903BA0" w:rsidRDefault="00075637" w:rsidP="00AF07E0">
      <w:pPr>
        <w:widowControl/>
        <w:overflowPunct/>
        <w:spacing w:line="240" w:lineRule="atLeast"/>
        <w:ind w:left="0" w:right="565" w:firstLine="0"/>
        <w:jc w:val="left"/>
        <w:textAlignment w:val="auto"/>
        <w:rPr>
          <w:b/>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w:t>
      </w:r>
      <w:r>
        <w:rPr>
          <w:bCs/>
          <w:lang w:eastAsia="de-DE"/>
        </w:rPr>
        <w:tab/>
      </w:r>
      <w:r w:rsidR="00075637" w:rsidRPr="00903BA0">
        <w:rPr>
          <w:bCs/>
          <w:lang w:eastAsia="de-DE"/>
        </w:rPr>
        <w:t>Die Übergangsbestimmung zu 7.2.2.19.4 in 1.6.7.2.2.2 enthält in der Spalte „Frist und Nebenbestimmungen“ eine Aufzählung der an Bord von in Betrieb befindlichen Schiffen, die für die Fortbewegung in einem Schubverband oder bei gekuppelten Schiffen verwendet werden, einzuhaltenden Abschnitte, Unterabschnitte und Absätze.</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2.</w:t>
      </w:r>
      <w:r>
        <w:rPr>
          <w:bCs/>
          <w:lang w:eastAsia="de-DE"/>
        </w:rPr>
        <w:tab/>
      </w:r>
      <w:r w:rsidR="00075637" w:rsidRPr="00903BA0">
        <w:rPr>
          <w:bCs/>
          <w:lang w:eastAsia="de-DE"/>
        </w:rPr>
        <w:t>Für neue Schiffe befinden sich diese Bestimmungen in 7.2.2.19.3.</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3.</w:t>
      </w:r>
      <w:r>
        <w:rPr>
          <w:bCs/>
          <w:lang w:eastAsia="de-DE"/>
        </w:rPr>
        <w:tab/>
      </w:r>
      <w:r w:rsidR="00075637" w:rsidRPr="00903BA0">
        <w:rPr>
          <w:bCs/>
          <w:lang w:eastAsia="de-DE"/>
        </w:rPr>
        <w:t>7.2.2.19.4 enthält Bestimmungen, welche Anlagen und Geräte auf den anderen Schiffen der Zusammenstellung während des Ladens und Löschens an Deck betrieben werden dürfen.</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4.</w:t>
      </w:r>
      <w:r>
        <w:rPr>
          <w:bCs/>
          <w:lang w:eastAsia="de-DE"/>
        </w:rPr>
        <w:tab/>
      </w:r>
      <w:r w:rsidR="00075637" w:rsidRPr="00903BA0">
        <w:rPr>
          <w:bCs/>
          <w:lang w:eastAsia="de-DE"/>
        </w:rPr>
        <w:t>Die Bestimmungen für in Betrieb befindliche Schiffe wurden daher der falschen Zeile in 1.6.7.2.2.2 zugeordnet.</w:t>
      </w:r>
    </w:p>
    <w:p w:rsidR="00075637" w:rsidRDefault="00075637" w:rsidP="00AF07E0">
      <w:pPr>
        <w:widowControl/>
        <w:overflowPunct/>
        <w:spacing w:line="240" w:lineRule="atLeast"/>
        <w:ind w:left="0" w:right="565" w:firstLine="0"/>
        <w:textAlignment w:val="auto"/>
        <w:rPr>
          <w:bCs/>
          <w:lang w:eastAsia="de-DE"/>
        </w:rPr>
      </w:pPr>
    </w:p>
    <w:p w:rsidR="00884592" w:rsidRPr="00903BA0" w:rsidRDefault="00884592" w:rsidP="00AF07E0">
      <w:pPr>
        <w:widowControl/>
        <w:overflowPunct/>
        <w:spacing w:line="240" w:lineRule="atLeast"/>
        <w:ind w:left="0" w:right="565" w:firstLine="0"/>
        <w:textAlignment w:val="auto"/>
        <w:rPr>
          <w:bCs/>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Vorschlag</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5.</w:t>
      </w:r>
      <w:r>
        <w:rPr>
          <w:bCs/>
          <w:lang w:eastAsia="de-DE"/>
        </w:rPr>
        <w:tab/>
      </w:r>
      <w:r w:rsidR="00075637" w:rsidRPr="00903BA0">
        <w:rPr>
          <w:bCs/>
          <w:lang w:eastAsia="de-DE"/>
        </w:rPr>
        <w:t>In der Tabelle in 1.6.7.2.2.2 wird der für die Zeile 7.2.2.19.4 in der Spalte „Frist und Nebenbestimmungen“ enthaltene Text ab „An Bord von in Betrieb befindlichen Schiffen müssen bis dahin folgende Vorschriften eingehalten werden:“ in die Zeile 7.2.2.19.3 verschoben.</w:t>
      </w:r>
    </w:p>
    <w:p w:rsidR="00075637" w:rsidRPr="00903BA0" w:rsidRDefault="00075637" w:rsidP="00AF07E0">
      <w:pPr>
        <w:widowControl/>
        <w:overflowPunct/>
        <w:spacing w:line="240" w:lineRule="atLeast"/>
        <w:ind w:left="0" w:right="565" w:firstLine="0"/>
        <w:textAlignment w:val="auto"/>
        <w:rPr>
          <w:bCs/>
          <w:lang w:eastAsia="de-DE"/>
        </w:rPr>
      </w:pPr>
    </w:p>
    <w:p w:rsidR="00C455D1" w:rsidRDefault="00C455D1" w:rsidP="00AF07E0">
      <w:pPr>
        <w:widowControl/>
        <w:overflowPunct/>
        <w:autoSpaceDE/>
        <w:autoSpaceDN/>
        <w:adjustRightInd/>
        <w:spacing w:line="240" w:lineRule="atLeast"/>
        <w:ind w:left="0" w:right="565" w:firstLine="0"/>
        <w:jc w:val="left"/>
        <w:textAlignment w:val="auto"/>
        <w:rPr>
          <w:b/>
          <w:bCs/>
          <w:sz w:val="24"/>
          <w:szCs w:val="24"/>
          <w:lang w:eastAsia="de-DE"/>
        </w:rPr>
      </w:pPr>
      <w:r>
        <w:rPr>
          <w:b/>
          <w:bCs/>
          <w:sz w:val="24"/>
          <w:szCs w:val="24"/>
          <w:lang w:eastAsia="de-DE"/>
        </w:rPr>
        <w:br w:type="page"/>
      </w: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lastRenderedPageBreak/>
        <w:t>Auswirkungen und Umsetzbarkeit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6.</w:t>
      </w:r>
      <w:r>
        <w:rPr>
          <w:bCs/>
          <w:lang w:eastAsia="de-DE"/>
        </w:rPr>
        <w:tab/>
      </w:r>
      <w:r w:rsidR="00075637" w:rsidRPr="00903BA0">
        <w:rPr>
          <w:bCs/>
          <w:lang w:eastAsia="de-DE"/>
        </w:rPr>
        <w:t>Die inhaltlichen Anforderungen für in Betrieb befindliche Schiffe werden nicht geändert, sie werden nur der korrekten Zeile zugeordnet.</w:t>
      </w:r>
    </w:p>
    <w:p w:rsidR="00075637" w:rsidRDefault="00075637" w:rsidP="00AF07E0">
      <w:pPr>
        <w:widowControl/>
        <w:overflowPunct/>
        <w:autoSpaceDE/>
        <w:autoSpaceDN/>
        <w:adjustRightInd/>
        <w:spacing w:line="240" w:lineRule="atLeast"/>
        <w:ind w:left="0" w:right="565" w:firstLine="0"/>
        <w:jc w:val="left"/>
        <w:textAlignment w:val="auto"/>
        <w:rPr>
          <w:b/>
          <w:bCs/>
          <w:sz w:val="24"/>
          <w:szCs w:val="24"/>
          <w:lang w:eastAsia="de-DE"/>
        </w:rPr>
      </w:pPr>
    </w:p>
    <w:p w:rsidR="00C455D1" w:rsidRPr="00075637" w:rsidRDefault="00C455D1" w:rsidP="00AF07E0">
      <w:pPr>
        <w:widowControl/>
        <w:overflowPunct/>
        <w:autoSpaceDE/>
        <w:autoSpaceDN/>
        <w:adjustRightInd/>
        <w:spacing w:line="240" w:lineRule="atLeast"/>
        <w:ind w:left="0" w:right="565" w:firstLine="0"/>
        <w:jc w:val="left"/>
        <w:textAlignment w:val="auto"/>
        <w:rPr>
          <w:b/>
          <w:bCs/>
          <w:sz w:val="24"/>
          <w:szCs w:val="24"/>
          <w:lang w:eastAsia="de-DE"/>
        </w:rPr>
      </w:pPr>
    </w:p>
    <w:p w:rsidR="00075637" w:rsidRPr="00903BA0" w:rsidRDefault="0095447A" w:rsidP="00AF07E0">
      <w:pPr>
        <w:widowControl/>
        <w:overflowPunct/>
        <w:spacing w:line="240" w:lineRule="atLeast"/>
        <w:ind w:left="0" w:right="565" w:firstLine="0"/>
        <w:jc w:val="left"/>
        <w:textAlignment w:val="auto"/>
        <w:rPr>
          <w:b/>
          <w:bCs/>
          <w:sz w:val="24"/>
          <w:szCs w:val="24"/>
          <w:lang w:eastAsia="de-DE"/>
        </w:rPr>
      </w:pPr>
      <w:r>
        <w:rPr>
          <w:b/>
          <w:bCs/>
          <w:sz w:val="24"/>
          <w:szCs w:val="24"/>
          <w:lang w:eastAsia="de-DE"/>
        </w:rPr>
        <w:t>B</w:t>
      </w:r>
      <w:r w:rsidR="00075637" w:rsidRPr="00903BA0">
        <w:rPr>
          <w:b/>
          <w:bCs/>
          <w:sz w:val="24"/>
          <w:szCs w:val="24"/>
          <w:lang w:eastAsia="de-DE"/>
        </w:rPr>
        <w:t>.</w:t>
      </w:r>
      <w:r w:rsidR="00075637" w:rsidRPr="00903BA0">
        <w:rPr>
          <w:b/>
          <w:bCs/>
          <w:sz w:val="24"/>
          <w:szCs w:val="24"/>
          <w:lang w:eastAsia="de-DE"/>
        </w:rPr>
        <w:tab/>
        <w:t>Einleitung zur Korrektur in 7.2.3.1.5</w:t>
      </w:r>
    </w:p>
    <w:p w:rsidR="00075637" w:rsidRPr="00903BA0" w:rsidRDefault="00075637" w:rsidP="00AF07E0">
      <w:pPr>
        <w:widowControl/>
        <w:overflowPunct/>
        <w:spacing w:line="240" w:lineRule="atLeast"/>
        <w:ind w:left="0" w:right="565" w:firstLine="0"/>
        <w:jc w:val="left"/>
        <w:textAlignment w:val="auto"/>
        <w:rPr>
          <w:b/>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7.</w:t>
      </w:r>
      <w:r>
        <w:rPr>
          <w:bCs/>
          <w:lang w:eastAsia="de-DE"/>
        </w:rPr>
        <w:tab/>
      </w:r>
      <w:r w:rsidR="00075637" w:rsidRPr="00903BA0">
        <w:rPr>
          <w:bCs/>
          <w:lang w:eastAsia="de-DE"/>
        </w:rPr>
        <w:t>Gemäß 7.2.3.1.5 muss mit Hilfe des Gasspürgeräts festgestellt sein, dass die Konzentration von aus der Ladung herrührenden entzündbaren Gasen und Dämpfen 50 % der UEG nicht übersteigt, „bevor Personen Ladetanks, Restetanks, Pumpenräume unter Deck, Kofferdämme, Wallgänge, Doppelböden, Aufstellungsräume oder andere geschlossene Räume betreten“.</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8.</w:t>
      </w:r>
      <w:r>
        <w:rPr>
          <w:bCs/>
          <w:lang w:eastAsia="de-DE"/>
        </w:rPr>
        <w:tab/>
      </w:r>
      <w:r w:rsidR="00075637" w:rsidRPr="00903BA0">
        <w:rPr>
          <w:bCs/>
          <w:lang w:eastAsia="de-DE"/>
        </w:rPr>
        <w:t>Gemäß 7.2.3.1.6 ist das Betreten leerer Ladetanks, Restetanks, Pumpenräume unter Deck, Kofferdämme, Wallgänge, Doppelböden, Aufstellungsräume oder anderer geschlossener Räume nur zugelassen, wenn die Konzentration von aus der Ladung herrührenden entzündbaren Gasen und Dämpfen unter 10 % UEG liegt.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9.</w:t>
      </w:r>
      <w:r>
        <w:rPr>
          <w:bCs/>
          <w:lang w:eastAsia="de-DE"/>
        </w:rPr>
        <w:tab/>
      </w:r>
      <w:r w:rsidR="00075637" w:rsidRPr="00903BA0">
        <w:rPr>
          <w:bCs/>
          <w:lang w:eastAsia="de-DE"/>
        </w:rPr>
        <w:t>Es stellt sich die Frage, warum die Konzentration „vor dem Betreten“ 50 % der UEG nicht übersteigen darf, wenn das Betreten selbst nur gestattet ist, wenn 10 % der UEG nicht überstiegen werden.</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10.</w:t>
      </w:r>
      <w:r>
        <w:rPr>
          <w:bCs/>
          <w:lang w:eastAsia="de-DE"/>
        </w:rPr>
        <w:tab/>
      </w:r>
      <w:r w:rsidR="00075637" w:rsidRPr="00903BA0">
        <w:rPr>
          <w:bCs/>
          <w:lang w:eastAsia="de-DE"/>
        </w:rPr>
        <w:t>Ein Vergleich mit den Bestimmungen für Trockengüterschiffe zeigt, dass dort die erste Bestimmung in 7.1.3.1.4 nur die Verpflichtung enthält, dass vor dem Betreten gemessen werden muss, und die zweite Bestimmung in 7.1.3.1.5 in Übereinstimmung mit 7.2.3.1.6 die konkreten zulässigen Gaskonzentrationen enthält.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11.</w:t>
      </w:r>
      <w:r>
        <w:rPr>
          <w:bCs/>
          <w:lang w:eastAsia="de-DE"/>
        </w:rPr>
        <w:tab/>
      </w:r>
      <w:r w:rsidR="00075637" w:rsidRPr="00903BA0">
        <w:rPr>
          <w:bCs/>
          <w:lang w:eastAsia="de-DE"/>
        </w:rPr>
        <w:t>Bei den in 7.2.3.1.5 angeführten Grenzwerten dürfte es sich daher um einen Übertragungsfehler aus dem ADN 2017 handeln. 7.2.3.1.5 sollte inhaltlich an 7.1.3.1.4 angepasst werden.</w:t>
      </w:r>
    </w:p>
    <w:p w:rsidR="00075637" w:rsidRDefault="00075637" w:rsidP="00AF07E0">
      <w:pPr>
        <w:widowControl/>
        <w:overflowPunct/>
        <w:spacing w:line="240" w:lineRule="atLeast"/>
        <w:ind w:left="0" w:right="565" w:firstLine="0"/>
        <w:textAlignment w:val="auto"/>
        <w:rPr>
          <w:bCs/>
          <w:lang w:eastAsia="de-DE"/>
        </w:rPr>
      </w:pPr>
    </w:p>
    <w:p w:rsidR="00884592" w:rsidRPr="00903BA0" w:rsidRDefault="00884592" w:rsidP="00AF07E0">
      <w:pPr>
        <w:widowControl/>
        <w:overflowPunct/>
        <w:spacing w:line="240" w:lineRule="atLeast"/>
        <w:ind w:left="0" w:right="565" w:firstLine="0"/>
        <w:textAlignment w:val="auto"/>
        <w:rPr>
          <w:bCs/>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Vorschlag</w:t>
      </w:r>
    </w:p>
    <w:p w:rsidR="00075637" w:rsidRPr="00903BA0" w:rsidRDefault="00075637" w:rsidP="00AF07E0">
      <w:pPr>
        <w:widowControl/>
        <w:overflowPunct/>
        <w:spacing w:line="240" w:lineRule="atLeast"/>
        <w:ind w:left="0" w:right="565" w:firstLine="0"/>
        <w:textAlignment w:val="auto"/>
        <w:rPr>
          <w:bCs/>
          <w:lang w:eastAsia="de-DE"/>
        </w:rPr>
      </w:pPr>
    </w:p>
    <w:p w:rsidR="00075637" w:rsidRDefault="00075637" w:rsidP="00AF07E0">
      <w:pPr>
        <w:widowControl/>
        <w:overflowPunct/>
        <w:spacing w:line="240" w:lineRule="atLeast"/>
        <w:ind w:left="0" w:right="565" w:firstLine="0"/>
        <w:textAlignment w:val="auto"/>
        <w:rPr>
          <w:bCs/>
          <w:lang w:eastAsia="de-DE"/>
        </w:rPr>
      </w:pPr>
      <w:r w:rsidRPr="00903BA0">
        <w:rPr>
          <w:bCs/>
          <w:lang w:eastAsia="de-DE"/>
        </w:rPr>
        <w:t>7.2.3.1.5 wird wie folgt geändert:</w:t>
      </w:r>
    </w:p>
    <w:p w:rsidR="00884592" w:rsidRPr="00903BA0" w:rsidRDefault="00884592"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„Bevor Personen Ladetanks, Restetanks, Pumpenräume unter Deck, Kofferdämme, Wallgänge, Doppelböden, Aufstellungsräume oder andere geschlossene Räume betreten, muss bei Beförderung von gefährlichen Stoffen der Klassen 2, 3, 4.1, 6.1, 8 oder 9, für die EX und/oder TOX in Unterabschnitt 3.2.3.2 Tabelle C Spalte (18) eingetragen ist, die Konzentration von aus der Ladung herrührenden entzündbaren und/oder giftigen Gasen und Dämpfen in diesen Ladetanks, Restetanks, Pumpenräumen unter Deck, Kofferdämmen,</w:t>
      </w:r>
      <w:r w:rsidR="00884592">
        <w:rPr>
          <w:bCs/>
          <w:lang w:eastAsia="de-DE"/>
        </w:rPr>
        <w:t xml:space="preserve"> </w:t>
      </w:r>
      <w:r w:rsidRPr="00903BA0">
        <w:rPr>
          <w:bCs/>
          <w:lang w:eastAsia="de-DE"/>
        </w:rPr>
        <w:t>Wallgängen, Doppelböden oder Aufstellungsräumen gemessen werden.“</w:t>
      </w:r>
      <w:r w:rsidR="00253AFF">
        <w:rPr>
          <w:bCs/>
          <w:lang w:eastAsia="de-DE"/>
        </w:rPr>
        <w:t>.</w:t>
      </w:r>
    </w:p>
    <w:p w:rsidR="00075637" w:rsidRDefault="00075637" w:rsidP="00AF07E0">
      <w:pPr>
        <w:widowControl/>
        <w:overflowPunct/>
        <w:spacing w:line="240" w:lineRule="atLeast"/>
        <w:ind w:left="0" w:right="565" w:firstLine="0"/>
        <w:textAlignment w:val="auto"/>
        <w:rPr>
          <w:bCs/>
          <w:lang w:eastAsia="de-DE"/>
        </w:rPr>
      </w:pPr>
    </w:p>
    <w:p w:rsidR="00884592" w:rsidRPr="00075637" w:rsidRDefault="00884592" w:rsidP="00AF07E0">
      <w:pPr>
        <w:widowControl/>
        <w:overflowPunct/>
        <w:spacing w:line="240" w:lineRule="atLeast"/>
        <w:ind w:left="0" w:right="565" w:firstLine="0"/>
        <w:textAlignment w:val="auto"/>
        <w:rPr>
          <w:bCs/>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Auswirkungen und Umsetzbarkeit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12.</w:t>
      </w:r>
      <w:r>
        <w:rPr>
          <w:bCs/>
          <w:lang w:eastAsia="de-DE"/>
        </w:rPr>
        <w:tab/>
      </w:r>
      <w:r w:rsidR="00075637" w:rsidRPr="00903BA0">
        <w:rPr>
          <w:bCs/>
          <w:lang w:eastAsia="de-DE"/>
        </w:rPr>
        <w:t>Das Sicherheitsniveau wird nicht gesenkt, da nur die weniger strengen Grenzwerte nicht mehr angeführt werden. In der Praxis entstehen keine Änderungen, da auch unter Berücksichtigung der derzeit bestehenden Bestimmungen wahrscheinlich nur einmal vor dem Betreten der Räume gemessen wird.</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jc w:val="left"/>
        <w:textAlignment w:val="auto"/>
        <w:rPr>
          <w:b/>
          <w:bCs/>
          <w:lang w:eastAsia="de-DE"/>
        </w:rPr>
      </w:pPr>
    </w:p>
    <w:p w:rsidR="00C455D1" w:rsidRDefault="00C455D1" w:rsidP="00AF07E0">
      <w:pPr>
        <w:widowControl/>
        <w:overflowPunct/>
        <w:autoSpaceDE/>
        <w:autoSpaceDN/>
        <w:adjustRightInd/>
        <w:spacing w:line="240" w:lineRule="atLeast"/>
        <w:ind w:left="0" w:right="565" w:firstLine="0"/>
        <w:jc w:val="left"/>
        <w:textAlignment w:val="auto"/>
        <w:rPr>
          <w:b/>
          <w:bCs/>
          <w:sz w:val="24"/>
          <w:szCs w:val="24"/>
          <w:lang w:eastAsia="de-DE"/>
        </w:rPr>
      </w:pPr>
      <w:r>
        <w:rPr>
          <w:b/>
          <w:bCs/>
          <w:sz w:val="24"/>
          <w:szCs w:val="24"/>
          <w:lang w:eastAsia="de-DE"/>
        </w:rPr>
        <w:br w:type="page"/>
      </w:r>
    </w:p>
    <w:p w:rsidR="00075637" w:rsidRPr="00903BA0" w:rsidRDefault="0095447A" w:rsidP="00AF07E0">
      <w:pPr>
        <w:widowControl/>
        <w:overflowPunct/>
        <w:spacing w:line="240" w:lineRule="atLeast"/>
        <w:ind w:left="0" w:right="565" w:firstLine="0"/>
        <w:jc w:val="left"/>
        <w:textAlignment w:val="auto"/>
        <w:rPr>
          <w:b/>
          <w:bCs/>
          <w:sz w:val="24"/>
          <w:szCs w:val="24"/>
          <w:lang w:eastAsia="de-DE"/>
        </w:rPr>
      </w:pPr>
      <w:r>
        <w:rPr>
          <w:b/>
          <w:bCs/>
          <w:sz w:val="24"/>
          <w:szCs w:val="24"/>
          <w:lang w:eastAsia="de-DE"/>
        </w:rPr>
        <w:lastRenderedPageBreak/>
        <w:t>C</w:t>
      </w:r>
      <w:r w:rsidR="00075637" w:rsidRPr="00903BA0">
        <w:rPr>
          <w:b/>
          <w:bCs/>
          <w:sz w:val="24"/>
          <w:szCs w:val="24"/>
          <w:lang w:eastAsia="de-DE"/>
        </w:rPr>
        <w:t>.</w:t>
      </w:r>
      <w:r w:rsidR="00075637" w:rsidRPr="00903BA0">
        <w:rPr>
          <w:b/>
          <w:bCs/>
          <w:sz w:val="24"/>
          <w:szCs w:val="24"/>
          <w:lang w:eastAsia="de-DE"/>
        </w:rPr>
        <w:tab/>
        <w:t>Einleitung zur Korrektur in 7.2.4.16.4</w:t>
      </w:r>
    </w:p>
    <w:p w:rsidR="00075637" w:rsidRPr="00903BA0" w:rsidRDefault="00075637" w:rsidP="00AF07E0">
      <w:pPr>
        <w:widowControl/>
        <w:overflowPunct/>
        <w:spacing w:line="240" w:lineRule="atLeast"/>
        <w:ind w:left="0" w:right="565" w:firstLine="0"/>
        <w:jc w:val="left"/>
        <w:textAlignment w:val="auto"/>
        <w:rPr>
          <w:bCs/>
          <w:sz w:val="24"/>
          <w:szCs w:val="24"/>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13.</w:t>
      </w:r>
      <w:r>
        <w:rPr>
          <w:bCs/>
          <w:lang w:eastAsia="de-DE"/>
        </w:rPr>
        <w:tab/>
      </w:r>
      <w:r w:rsidR="00075637" w:rsidRPr="00903BA0">
        <w:rPr>
          <w:bCs/>
          <w:lang w:eastAsia="de-DE"/>
        </w:rPr>
        <w:t>7.2.4.16.4 wurde unverändert aus früheren Fassungen des ADN übernommen:</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„Wenn das Schiff mit einem Querschott gemäß Absatz 9.3.1.25.3, 9.3.2.25.3 oder 9.3.3.25.3 versehen ist, müssen die Türen in diesem Schott während des Ladens oder Löschens geschlossen sein.“</w:t>
      </w:r>
      <w:r w:rsidR="00253AFF">
        <w:rPr>
          <w:bCs/>
          <w:lang w:eastAsia="de-DE"/>
        </w:rPr>
        <w: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14.</w:t>
      </w:r>
      <w:r>
        <w:rPr>
          <w:bCs/>
          <w:lang w:eastAsia="de-DE"/>
        </w:rPr>
        <w:tab/>
      </w:r>
      <w:r w:rsidR="00075637" w:rsidRPr="00903BA0">
        <w:rPr>
          <w:bCs/>
          <w:lang w:eastAsia="de-DE"/>
        </w:rPr>
        <w:t>Da der Inhalt von 9.3.x.25.3 im ADN 2019 gestrichen wurde, geht der Verweis nun ins Leere.</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15.</w:t>
      </w:r>
      <w:r>
        <w:rPr>
          <w:bCs/>
          <w:lang w:eastAsia="de-DE"/>
        </w:rPr>
        <w:tab/>
      </w:r>
      <w:r w:rsidR="00075637" w:rsidRPr="00903BA0">
        <w:rPr>
          <w:bCs/>
          <w:lang w:eastAsia="de-DE"/>
        </w:rPr>
        <w:t>Der Text von 9.3.x.25.3 in der Fassung 2017 lautete:</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„Der in den Absätzen 9.3.x.25.1 c) und 9.3.x.25.2 e) genannte Abstand kann auf 3 m verringert werden, wenn am Ende des Bereichs der Ladung ein Querschott gemäß Absatz 9.3.x.10.2 vorhanden ist. Die Durchgangsöffnungen müssen in diesem Fall mit Türen versehen sein. Folgender Hinweis muss auf diesen Türen angebracht sein:</w:t>
      </w:r>
    </w:p>
    <w:p w:rsidR="00075637" w:rsidRPr="00903BA0" w:rsidRDefault="00075637" w:rsidP="00AF07E0">
      <w:pPr>
        <w:widowControl/>
        <w:overflowPunct/>
        <w:spacing w:line="240" w:lineRule="atLeast"/>
        <w:ind w:left="0" w:right="565" w:firstLine="0"/>
        <w:jc w:val="center"/>
        <w:textAlignment w:val="auto"/>
        <w:rPr>
          <w:bCs/>
          <w:lang w:eastAsia="de-DE"/>
        </w:rPr>
      </w:pPr>
    </w:p>
    <w:p w:rsidR="00075637" w:rsidRPr="00E75982" w:rsidRDefault="00075637" w:rsidP="00AF07E0">
      <w:pPr>
        <w:widowControl/>
        <w:overflowPunct/>
        <w:spacing w:line="240" w:lineRule="atLeast"/>
        <w:ind w:left="0" w:right="565" w:firstLine="0"/>
        <w:jc w:val="center"/>
        <w:textAlignment w:val="auto"/>
        <w:rPr>
          <w:b/>
          <w:bCs/>
          <w:lang w:eastAsia="de-DE"/>
        </w:rPr>
      </w:pPr>
      <w:r w:rsidRPr="00E75982">
        <w:rPr>
          <w:b/>
          <w:bCs/>
          <w:lang w:eastAsia="de-DE"/>
        </w:rPr>
        <w:t>Während des Ladens oder Löschens</w:t>
      </w:r>
    </w:p>
    <w:p w:rsidR="00075637" w:rsidRPr="00E75982" w:rsidRDefault="00075637" w:rsidP="00AF07E0">
      <w:pPr>
        <w:widowControl/>
        <w:overflowPunct/>
        <w:spacing w:line="240" w:lineRule="atLeast"/>
        <w:ind w:left="0" w:right="565" w:firstLine="0"/>
        <w:jc w:val="center"/>
        <w:textAlignment w:val="auto"/>
        <w:rPr>
          <w:b/>
          <w:bCs/>
          <w:lang w:eastAsia="de-DE"/>
        </w:rPr>
      </w:pPr>
      <w:r w:rsidRPr="00E75982">
        <w:rPr>
          <w:b/>
          <w:bCs/>
          <w:lang w:eastAsia="de-DE"/>
        </w:rPr>
        <w:t>nicht ohne Erlaubnis des Schiffsführers öffnen.</w:t>
      </w:r>
    </w:p>
    <w:p w:rsidR="00075637" w:rsidRPr="00E75982" w:rsidRDefault="00075637" w:rsidP="00AF07E0">
      <w:pPr>
        <w:widowControl/>
        <w:overflowPunct/>
        <w:spacing w:line="240" w:lineRule="atLeast"/>
        <w:ind w:left="0" w:right="565" w:firstLine="0"/>
        <w:jc w:val="center"/>
        <w:textAlignment w:val="auto"/>
        <w:rPr>
          <w:b/>
          <w:bCs/>
          <w:lang w:eastAsia="de-DE"/>
        </w:rPr>
      </w:pPr>
      <w:r w:rsidRPr="00E75982">
        <w:rPr>
          <w:b/>
          <w:bCs/>
          <w:lang w:eastAsia="de-DE"/>
        </w:rPr>
        <w:t>Sofort wieder schließen.“</w:t>
      </w:r>
      <w:r w:rsidR="00253AFF">
        <w:rPr>
          <w:b/>
          <w:bCs/>
          <w:lang w:eastAsia="de-DE"/>
        </w:rPr>
        <w:t>.</w:t>
      </w: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Der Text von 9.3.x.10.2 lautete:</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567" w:right="565" w:firstLine="0"/>
        <w:textAlignment w:val="auto"/>
        <w:rPr>
          <w:bCs/>
          <w:lang w:eastAsia="de-DE"/>
        </w:rPr>
      </w:pPr>
      <w:r w:rsidRPr="00903BA0">
        <w:rPr>
          <w:bCs/>
          <w:lang w:eastAsia="de-DE"/>
        </w:rPr>
        <w:t>„[…] Dies ist nicht erforderlich, wenn die dem Bereich der Ladung zugewandte Wand der Aufbauten von Bordwand zu Bordwand durchgezogen und lediglich mit Durchgangsöffnungen versehen ist, wobei die Sülle dieser Öffnungen eine Höhe von mindestens 0,50 m über Deck haben. Die Höhe dieser Wand muss mindestens 2 m betragen. […]“</w:t>
      </w:r>
      <w:r w:rsidR="00253AFF">
        <w:rPr>
          <w:bCs/>
          <w:lang w:eastAsia="de-DE"/>
        </w:rPr>
        <w: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16.</w:t>
      </w:r>
      <w:r>
        <w:rPr>
          <w:bCs/>
          <w:lang w:eastAsia="de-DE"/>
        </w:rPr>
        <w:tab/>
      </w:r>
      <w:r w:rsidR="00075637" w:rsidRPr="00903BA0">
        <w:rPr>
          <w:bCs/>
          <w:lang w:eastAsia="de-DE"/>
        </w:rPr>
        <w:t>Da Schiffe mit diesem Querschott bzw. dieser Wand weiterhin betrieben werden dürfen und das Schließen der Öffnungen während des Ladens und Löschens wesentlich für den Explosionsschutz auf diesen in Betrieb befindlichen Schiffen ist, sollte die Bestimmung in 7.2.4.16.4 nicht gestrichen werden, sondern die Formulierung angepasst werden.</w:t>
      </w:r>
    </w:p>
    <w:p w:rsidR="00075637" w:rsidRDefault="00075637" w:rsidP="00AF07E0">
      <w:pPr>
        <w:widowControl/>
        <w:overflowPunct/>
        <w:spacing w:line="240" w:lineRule="atLeast"/>
        <w:ind w:left="0" w:right="565" w:firstLine="0"/>
        <w:textAlignment w:val="auto"/>
        <w:rPr>
          <w:bCs/>
          <w:lang w:eastAsia="de-DE"/>
        </w:rPr>
      </w:pPr>
    </w:p>
    <w:p w:rsidR="00A34A98" w:rsidRPr="00075637" w:rsidRDefault="00A34A98" w:rsidP="00AF07E0">
      <w:pPr>
        <w:widowControl/>
        <w:overflowPunct/>
        <w:spacing w:line="240" w:lineRule="atLeast"/>
        <w:ind w:left="0" w:right="565" w:firstLine="0"/>
        <w:textAlignment w:val="auto"/>
        <w:rPr>
          <w:bCs/>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Vorschlag</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Den Text von 7.2.4.16.4 durch folgenden Text ersetzen:</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„Wenn das Schiff am Ende des Bereichs der Ladung mit einer von Bordwand zu Bordwand durchgezogenen Wand (Querschott) gemäß Absatz 9.3.1.10.2, 9.3.2.10.2 oder 9.3.3.10.2 der bis zum 31. Dezember 2018 geltenden Fassung des ADN versehen ist, müssen deren Türen während des Ladens oder Löschens geschlossen sein.“</w:t>
      </w:r>
      <w:r w:rsidR="00884592">
        <w:rPr>
          <w:bCs/>
          <w:lang w:eastAsia="de-DE"/>
        </w:rPr>
        <w:t>.</w:t>
      </w:r>
    </w:p>
    <w:p w:rsidR="00075637" w:rsidRDefault="00075637" w:rsidP="00AF07E0">
      <w:pPr>
        <w:widowControl/>
        <w:overflowPunct/>
        <w:spacing w:line="240" w:lineRule="atLeast"/>
        <w:ind w:left="0" w:right="565" w:firstLine="0"/>
        <w:textAlignment w:val="auto"/>
        <w:rPr>
          <w:bCs/>
          <w:lang w:eastAsia="de-DE"/>
        </w:rPr>
      </w:pPr>
    </w:p>
    <w:p w:rsidR="00A34A98" w:rsidRPr="00903BA0" w:rsidRDefault="00A34A98" w:rsidP="00AF07E0">
      <w:pPr>
        <w:widowControl/>
        <w:overflowPunct/>
        <w:spacing w:line="240" w:lineRule="atLeast"/>
        <w:ind w:left="0" w:right="565" w:firstLine="0"/>
        <w:textAlignment w:val="auto"/>
        <w:rPr>
          <w:bCs/>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Auswirkungen und Umsetzbarkeit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17.</w:t>
      </w:r>
      <w:r>
        <w:rPr>
          <w:bCs/>
          <w:lang w:eastAsia="de-DE"/>
        </w:rPr>
        <w:tab/>
      </w:r>
      <w:r w:rsidR="00075637" w:rsidRPr="00903BA0">
        <w:rPr>
          <w:bCs/>
          <w:lang w:eastAsia="de-DE"/>
        </w:rPr>
        <w:t>Die Änderung stellt für in Betrieb befindliche Schiffe die bis Ende 2018 geltende Betriebsvorschrift wieder her. Auf in Betrieb befindlichen Schiffen sind keine Änderungen erforderlich. Wenn ein Schiff baulich an die Bestimmungen des neuen Explosionsschutzkonzeptes angepasst wird, ist die Bestimmung automatisch nicht mehr anwendbar.</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
          <w:bCs/>
          <w:lang w:eastAsia="de-DE"/>
        </w:rPr>
      </w:pPr>
    </w:p>
    <w:p w:rsidR="00075637" w:rsidRPr="00903BA0" w:rsidRDefault="0095447A" w:rsidP="00AF07E0">
      <w:pPr>
        <w:widowControl/>
        <w:overflowPunct/>
        <w:spacing w:line="240" w:lineRule="atLeast"/>
        <w:ind w:left="0" w:right="565" w:firstLine="0"/>
        <w:textAlignment w:val="auto"/>
        <w:rPr>
          <w:b/>
          <w:bCs/>
          <w:sz w:val="24"/>
          <w:szCs w:val="24"/>
          <w:lang w:eastAsia="de-DE"/>
        </w:rPr>
      </w:pPr>
      <w:r>
        <w:rPr>
          <w:b/>
          <w:bCs/>
          <w:sz w:val="24"/>
          <w:szCs w:val="24"/>
          <w:lang w:eastAsia="de-DE"/>
        </w:rPr>
        <w:t>D</w:t>
      </w:r>
      <w:r w:rsidR="00075637" w:rsidRPr="00903BA0">
        <w:rPr>
          <w:b/>
          <w:bCs/>
          <w:sz w:val="24"/>
          <w:szCs w:val="24"/>
          <w:lang w:eastAsia="de-DE"/>
        </w:rPr>
        <w:t>.</w:t>
      </w:r>
      <w:r w:rsidR="00075637" w:rsidRPr="00903BA0">
        <w:rPr>
          <w:b/>
          <w:bCs/>
          <w:sz w:val="24"/>
          <w:szCs w:val="24"/>
          <w:lang w:eastAsia="de-DE"/>
        </w:rPr>
        <w:tab/>
        <w:t>Einleitung zur Korrektur in 8.2.1.3</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18.</w:t>
      </w:r>
      <w:r>
        <w:rPr>
          <w:bCs/>
          <w:lang w:eastAsia="de-DE"/>
        </w:rPr>
        <w:tab/>
      </w:r>
      <w:r w:rsidR="00075637" w:rsidRPr="00903BA0">
        <w:rPr>
          <w:bCs/>
          <w:lang w:eastAsia="de-DE"/>
        </w:rPr>
        <w:t>8.1.2.1 f) lautet:</w:t>
      </w:r>
    </w:p>
    <w:p w:rsidR="00884592" w:rsidRDefault="00884592" w:rsidP="00AF07E0">
      <w:pPr>
        <w:widowControl/>
        <w:overflowPunct/>
        <w:spacing w:line="240" w:lineRule="atLeast"/>
        <w:ind w:left="709" w:right="565" w:firstLine="0"/>
        <w:textAlignment w:val="auto"/>
        <w:rPr>
          <w:bCs/>
          <w:lang w:eastAsia="de-DE"/>
        </w:rPr>
      </w:pPr>
    </w:p>
    <w:p w:rsidR="00C455D1" w:rsidRDefault="00075637" w:rsidP="00A34A98">
      <w:pPr>
        <w:widowControl/>
        <w:overflowPunct/>
        <w:spacing w:line="240" w:lineRule="atLeast"/>
        <w:ind w:left="709" w:right="565" w:firstLine="0"/>
        <w:textAlignment w:val="auto"/>
        <w:rPr>
          <w:bCs/>
          <w:lang w:eastAsia="de-DE"/>
        </w:rPr>
      </w:pPr>
      <w:r w:rsidRPr="00903BA0">
        <w:rPr>
          <w:bCs/>
          <w:lang w:eastAsia="de-DE"/>
        </w:rPr>
        <w:t>„f) die in Unterabschnitt 8.1.6.1 vorgeschriebene Bescheinigung über die Prüfung der Feuerlöschschläuche und die in Unterabschnitt 8.1.6.3 vorgeschriebene Bescheinigung über die Prüfung der besonderen Ausrüstung;“</w:t>
      </w:r>
      <w:r w:rsidR="00884592">
        <w:rPr>
          <w:bCs/>
          <w:lang w:eastAsia="de-DE"/>
        </w:rPr>
        <w:t>.</w:t>
      </w:r>
      <w:r w:rsidR="00C455D1">
        <w:rPr>
          <w:bCs/>
          <w:lang w:eastAsia="de-DE"/>
        </w:rPr>
        <w:br w:type="page"/>
      </w: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lastRenderedPageBreak/>
        <w:t>19.</w:t>
      </w:r>
      <w:r>
        <w:rPr>
          <w:bCs/>
          <w:lang w:eastAsia="de-DE"/>
        </w:rPr>
        <w:tab/>
      </w:r>
      <w:r w:rsidR="00075637" w:rsidRPr="00903BA0">
        <w:rPr>
          <w:bCs/>
          <w:lang w:eastAsia="de-DE"/>
        </w:rPr>
        <w:t>8.1.2.3 f) lautet:</w:t>
      </w:r>
    </w:p>
    <w:p w:rsidR="00884592" w:rsidRDefault="00884592" w:rsidP="00AF07E0">
      <w:pPr>
        <w:widowControl/>
        <w:overflowPunct/>
        <w:spacing w:line="240" w:lineRule="atLeast"/>
        <w:ind w:left="709" w:right="565" w:firstLine="0"/>
        <w:textAlignment w:val="auto"/>
        <w:rPr>
          <w:bCs/>
          <w:lang w:eastAsia="de-DE"/>
        </w:rPr>
      </w:pPr>
    </w:p>
    <w:p w:rsidR="00075637" w:rsidRPr="00903BA0" w:rsidRDefault="00075637" w:rsidP="00AF07E0">
      <w:pPr>
        <w:widowControl/>
        <w:overflowPunct/>
        <w:spacing w:line="240" w:lineRule="atLeast"/>
        <w:ind w:left="709" w:right="565" w:firstLine="0"/>
        <w:textAlignment w:val="auto"/>
        <w:rPr>
          <w:bCs/>
          <w:lang w:eastAsia="de-DE"/>
        </w:rPr>
      </w:pPr>
      <w:r w:rsidRPr="00903BA0">
        <w:rPr>
          <w:bCs/>
          <w:lang w:eastAsia="de-DE"/>
        </w:rPr>
        <w:t>„f) die in Unterabschnitt 8.1.6.3 vorgeschriebenen Bescheinigungen über die Prüfung der besonderen Ausrüstung, der Gasspüranlagen und der Sauerstoffmessanlage;“</w:t>
      </w:r>
      <w:r w:rsidR="00884592">
        <w:rPr>
          <w:bCs/>
          <w:lang w:eastAsia="de-DE"/>
        </w:rPr>
        <w:t>.</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20.</w:t>
      </w:r>
      <w:r>
        <w:rPr>
          <w:bCs/>
          <w:lang w:eastAsia="de-DE"/>
        </w:rPr>
        <w:tab/>
      </w:r>
      <w:r w:rsidR="00075637" w:rsidRPr="00903BA0">
        <w:rPr>
          <w:bCs/>
          <w:lang w:eastAsia="de-DE"/>
        </w:rPr>
        <w:t>Die in Unterabschnitt 8.1.6.3 vorgeschriebenen Bescheinigungen über die Prüfung der besonderen Ausrüstung wird daher sowohl in 8.1.2.1 (für alle Schiffe) als auch in 8.1.2.3 (für Tankschiffe) angeführt. Da 8.1.2.3 nur die Dokumente enthalten sollte, die außer den nach Unterabschnitt 8.1.2.1 erforderlichen Dokumenten an Bord von Tankschiffen zusätzlich mitgeführt werden müssen, ist 8.1.2.3 f) anzupassen.</w:t>
      </w:r>
    </w:p>
    <w:p w:rsidR="00075637" w:rsidRPr="00903BA0" w:rsidRDefault="00075637" w:rsidP="00AF07E0">
      <w:pPr>
        <w:widowControl/>
        <w:overflowPunct/>
        <w:spacing w:line="240" w:lineRule="atLeast"/>
        <w:ind w:left="0" w:right="565" w:firstLine="0"/>
        <w:textAlignment w:val="auto"/>
        <w:rPr>
          <w:bCs/>
          <w:lang w:eastAsia="de-DE"/>
        </w:rPr>
      </w:pPr>
    </w:p>
    <w:p w:rsidR="00C455D1" w:rsidRDefault="00C455D1" w:rsidP="00AF07E0">
      <w:pPr>
        <w:widowControl/>
        <w:overflowPunct/>
        <w:spacing w:line="240" w:lineRule="atLeast"/>
        <w:ind w:left="0" w:right="565" w:firstLine="0"/>
        <w:textAlignment w:val="auto"/>
        <w:rPr>
          <w:b/>
          <w:bCs/>
          <w:sz w:val="24"/>
          <w:szCs w:val="24"/>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Vorschlag</w:t>
      </w:r>
    </w:p>
    <w:p w:rsidR="00075637" w:rsidRPr="00903BA0" w:rsidRDefault="00075637"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8.1.2.3 f) wird wie folgt gefasst:</w:t>
      </w:r>
    </w:p>
    <w:p w:rsidR="00884592" w:rsidRDefault="00884592" w:rsidP="00AF07E0">
      <w:pPr>
        <w:widowControl/>
        <w:overflowPunct/>
        <w:spacing w:line="240" w:lineRule="atLeast"/>
        <w:ind w:left="0" w:right="565" w:firstLine="0"/>
        <w:textAlignment w:val="auto"/>
        <w:rPr>
          <w:bCs/>
          <w:lang w:eastAsia="de-DE"/>
        </w:rPr>
      </w:pPr>
    </w:p>
    <w:p w:rsidR="00075637" w:rsidRPr="00903BA0" w:rsidRDefault="00075637" w:rsidP="00AF07E0">
      <w:pPr>
        <w:widowControl/>
        <w:overflowPunct/>
        <w:spacing w:line="240" w:lineRule="atLeast"/>
        <w:ind w:left="0" w:right="565" w:firstLine="0"/>
        <w:textAlignment w:val="auto"/>
        <w:rPr>
          <w:bCs/>
          <w:lang w:eastAsia="de-DE"/>
        </w:rPr>
      </w:pPr>
      <w:r w:rsidRPr="00903BA0">
        <w:rPr>
          <w:bCs/>
          <w:lang w:eastAsia="de-DE"/>
        </w:rPr>
        <w:t>„f) die in Unterabschnitt 8.1.6.3 vorgeschriebenen Bescheinigungen über die Prüfung der Gasspüranlagen und der Sauerstoffmessanlage;“</w:t>
      </w:r>
      <w:r w:rsidR="00253AFF">
        <w:rPr>
          <w:bCs/>
          <w:lang w:eastAsia="de-DE"/>
        </w:rPr>
        <w:t>.</w:t>
      </w:r>
    </w:p>
    <w:p w:rsidR="00075637" w:rsidRDefault="00075637" w:rsidP="00AF07E0">
      <w:pPr>
        <w:widowControl/>
        <w:overflowPunct/>
        <w:spacing w:line="240" w:lineRule="atLeast"/>
        <w:ind w:left="0" w:right="565" w:firstLine="0"/>
        <w:textAlignment w:val="auto"/>
        <w:rPr>
          <w:bCs/>
          <w:lang w:eastAsia="de-DE"/>
        </w:rPr>
      </w:pPr>
    </w:p>
    <w:p w:rsidR="00884592" w:rsidRPr="00903BA0" w:rsidRDefault="00884592" w:rsidP="00AF07E0">
      <w:pPr>
        <w:widowControl/>
        <w:overflowPunct/>
        <w:spacing w:line="240" w:lineRule="atLeast"/>
        <w:ind w:left="0" w:right="565" w:firstLine="0"/>
        <w:textAlignment w:val="auto"/>
        <w:rPr>
          <w:bCs/>
          <w:lang w:eastAsia="de-DE"/>
        </w:rPr>
      </w:pPr>
    </w:p>
    <w:p w:rsidR="00075637" w:rsidRPr="00884592" w:rsidRDefault="00075637" w:rsidP="00AF07E0">
      <w:pPr>
        <w:widowControl/>
        <w:overflowPunct/>
        <w:spacing w:line="240" w:lineRule="atLeast"/>
        <w:ind w:left="0" w:right="565" w:firstLine="0"/>
        <w:textAlignment w:val="auto"/>
        <w:rPr>
          <w:b/>
          <w:bCs/>
          <w:sz w:val="28"/>
          <w:szCs w:val="28"/>
          <w:lang w:eastAsia="de-DE"/>
        </w:rPr>
      </w:pPr>
      <w:r w:rsidRPr="00884592">
        <w:rPr>
          <w:b/>
          <w:bCs/>
          <w:sz w:val="28"/>
          <w:szCs w:val="28"/>
          <w:lang w:eastAsia="de-DE"/>
        </w:rPr>
        <w:t>Auswirkungen</w:t>
      </w:r>
    </w:p>
    <w:p w:rsidR="00075637" w:rsidRPr="00884592" w:rsidRDefault="00075637" w:rsidP="00AF07E0">
      <w:pPr>
        <w:widowControl/>
        <w:overflowPunct/>
        <w:spacing w:line="240" w:lineRule="atLeast"/>
        <w:ind w:left="0" w:right="565" w:firstLine="0"/>
        <w:textAlignment w:val="auto"/>
        <w:rPr>
          <w:b/>
          <w:bCs/>
          <w:sz w:val="28"/>
          <w:szCs w:val="28"/>
          <w:lang w:eastAsia="de-DE"/>
        </w:rPr>
      </w:pPr>
    </w:p>
    <w:p w:rsidR="00075637" w:rsidRPr="00903BA0" w:rsidRDefault="0095447A" w:rsidP="00AF07E0">
      <w:pPr>
        <w:widowControl/>
        <w:overflowPunct/>
        <w:spacing w:line="240" w:lineRule="atLeast"/>
        <w:ind w:left="0" w:right="565" w:firstLine="0"/>
        <w:textAlignment w:val="auto"/>
        <w:rPr>
          <w:bCs/>
          <w:lang w:eastAsia="de-DE"/>
        </w:rPr>
      </w:pPr>
      <w:r>
        <w:rPr>
          <w:bCs/>
          <w:lang w:eastAsia="de-DE"/>
        </w:rPr>
        <w:t>21.</w:t>
      </w:r>
      <w:r>
        <w:rPr>
          <w:bCs/>
          <w:lang w:eastAsia="de-DE"/>
        </w:rPr>
        <w:tab/>
      </w:r>
      <w:r w:rsidR="00075637" w:rsidRPr="00903BA0">
        <w:rPr>
          <w:bCs/>
          <w:lang w:eastAsia="de-DE"/>
        </w:rPr>
        <w:t>Die Änderung hat keine Auswirkungen auf die an Bord mitzuführenden Dokumente. Es wird nur eine Doppelung gestrichen.</w:t>
      </w:r>
    </w:p>
    <w:p w:rsidR="00751575" w:rsidRPr="00075637" w:rsidRDefault="00075637" w:rsidP="00AF07E0">
      <w:pPr>
        <w:widowControl/>
        <w:overflowPunct/>
        <w:autoSpaceDE/>
        <w:autoSpaceDN/>
        <w:adjustRightInd/>
        <w:spacing w:line="240" w:lineRule="atLeast"/>
        <w:ind w:right="565" w:firstLine="0"/>
        <w:contextualSpacing/>
        <w:jc w:val="center"/>
        <w:textAlignment w:val="auto"/>
      </w:pPr>
      <w:r w:rsidRPr="00075637">
        <w:t>***</w:t>
      </w:r>
    </w:p>
    <w:sectPr w:rsidR="00751575" w:rsidRPr="00075637"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3D" w:rsidRDefault="006B173D" w:rsidP="0011702A">
      <w:r>
        <w:separator/>
      </w:r>
    </w:p>
  </w:endnote>
  <w:endnote w:type="continuationSeparator" w:id="0">
    <w:p w:rsidR="006B173D" w:rsidRDefault="006B173D"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EB" w:rsidRPr="0095447A" w:rsidRDefault="009F42EB" w:rsidP="00253AFF">
    <w:pPr>
      <w:widowControl/>
      <w:suppressAutoHyphens/>
      <w:overflowPunct/>
      <w:autoSpaceDE/>
      <w:adjustRightInd/>
      <w:ind w:left="0" w:firstLine="0"/>
      <w:jc w:val="right"/>
      <w:textAlignment w:val="auto"/>
      <w:rPr>
        <w:lang w:val="fr-FR"/>
      </w:rPr>
    </w:pPr>
    <w:r w:rsidRPr="0095447A">
      <w:rPr>
        <w:rFonts w:ascii="Arial" w:hAnsi="Arial"/>
        <w:noProof/>
        <w:snapToGrid w:val="0"/>
        <w:sz w:val="12"/>
        <w:szCs w:val="24"/>
        <w:lang w:val="fr-FR"/>
      </w:rPr>
      <w:t>mm/adn_wp15_ac2_2019_</w:t>
    </w:r>
    <w:r w:rsidR="0095447A" w:rsidRPr="0095447A">
      <w:rPr>
        <w:rFonts w:ascii="Arial" w:hAnsi="Arial"/>
        <w:noProof/>
        <w:snapToGrid w:val="0"/>
        <w:sz w:val="12"/>
        <w:szCs w:val="24"/>
        <w:lang w:val="fr-FR"/>
      </w:rPr>
      <w:t>18</w:t>
    </w:r>
    <w:r w:rsidRPr="0095447A">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75637" w:rsidRDefault="00D4056A" w:rsidP="00075637">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075637">
      <w:rPr>
        <w:rFonts w:ascii="Arial" w:hAnsi="Arial"/>
        <w:noProof/>
        <w:snapToGrid w:val="0"/>
        <w:sz w:val="12"/>
        <w:szCs w:val="24"/>
        <w:lang w:val="en-US"/>
      </w:rPr>
      <w:t>mm/adn_wp15_ac2_201</w:t>
    </w:r>
    <w:r w:rsidR="00903BA0" w:rsidRPr="00075637">
      <w:rPr>
        <w:rFonts w:ascii="Arial" w:hAnsi="Arial"/>
        <w:noProof/>
        <w:snapToGrid w:val="0"/>
        <w:sz w:val="12"/>
        <w:szCs w:val="24"/>
        <w:lang w:val="en-US"/>
      </w:rPr>
      <w:t>9</w:t>
    </w:r>
    <w:r w:rsidRPr="00075637">
      <w:rPr>
        <w:rFonts w:ascii="Arial" w:hAnsi="Arial"/>
        <w:noProof/>
        <w:snapToGrid w:val="0"/>
        <w:sz w:val="12"/>
        <w:szCs w:val="24"/>
        <w:lang w:val="en-US"/>
      </w:rPr>
      <w:t>_</w:t>
    </w:r>
    <w:r w:rsidR="0095447A">
      <w:rPr>
        <w:rFonts w:ascii="Arial" w:hAnsi="Arial"/>
        <w:noProof/>
        <w:snapToGrid w:val="0"/>
        <w:sz w:val="12"/>
        <w:szCs w:val="24"/>
        <w:lang w:val="en-US"/>
      </w:rPr>
      <w:t>18</w:t>
    </w:r>
    <w:r w:rsidRPr="00075637">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3D" w:rsidRDefault="006B173D" w:rsidP="0011702A">
      <w:r>
        <w:separator/>
      </w:r>
    </w:p>
  </w:footnote>
  <w:footnote w:type="continuationSeparator" w:id="0">
    <w:p w:rsidR="006B173D" w:rsidRDefault="006B173D" w:rsidP="0011702A">
      <w:r>
        <w:continuationSeparator/>
      </w:r>
    </w:p>
  </w:footnote>
  <w:footnote w:id="1">
    <w:p w:rsidR="00075637" w:rsidRPr="00075637" w:rsidRDefault="00075637" w:rsidP="00075637">
      <w:pPr>
        <w:pStyle w:val="FootnoteText"/>
        <w:ind w:left="284" w:hanging="284"/>
        <w:rPr>
          <w:sz w:val="16"/>
          <w:szCs w:val="16"/>
        </w:rPr>
      </w:pPr>
      <w:r w:rsidRPr="00075637">
        <w:rPr>
          <w:rStyle w:val="FootnoteReference"/>
          <w:sz w:val="16"/>
          <w:szCs w:val="16"/>
        </w:rPr>
        <w:footnoteRef/>
      </w:r>
      <w:r w:rsidRPr="00075637">
        <w:rPr>
          <w:sz w:val="16"/>
          <w:szCs w:val="16"/>
        </w:rPr>
        <w:t xml:space="preserve"> </w:t>
      </w:r>
      <w:r w:rsidRPr="00075637">
        <w:rPr>
          <w:sz w:val="16"/>
          <w:szCs w:val="16"/>
        </w:rPr>
        <w:tab/>
        <w:t>Von der UN-ECE in Englisch, Französisch und Russisch unter dem Aktenzeichen ECE/TRANS/WP.15/AC.2/2019/</w:t>
      </w:r>
      <w:r w:rsidR="0095447A">
        <w:rPr>
          <w:sz w:val="16"/>
          <w:szCs w:val="16"/>
        </w:rPr>
        <w:t>18</w:t>
      </w:r>
      <w:r w:rsidRPr="00075637">
        <w:rPr>
          <w:sz w:val="16"/>
          <w:szCs w:val="16"/>
        </w:rPr>
        <w:t xml:space="preserve"> verteilt.</w:t>
      </w:r>
    </w:p>
  </w:footnote>
  <w:footnote w:id="2">
    <w:p w:rsidR="00075637" w:rsidRPr="00075637" w:rsidRDefault="00075637" w:rsidP="00075637">
      <w:pPr>
        <w:pStyle w:val="FootnoteText"/>
        <w:tabs>
          <w:tab w:val="left" w:pos="284"/>
        </w:tabs>
        <w:ind w:left="284" w:hanging="284"/>
        <w:rPr>
          <w:sz w:val="16"/>
          <w:szCs w:val="16"/>
        </w:rPr>
      </w:pPr>
      <w:r w:rsidRPr="00075637">
        <w:rPr>
          <w:rStyle w:val="FootnoteReference"/>
          <w:sz w:val="16"/>
          <w:szCs w:val="16"/>
        </w:rPr>
        <w:footnoteRef/>
      </w:r>
      <w:r w:rsidRPr="00075637">
        <w:rPr>
          <w:sz w:val="16"/>
          <w:szCs w:val="16"/>
        </w:rPr>
        <w:t xml:space="preserve"> </w:t>
      </w:r>
      <w:r w:rsidRPr="00075637">
        <w:rPr>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75637" w:rsidRDefault="00D4056A" w:rsidP="00075637">
    <w:pPr>
      <w:widowControl/>
      <w:suppressAutoHyphens/>
      <w:overflowPunct/>
      <w:autoSpaceDE/>
      <w:autoSpaceDN/>
      <w:adjustRightInd/>
      <w:ind w:left="0" w:firstLine="0"/>
      <w:jc w:val="left"/>
      <w:textAlignment w:val="auto"/>
      <w:rPr>
        <w:rFonts w:ascii="Arial" w:hAnsi="Arial"/>
        <w:snapToGrid w:val="0"/>
        <w:sz w:val="16"/>
        <w:szCs w:val="16"/>
        <w:lang w:val="en-GB"/>
      </w:rPr>
    </w:pPr>
    <w:r w:rsidRPr="00075637">
      <w:rPr>
        <w:rFonts w:ascii="Arial" w:hAnsi="Arial"/>
        <w:snapToGrid w:val="0"/>
        <w:sz w:val="16"/>
        <w:szCs w:val="16"/>
        <w:lang w:val="en-GB"/>
      </w:rPr>
      <w:t>CCNR-ZKR/ADN/WP.15/AC.2/</w:t>
    </w:r>
    <w:r w:rsidR="0011545F" w:rsidRPr="00075637">
      <w:rPr>
        <w:rFonts w:ascii="Arial" w:hAnsi="Arial"/>
        <w:snapToGrid w:val="0"/>
        <w:sz w:val="16"/>
        <w:szCs w:val="16"/>
        <w:lang w:val="en-GB"/>
      </w:rPr>
      <w:t>201</w:t>
    </w:r>
    <w:r w:rsidR="00045DE6" w:rsidRPr="00075637">
      <w:rPr>
        <w:rFonts w:ascii="Arial" w:hAnsi="Arial"/>
        <w:snapToGrid w:val="0"/>
        <w:sz w:val="16"/>
        <w:szCs w:val="16"/>
        <w:lang w:val="en-GB"/>
      </w:rPr>
      <w:t>9</w:t>
    </w:r>
    <w:r w:rsidRPr="00075637">
      <w:rPr>
        <w:rFonts w:ascii="Arial" w:hAnsi="Arial"/>
        <w:snapToGrid w:val="0"/>
        <w:sz w:val="16"/>
        <w:szCs w:val="16"/>
        <w:lang w:val="en-GB"/>
      </w:rPr>
      <w:t>/</w:t>
    </w:r>
    <w:r w:rsidR="0095447A">
      <w:rPr>
        <w:rFonts w:ascii="Arial" w:hAnsi="Arial"/>
        <w:snapToGrid w:val="0"/>
        <w:sz w:val="16"/>
        <w:szCs w:val="16"/>
        <w:lang w:val="en-GB"/>
      </w:rPr>
      <w:t>18</w:t>
    </w:r>
  </w:p>
  <w:p w:rsidR="00D4056A" w:rsidRPr="00075637" w:rsidRDefault="00D4056A" w:rsidP="00075637">
    <w:pPr>
      <w:widowControl/>
      <w:suppressAutoHyphens/>
      <w:overflowPunct/>
      <w:autoSpaceDE/>
      <w:autoSpaceDN/>
      <w:adjustRightInd/>
      <w:ind w:left="0" w:firstLine="0"/>
      <w:jc w:val="left"/>
      <w:textAlignment w:val="auto"/>
      <w:rPr>
        <w:rFonts w:ascii="Arial" w:hAnsi="Arial"/>
        <w:snapToGrid w:val="0"/>
        <w:sz w:val="16"/>
        <w:szCs w:val="16"/>
      </w:rPr>
    </w:pPr>
    <w:r w:rsidRPr="00075637">
      <w:rPr>
        <w:rFonts w:ascii="Arial" w:hAnsi="Arial"/>
        <w:snapToGrid w:val="0"/>
        <w:sz w:val="16"/>
        <w:szCs w:val="16"/>
      </w:rPr>
      <w:t xml:space="preserve">Seite </w:t>
    </w:r>
    <w:r w:rsidRPr="00075637">
      <w:rPr>
        <w:rFonts w:ascii="Arial" w:hAnsi="Arial"/>
        <w:snapToGrid w:val="0"/>
        <w:sz w:val="16"/>
        <w:szCs w:val="16"/>
      </w:rPr>
      <w:fldChar w:fldCharType="begin"/>
    </w:r>
    <w:r w:rsidRPr="00075637">
      <w:rPr>
        <w:rFonts w:ascii="Arial" w:hAnsi="Arial"/>
        <w:snapToGrid w:val="0"/>
        <w:sz w:val="16"/>
        <w:szCs w:val="16"/>
      </w:rPr>
      <w:instrText xml:space="preserve"> PAGE  \* MERGEFORMAT </w:instrText>
    </w:r>
    <w:r w:rsidRPr="00075637">
      <w:rPr>
        <w:rFonts w:ascii="Arial" w:hAnsi="Arial"/>
        <w:snapToGrid w:val="0"/>
        <w:sz w:val="16"/>
        <w:szCs w:val="16"/>
      </w:rPr>
      <w:fldChar w:fldCharType="separate"/>
    </w:r>
    <w:r w:rsidR="00D6221E" w:rsidRPr="00075637">
      <w:rPr>
        <w:rFonts w:ascii="Arial" w:hAnsi="Arial"/>
        <w:snapToGrid w:val="0"/>
        <w:sz w:val="16"/>
        <w:szCs w:val="16"/>
      </w:rPr>
      <w:t>2</w:t>
    </w:r>
    <w:r w:rsidRPr="00075637">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75637" w:rsidRDefault="00D4056A" w:rsidP="00075637">
    <w:pPr>
      <w:widowControl/>
      <w:suppressAutoHyphens/>
      <w:overflowPunct/>
      <w:autoSpaceDE/>
      <w:autoSpaceDN/>
      <w:adjustRightInd/>
      <w:ind w:left="0" w:firstLine="0"/>
      <w:jc w:val="right"/>
      <w:textAlignment w:val="auto"/>
      <w:rPr>
        <w:rFonts w:ascii="Arial" w:hAnsi="Arial"/>
        <w:snapToGrid w:val="0"/>
        <w:sz w:val="16"/>
        <w:szCs w:val="16"/>
      </w:rPr>
    </w:pPr>
    <w:r w:rsidRPr="00075637">
      <w:rPr>
        <w:rFonts w:ascii="Arial" w:hAnsi="Arial"/>
        <w:snapToGrid w:val="0"/>
        <w:sz w:val="16"/>
        <w:szCs w:val="16"/>
      </w:rPr>
      <w:t>CCNR-ZKR/ADN/WP.15/AC.2/201</w:t>
    </w:r>
    <w:r w:rsidR="00903BA0" w:rsidRPr="00075637">
      <w:rPr>
        <w:rFonts w:ascii="Arial" w:hAnsi="Arial"/>
        <w:snapToGrid w:val="0"/>
        <w:sz w:val="16"/>
        <w:szCs w:val="16"/>
      </w:rPr>
      <w:t>9</w:t>
    </w:r>
    <w:r w:rsidR="00683EFE" w:rsidRPr="00075637">
      <w:rPr>
        <w:rFonts w:ascii="Arial" w:hAnsi="Arial"/>
        <w:snapToGrid w:val="0"/>
        <w:sz w:val="16"/>
        <w:szCs w:val="16"/>
      </w:rPr>
      <w:t>/</w:t>
    </w:r>
    <w:r w:rsidR="0095447A">
      <w:rPr>
        <w:rFonts w:ascii="Arial" w:hAnsi="Arial"/>
        <w:snapToGrid w:val="0"/>
        <w:sz w:val="16"/>
        <w:szCs w:val="16"/>
      </w:rPr>
      <w:t>18</w:t>
    </w:r>
  </w:p>
  <w:p w:rsidR="00D4056A" w:rsidRPr="00075637" w:rsidRDefault="00D4056A" w:rsidP="00075637">
    <w:pPr>
      <w:widowControl/>
      <w:suppressAutoHyphens/>
      <w:overflowPunct/>
      <w:autoSpaceDE/>
      <w:autoSpaceDN/>
      <w:adjustRightInd/>
      <w:ind w:left="0" w:firstLine="0"/>
      <w:jc w:val="right"/>
      <w:textAlignment w:val="auto"/>
      <w:rPr>
        <w:rFonts w:ascii="Arial" w:hAnsi="Arial"/>
        <w:snapToGrid w:val="0"/>
        <w:sz w:val="16"/>
        <w:szCs w:val="16"/>
      </w:rPr>
    </w:pPr>
    <w:r w:rsidRPr="00075637">
      <w:rPr>
        <w:rFonts w:ascii="Arial" w:hAnsi="Arial"/>
        <w:snapToGrid w:val="0"/>
        <w:sz w:val="16"/>
        <w:szCs w:val="16"/>
      </w:rPr>
      <w:t xml:space="preserve">Seite </w:t>
    </w:r>
    <w:r w:rsidRPr="00075637">
      <w:rPr>
        <w:rFonts w:ascii="Arial" w:hAnsi="Arial"/>
        <w:snapToGrid w:val="0"/>
        <w:sz w:val="16"/>
        <w:szCs w:val="16"/>
      </w:rPr>
      <w:fldChar w:fldCharType="begin"/>
    </w:r>
    <w:r w:rsidRPr="00075637">
      <w:rPr>
        <w:rFonts w:ascii="Arial" w:hAnsi="Arial"/>
        <w:snapToGrid w:val="0"/>
        <w:sz w:val="16"/>
        <w:szCs w:val="16"/>
      </w:rPr>
      <w:instrText xml:space="preserve"> PAGE  \* MERGEFORMAT </w:instrText>
    </w:r>
    <w:r w:rsidRPr="00075637">
      <w:rPr>
        <w:rFonts w:ascii="Arial" w:hAnsi="Arial"/>
        <w:snapToGrid w:val="0"/>
        <w:sz w:val="16"/>
        <w:szCs w:val="16"/>
      </w:rPr>
      <w:fldChar w:fldCharType="separate"/>
    </w:r>
    <w:r w:rsidR="009B33CC" w:rsidRPr="00075637">
      <w:rPr>
        <w:rFonts w:ascii="Arial" w:hAnsi="Arial"/>
        <w:snapToGrid w:val="0"/>
        <w:sz w:val="16"/>
        <w:szCs w:val="16"/>
      </w:rPr>
      <w:t>3</w:t>
    </w:r>
    <w:r w:rsidRPr="00075637">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22ED8"/>
    <w:rsid w:val="00026176"/>
    <w:rsid w:val="0003284B"/>
    <w:rsid w:val="00034828"/>
    <w:rsid w:val="0004134B"/>
    <w:rsid w:val="00045DE6"/>
    <w:rsid w:val="00047E84"/>
    <w:rsid w:val="00052E7E"/>
    <w:rsid w:val="000563D5"/>
    <w:rsid w:val="00056B10"/>
    <w:rsid w:val="00061B78"/>
    <w:rsid w:val="00075637"/>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6FC3"/>
    <w:rsid w:val="00113A60"/>
    <w:rsid w:val="00113FAC"/>
    <w:rsid w:val="00114102"/>
    <w:rsid w:val="0011545F"/>
    <w:rsid w:val="0011702A"/>
    <w:rsid w:val="0012236C"/>
    <w:rsid w:val="00126AA9"/>
    <w:rsid w:val="00131CD7"/>
    <w:rsid w:val="00143354"/>
    <w:rsid w:val="00146BEF"/>
    <w:rsid w:val="001515D6"/>
    <w:rsid w:val="00156782"/>
    <w:rsid w:val="00156903"/>
    <w:rsid w:val="00156ACE"/>
    <w:rsid w:val="0016790C"/>
    <w:rsid w:val="001729A2"/>
    <w:rsid w:val="001739E9"/>
    <w:rsid w:val="00176072"/>
    <w:rsid w:val="0017767A"/>
    <w:rsid w:val="001878DE"/>
    <w:rsid w:val="00190390"/>
    <w:rsid w:val="00194E0D"/>
    <w:rsid w:val="00196F83"/>
    <w:rsid w:val="00197288"/>
    <w:rsid w:val="001A078E"/>
    <w:rsid w:val="001B4F22"/>
    <w:rsid w:val="001B7B3E"/>
    <w:rsid w:val="001C0E5C"/>
    <w:rsid w:val="001C1D1B"/>
    <w:rsid w:val="001C4ED8"/>
    <w:rsid w:val="001D1B0A"/>
    <w:rsid w:val="001E18B7"/>
    <w:rsid w:val="001E4D07"/>
    <w:rsid w:val="0020240A"/>
    <w:rsid w:val="00202E6D"/>
    <w:rsid w:val="0020337F"/>
    <w:rsid w:val="00205465"/>
    <w:rsid w:val="00210142"/>
    <w:rsid w:val="002132D2"/>
    <w:rsid w:val="00223DF9"/>
    <w:rsid w:val="00235B56"/>
    <w:rsid w:val="00240203"/>
    <w:rsid w:val="002431F2"/>
    <w:rsid w:val="00250FDB"/>
    <w:rsid w:val="00253AFF"/>
    <w:rsid w:val="00255192"/>
    <w:rsid w:val="0027414F"/>
    <w:rsid w:val="00283323"/>
    <w:rsid w:val="00291CB3"/>
    <w:rsid w:val="002A337E"/>
    <w:rsid w:val="002A53A6"/>
    <w:rsid w:val="002C0469"/>
    <w:rsid w:val="002D1BFB"/>
    <w:rsid w:val="002E3745"/>
    <w:rsid w:val="002E6A16"/>
    <w:rsid w:val="002E7227"/>
    <w:rsid w:val="002F4FC6"/>
    <w:rsid w:val="0030165B"/>
    <w:rsid w:val="003033DD"/>
    <w:rsid w:val="0030779A"/>
    <w:rsid w:val="00316D5A"/>
    <w:rsid w:val="0032045B"/>
    <w:rsid w:val="003233C8"/>
    <w:rsid w:val="00325D76"/>
    <w:rsid w:val="00326B14"/>
    <w:rsid w:val="00337284"/>
    <w:rsid w:val="003439FC"/>
    <w:rsid w:val="00344C19"/>
    <w:rsid w:val="00357412"/>
    <w:rsid w:val="00361725"/>
    <w:rsid w:val="00364E68"/>
    <w:rsid w:val="003702C7"/>
    <w:rsid w:val="0037296A"/>
    <w:rsid w:val="0038428F"/>
    <w:rsid w:val="00387545"/>
    <w:rsid w:val="00397E52"/>
    <w:rsid w:val="003A2337"/>
    <w:rsid w:val="003B23DA"/>
    <w:rsid w:val="003C027F"/>
    <w:rsid w:val="003C61C4"/>
    <w:rsid w:val="003D3605"/>
    <w:rsid w:val="003E6E61"/>
    <w:rsid w:val="00400ADD"/>
    <w:rsid w:val="00401179"/>
    <w:rsid w:val="00404D26"/>
    <w:rsid w:val="00406965"/>
    <w:rsid w:val="00410285"/>
    <w:rsid w:val="004176F9"/>
    <w:rsid w:val="00420837"/>
    <w:rsid w:val="00427609"/>
    <w:rsid w:val="00427804"/>
    <w:rsid w:val="00430CD0"/>
    <w:rsid w:val="00432779"/>
    <w:rsid w:val="00446085"/>
    <w:rsid w:val="00462722"/>
    <w:rsid w:val="00466FB5"/>
    <w:rsid w:val="00472198"/>
    <w:rsid w:val="004819A4"/>
    <w:rsid w:val="0048292C"/>
    <w:rsid w:val="00483272"/>
    <w:rsid w:val="004847DC"/>
    <w:rsid w:val="00492FA6"/>
    <w:rsid w:val="004A0752"/>
    <w:rsid w:val="004A3FE7"/>
    <w:rsid w:val="004A46B8"/>
    <w:rsid w:val="004B0D93"/>
    <w:rsid w:val="004B7EA6"/>
    <w:rsid w:val="004C18DE"/>
    <w:rsid w:val="004D2721"/>
    <w:rsid w:val="004E4EA8"/>
    <w:rsid w:val="004E5B77"/>
    <w:rsid w:val="004E622A"/>
    <w:rsid w:val="004F4DE3"/>
    <w:rsid w:val="004F5608"/>
    <w:rsid w:val="0051476B"/>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5EF7"/>
    <w:rsid w:val="005F26AD"/>
    <w:rsid w:val="005F58DF"/>
    <w:rsid w:val="0060269E"/>
    <w:rsid w:val="006047AC"/>
    <w:rsid w:val="00607B11"/>
    <w:rsid w:val="00611C20"/>
    <w:rsid w:val="00620982"/>
    <w:rsid w:val="006256AF"/>
    <w:rsid w:val="00626C86"/>
    <w:rsid w:val="00630422"/>
    <w:rsid w:val="00642215"/>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73D"/>
    <w:rsid w:val="006B57B7"/>
    <w:rsid w:val="006B7C55"/>
    <w:rsid w:val="006C31A2"/>
    <w:rsid w:val="006E0BE0"/>
    <w:rsid w:val="006F3C42"/>
    <w:rsid w:val="00702BE6"/>
    <w:rsid w:val="00706883"/>
    <w:rsid w:val="0071487F"/>
    <w:rsid w:val="007210C7"/>
    <w:rsid w:val="00721803"/>
    <w:rsid w:val="007225A1"/>
    <w:rsid w:val="00742BD3"/>
    <w:rsid w:val="00751575"/>
    <w:rsid w:val="00753FD4"/>
    <w:rsid w:val="00754516"/>
    <w:rsid w:val="00760FB2"/>
    <w:rsid w:val="007615CE"/>
    <w:rsid w:val="007705CB"/>
    <w:rsid w:val="00773B7E"/>
    <w:rsid w:val="0079124E"/>
    <w:rsid w:val="00792E94"/>
    <w:rsid w:val="007A19A7"/>
    <w:rsid w:val="007A584D"/>
    <w:rsid w:val="007B5D5A"/>
    <w:rsid w:val="007C1AA7"/>
    <w:rsid w:val="007D1EF9"/>
    <w:rsid w:val="007D2FA0"/>
    <w:rsid w:val="007D6265"/>
    <w:rsid w:val="007E7F2A"/>
    <w:rsid w:val="00805AEB"/>
    <w:rsid w:val="00810504"/>
    <w:rsid w:val="0081450F"/>
    <w:rsid w:val="00815C92"/>
    <w:rsid w:val="00820ADF"/>
    <w:rsid w:val="008224EF"/>
    <w:rsid w:val="00826787"/>
    <w:rsid w:val="00834438"/>
    <w:rsid w:val="00835551"/>
    <w:rsid w:val="00837FB8"/>
    <w:rsid w:val="00841328"/>
    <w:rsid w:val="00854209"/>
    <w:rsid w:val="0086477D"/>
    <w:rsid w:val="00876F50"/>
    <w:rsid w:val="00884592"/>
    <w:rsid w:val="008909B8"/>
    <w:rsid w:val="00894221"/>
    <w:rsid w:val="00896081"/>
    <w:rsid w:val="008967B7"/>
    <w:rsid w:val="008B3106"/>
    <w:rsid w:val="008B7C4B"/>
    <w:rsid w:val="008C5AD8"/>
    <w:rsid w:val="008D3CEC"/>
    <w:rsid w:val="008F4B57"/>
    <w:rsid w:val="009028AF"/>
    <w:rsid w:val="00903BA0"/>
    <w:rsid w:val="00903D48"/>
    <w:rsid w:val="0090748A"/>
    <w:rsid w:val="00912A46"/>
    <w:rsid w:val="009422FA"/>
    <w:rsid w:val="00953866"/>
    <w:rsid w:val="0095447A"/>
    <w:rsid w:val="009610B3"/>
    <w:rsid w:val="00962E31"/>
    <w:rsid w:val="00965DC5"/>
    <w:rsid w:val="00966CE6"/>
    <w:rsid w:val="00975B09"/>
    <w:rsid w:val="009771C0"/>
    <w:rsid w:val="009777E8"/>
    <w:rsid w:val="0098158C"/>
    <w:rsid w:val="0099031A"/>
    <w:rsid w:val="00991BA0"/>
    <w:rsid w:val="009A4FC8"/>
    <w:rsid w:val="009B33CC"/>
    <w:rsid w:val="009B3A04"/>
    <w:rsid w:val="009C79C4"/>
    <w:rsid w:val="009D117D"/>
    <w:rsid w:val="009E281C"/>
    <w:rsid w:val="009E3EBD"/>
    <w:rsid w:val="009E795B"/>
    <w:rsid w:val="009F2DD9"/>
    <w:rsid w:val="009F42EB"/>
    <w:rsid w:val="00A005D6"/>
    <w:rsid w:val="00A0723D"/>
    <w:rsid w:val="00A1389E"/>
    <w:rsid w:val="00A21A7D"/>
    <w:rsid w:val="00A2645D"/>
    <w:rsid w:val="00A27409"/>
    <w:rsid w:val="00A34A98"/>
    <w:rsid w:val="00A34E0B"/>
    <w:rsid w:val="00A57CE8"/>
    <w:rsid w:val="00A61C64"/>
    <w:rsid w:val="00A62126"/>
    <w:rsid w:val="00A71FAE"/>
    <w:rsid w:val="00A7569B"/>
    <w:rsid w:val="00A77993"/>
    <w:rsid w:val="00A77C4E"/>
    <w:rsid w:val="00A81D2D"/>
    <w:rsid w:val="00A917C1"/>
    <w:rsid w:val="00A94B80"/>
    <w:rsid w:val="00A952F9"/>
    <w:rsid w:val="00AB23F2"/>
    <w:rsid w:val="00AB6055"/>
    <w:rsid w:val="00AC1577"/>
    <w:rsid w:val="00AC3059"/>
    <w:rsid w:val="00AD53AF"/>
    <w:rsid w:val="00AD68F2"/>
    <w:rsid w:val="00AD69C2"/>
    <w:rsid w:val="00AE50D2"/>
    <w:rsid w:val="00AE73A7"/>
    <w:rsid w:val="00AE7E9E"/>
    <w:rsid w:val="00AF07E0"/>
    <w:rsid w:val="00B02145"/>
    <w:rsid w:val="00B041A6"/>
    <w:rsid w:val="00B17A75"/>
    <w:rsid w:val="00B2269A"/>
    <w:rsid w:val="00B26810"/>
    <w:rsid w:val="00B30626"/>
    <w:rsid w:val="00B40836"/>
    <w:rsid w:val="00B45122"/>
    <w:rsid w:val="00B4533C"/>
    <w:rsid w:val="00B71545"/>
    <w:rsid w:val="00B737F6"/>
    <w:rsid w:val="00B87AB9"/>
    <w:rsid w:val="00B92BF7"/>
    <w:rsid w:val="00B9368D"/>
    <w:rsid w:val="00B940F8"/>
    <w:rsid w:val="00BA2841"/>
    <w:rsid w:val="00BA358B"/>
    <w:rsid w:val="00BA6693"/>
    <w:rsid w:val="00BC224B"/>
    <w:rsid w:val="00BC5877"/>
    <w:rsid w:val="00BD6076"/>
    <w:rsid w:val="00BD77CE"/>
    <w:rsid w:val="00BF6A72"/>
    <w:rsid w:val="00BF7D16"/>
    <w:rsid w:val="00C0135E"/>
    <w:rsid w:val="00C01D3D"/>
    <w:rsid w:val="00C05CED"/>
    <w:rsid w:val="00C161A1"/>
    <w:rsid w:val="00C16233"/>
    <w:rsid w:val="00C24FA8"/>
    <w:rsid w:val="00C27690"/>
    <w:rsid w:val="00C455D1"/>
    <w:rsid w:val="00C4703A"/>
    <w:rsid w:val="00C509C1"/>
    <w:rsid w:val="00C532C5"/>
    <w:rsid w:val="00C64A71"/>
    <w:rsid w:val="00C7003A"/>
    <w:rsid w:val="00C70819"/>
    <w:rsid w:val="00C72A39"/>
    <w:rsid w:val="00C82985"/>
    <w:rsid w:val="00C90787"/>
    <w:rsid w:val="00C93A09"/>
    <w:rsid w:val="00C945EC"/>
    <w:rsid w:val="00C95218"/>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150D"/>
    <w:rsid w:val="00D737E5"/>
    <w:rsid w:val="00D80CB1"/>
    <w:rsid w:val="00D8467E"/>
    <w:rsid w:val="00D92E0F"/>
    <w:rsid w:val="00D9738B"/>
    <w:rsid w:val="00D97C9F"/>
    <w:rsid w:val="00DA1F54"/>
    <w:rsid w:val="00DA28E2"/>
    <w:rsid w:val="00DA312C"/>
    <w:rsid w:val="00DA3AF6"/>
    <w:rsid w:val="00DB57E7"/>
    <w:rsid w:val="00DC66D9"/>
    <w:rsid w:val="00DF426C"/>
    <w:rsid w:val="00E1103A"/>
    <w:rsid w:val="00E14568"/>
    <w:rsid w:val="00E22556"/>
    <w:rsid w:val="00E236E5"/>
    <w:rsid w:val="00E240AE"/>
    <w:rsid w:val="00E30C9D"/>
    <w:rsid w:val="00E36CEF"/>
    <w:rsid w:val="00E40062"/>
    <w:rsid w:val="00E45BA1"/>
    <w:rsid w:val="00E521C8"/>
    <w:rsid w:val="00E619C6"/>
    <w:rsid w:val="00E626D1"/>
    <w:rsid w:val="00E66171"/>
    <w:rsid w:val="00E75982"/>
    <w:rsid w:val="00E82CF7"/>
    <w:rsid w:val="00E8770E"/>
    <w:rsid w:val="00E93819"/>
    <w:rsid w:val="00EA0422"/>
    <w:rsid w:val="00EA2C25"/>
    <w:rsid w:val="00EA7A70"/>
    <w:rsid w:val="00EB4ADF"/>
    <w:rsid w:val="00EB4D3D"/>
    <w:rsid w:val="00ED49D7"/>
    <w:rsid w:val="00ED557F"/>
    <w:rsid w:val="00EE4226"/>
    <w:rsid w:val="00EE457F"/>
    <w:rsid w:val="00EE5CAB"/>
    <w:rsid w:val="00EF00ED"/>
    <w:rsid w:val="00EF022A"/>
    <w:rsid w:val="00EF7231"/>
    <w:rsid w:val="00F07812"/>
    <w:rsid w:val="00F10D47"/>
    <w:rsid w:val="00F12E99"/>
    <w:rsid w:val="00F31FEF"/>
    <w:rsid w:val="00F330E1"/>
    <w:rsid w:val="00F42DC0"/>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712F"/>
    <w:rsid w:val="00FB305A"/>
    <w:rsid w:val="00FC032F"/>
    <w:rsid w:val="00FC2D7D"/>
    <w:rsid w:val="00FC5E77"/>
    <w:rsid w:val="00FD17D7"/>
    <w:rsid w:val="00FD4BC8"/>
    <w:rsid w:val="00FE2EF4"/>
    <w:rsid w:val="00FE78E8"/>
    <w:rsid w:val="00FE7C92"/>
    <w:rsid w:val="00FF55F7"/>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6056C6B6-898F-4390-B810-B52931E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14F9-6DDA-4F96-8EE9-02586BBE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6553</Characters>
  <Application>Microsoft Office Word</Application>
  <DocSecurity>4</DocSecurity>
  <Lines>54</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2019-06-14T06:30:00Z</cp:lastPrinted>
  <dcterms:created xsi:type="dcterms:W3CDTF">2019-06-17T05:37:00Z</dcterms:created>
  <dcterms:modified xsi:type="dcterms:W3CDTF">2019-06-17T05:37:00Z</dcterms:modified>
</cp:coreProperties>
</file>