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AEBCB9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7E4601" w14:textId="77777777" w:rsidR="00F35BAF" w:rsidRPr="00DB58B5" w:rsidRDefault="00F35BAF" w:rsidP="000C419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5055A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F1BCFB" w14:textId="77777777" w:rsidR="00F35BAF" w:rsidRPr="00DB58B5" w:rsidRDefault="000C419B" w:rsidP="000C419B">
            <w:pPr>
              <w:jc w:val="right"/>
            </w:pPr>
            <w:r w:rsidRPr="000C419B">
              <w:rPr>
                <w:sz w:val="40"/>
              </w:rPr>
              <w:t>ECE</w:t>
            </w:r>
            <w:r>
              <w:t>/TRANS/WP.15/AC.2/2019/27</w:t>
            </w:r>
          </w:p>
        </w:tc>
      </w:tr>
      <w:tr w:rsidR="00F35BAF" w:rsidRPr="00DB58B5" w14:paraId="78B9BA7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ED571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F935E4" wp14:editId="3E954F5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33BA7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864E23" w14:textId="77777777" w:rsidR="00F35BAF" w:rsidRDefault="000C419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07070CE" w14:textId="77777777" w:rsidR="000C419B" w:rsidRDefault="000C419B" w:rsidP="000C419B">
            <w:pPr>
              <w:spacing w:line="240" w:lineRule="exact"/>
            </w:pPr>
            <w:r>
              <w:t>7 juin 2019</w:t>
            </w:r>
          </w:p>
          <w:p w14:paraId="14A44B62" w14:textId="77777777" w:rsidR="000C419B" w:rsidRDefault="000C419B" w:rsidP="000C419B">
            <w:pPr>
              <w:spacing w:line="240" w:lineRule="exact"/>
            </w:pPr>
            <w:r>
              <w:t>Français</w:t>
            </w:r>
          </w:p>
          <w:p w14:paraId="7DEC9915" w14:textId="77777777" w:rsidR="000C419B" w:rsidRPr="00DB58B5" w:rsidRDefault="000C419B" w:rsidP="000C419B">
            <w:pPr>
              <w:spacing w:line="240" w:lineRule="exact"/>
            </w:pPr>
            <w:r>
              <w:t>Original : anglais</w:t>
            </w:r>
          </w:p>
        </w:tc>
      </w:tr>
    </w:tbl>
    <w:p w14:paraId="0832EFD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2035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5282D7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1656C67" w14:textId="77777777" w:rsidR="00446B81" w:rsidRDefault="00446B81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7AFC5F0A" w14:textId="77777777" w:rsidR="00446B81" w:rsidRPr="001A5168" w:rsidRDefault="00446B81" w:rsidP="00E85C74">
      <w:pPr>
        <w:spacing w:before="120"/>
        <w:rPr>
          <w:b/>
        </w:rPr>
      </w:pPr>
      <w:r w:rsidRPr="001A5168">
        <w:rPr>
          <w:b/>
          <w:bCs/>
          <w:lang w:val="fr-FR"/>
        </w:rPr>
        <w:t>Réunion commune d</w:t>
      </w:r>
      <w:r w:rsidR="0022035A" w:rsidRPr="001A5168">
        <w:rPr>
          <w:b/>
          <w:bCs/>
          <w:lang w:val="fr-FR"/>
        </w:rPr>
        <w:t>’</w:t>
      </w:r>
      <w:r w:rsidRPr="001A5168">
        <w:rPr>
          <w:b/>
          <w:bCs/>
          <w:lang w:val="fr-FR"/>
        </w:rPr>
        <w:t xml:space="preserve">experts sur le Règlement annexé à </w:t>
      </w:r>
      <w:r w:rsidRPr="001A5168">
        <w:rPr>
          <w:b/>
          <w:bCs/>
          <w:lang w:val="fr-FR"/>
        </w:rPr>
        <w:br/>
        <w:t>l</w:t>
      </w:r>
      <w:r w:rsidR="0022035A" w:rsidRPr="001A5168">
        <w:rPr>
          <w:b/>
          <w:bCs/>
          <w:lang w:val="fr-FR"/>
        </w:rPr>
        <w:t>’</w:t>
      </w:r>
      <w:r w:rsidRPr="001A5168">
        <w:rPr>
          <w:b/>
          <w:bCs/>
          <w:lang w:val="fr-FR"/>
        </w:rPr>
        <w:t xml:space="preserve">Accord européen relatif au transport international </w:t>
      </w:r>
      <w:r w:rsidRPr="001A5168">
        <w:rPr>
          <w:b/>
          <w:bCs/>
          <w:lang w:val="fr-FR"/>
        </w:rPr>
        <w:br/>
        <w:t xml:space="preserve">des marchandises dangereuses par voies de navigation </w:t>
      </w:r>
      <w:r w:rsidRPr="001A5168">
        <w:rPr>
          <w:b/>
          <w:bCs/>
          <w:lang w:val="fr-FR"/>
        </w:rPr>
        <w:br/>
        <w:t>intérieures (ADN) (Comité de sécurité de l</w:t>
      </w:r>
      <w:r w:rsidR="0022035A" w:rsidRPr="001A5168">
        <w:rPr>
          <w:b/>
          <w:bCs/>
          <w:lang w:val="fr-FR"/>
        </w:rPr>
        <w:t>’</w:t>
      </w:r>
      <w:r w:rsidRPr="001A5168">
        <w:rPr>
          <w:b/>
          <w:bCs/>
          <w:lang w:val="fr-FR"/>
        </w:rPr>
        <w:t>ADN)</w:t>
      </w:r>
    </w:p>
    <w:p w14:paraId="3ED7089B" w14:textId="77777777" w:rsidR="00446B81" w:rsidRPr="003134DF" w:rsidRDefault="00446B81" w:rsidP="00446B81">
      <w:pPr>
        <w:spacing w:before="120"/>
        <w:rPr>
          <w:b/>
        </w:rPr>
      </w:pPr>
      <w:r>
        <w:rPr>
          <w:b/>
          <w:bCs/>
          <w:lang w:val="fr-FR"/>
        </w:rPr>
        <w:t>Trente-cinquième session</w:t>
      </w:r>
    </w:p>
    <w:p w14:paraId="5A71F374" w14:textId="77777777" w:rsidR="00446B81" w:rsidRDefault="00446B81" w:rsidP="00446B81">
      <w:r>
        <w:rPr>
          <w:lang w:val="fr-FR"/>
        </w:rPr>
        <w:t>Genève, 26-30 août 2019</w:t>
      </w:r>
    </w:p>
    <w:p w14:paraId="60959E7A" w14:textId="77777777" w:rsidR="00446B81" w:rsidRDefault="00446B81" w:rsidP="00446B81">
      <w:r>
        <w:rPr>
          <w:lang w:val="fr-FR"/>
        </w:rPr>
        <w:t>Point 4 b) de l</w:t>
      </w:r>
      <w:r w:rsidR="0022035A">
        <w:rPr>
          <w:lang w:val="fr-FR"/>
        </w:rPr>
        <w:t>’</w:t>
      </w:r>
      <w:r>
        <w:rPr>
          <w:lang w:val="fr-FR"/>
        </w:rPr>
        <w:t>ordre du jour provisoire</w:t>
      </w:r>
    </w:p>
    <w:p w14:paraId="66ED9964" w14:textId="77777777" w:rsidR="00446B81" w:rsidRDefault="00446B81" w:rsidP="00446B81">
      <w:r>
        <w:rPr>
          <w:b/>
          <w:bCs/>
          <w:lang w:val="fr-FR"/>
        </w:rPr>
        <w:t>Propositions d</w:t>
      </w:r>
      <w:r w:rsidR="0022035A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annexé à l</w:t>
      </w:r>
      <w:r w:rsidR="0022035A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ADN : </w:t>
      </w:r>
      <w:r>
        <w:rPr>
          <w:b/>
          <w:bCs/>
          <w:lang w:val="fr-FR"/>
        </w:rPr>
        <w:br/>
        <w:t>Autres propositions</w:t>
      </w:r>
    </w:p>
    <w:p w14:paraId="442280D2" w14:textId="77777777" w:rsidR="00446B81" w:rsidRPr="00446B81" w:rsidRDefault="00446B81" w:rsidP="00446B81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446B81">
        <w:rPr>
          <w:lang w:val="fr-FR"/>
        </w:rPr>
        <w:t>Proposition d</w:t>
      </w:r>
      <w:r w:rsidR="0022035A">
        <w:rPr>
          <w:lang w:val="fr-FR"/>
        </w:rPr>
        <w:t>’</w:t>
      </w:r>
      <w:r w:rsidRPr="00446B81">
        <w:rPr>
          <w:lang w:val="fr-FR"/>
        </w:rPr>
        <w:t>amendement concernant le numéro</w:t>
      </w:r>
      <w:r>
        <w:rPr>
          <w:lang w:val="fr-FR"/>
        </w:rPr>
        <w:t> </w:t>
      </w:r>
      <w:r w:rsidRPr="00446B81">
        <w:rPr>
          <w:lang w:val="fr-FR"/>
        </w:rPr>
        <w:t>ONU</w:t>
      </w:r>
      <w:r>
        <w:rPr>
          <w:lang w:val="fr-FR"/>
        </w:rPr>
        <w:t> </w:t>
      </w:r>
      <w:r w:rsidRPr="00446B81">
        <w:rPr>
          <w:lang w:val="fr-FR"/>
        </w:rPr>
        <w:t>2057 (</w:t>
      </w:r>
      <w:proofErr w:type="gramStart"/>
      <w:r w:rsidRPr="00446B81">
        <w:rPr>
          <w:lang w:val="fr-FR"/>
        </w:rPr>
        <w:t>tripropylène</w:t>
      </w:r>
      <w:proofErr w:type="gramEnd"/>
      <w:r w:rsidRPr="00446B81">
        <w:rPr>
          <w:lang w:val="fr-FR"/>
        </w:rPr>
        <w:t>) dans le tableau</w:t>
      </w:r>
      <w:r>
        <w:rPr>
          <w:lang w:val="fr-FR"/>
        </w:rPr>
        <w:t> </w:t>
      </w:r>
      <w:r w:rsidRPr="00446B81">
        <w:rPr>
          <w:lang w:val="fr-FR"/>
        </w:rPr>
        <w:t>C</w:t>
      </w:r>
    </w:p>
    <w:p w14:paraId="7AB4DCEA" w14:textId="77777777" w:rsidR="00446B81" w:rsidRPr="00446B81" w:rsidRDefault="00446B81" w:rsidP="00446B81">
      <w:pPr>
        <w:pStyle w:val="HChG"/>
        <w:rPr>
          <w:bCs/>
        </w:rPr>
      </w:pPr>
      <w:r w:rsidRPr="00446B81">
        <w:rPr>
          <w:lang w:val="fr-FR"/>
        </w:rPr>
        <w:tab/>
      </w:r>
      <w:r w:rsidRPr="00446B81">
        <w:rPr>
          <w:lang w:val="fr-FR"/>
        </w:rPr>
        <w:tab/>
        <w:t>Communication du Conseil européen de l</w:t>
      </w:r>
      <w:r w:rsidR="0022035A">
        <w:rPr>
          <w:lang w:val="fr-FR"/>
        </w:rPr>
        <w:t>’</w:t>
      </w:r>
      <w:r w:rsidRPr="00446B81">
        <w:rPr>
          <w:lang w:val="fr-FR"/>
        </w:rPr>
        <w:t>industrie chimique (CEFIC)</w:t>
      </w:r>
      <w:r w:rsidRPr="00446B81">
        <w:rPr>
          <w:b w:val="0"/>
          <w:bCs/>
          <w:sz w:val="20"/>
          <w:lang w:val="fr-FR"/>
        </w:rPr>
        <w:footnoteReference w:customMarkFollows="1" w:id="2"/>
        <w:t>*</w:t>
      </w:r>
      <w:r w:rsidRPr="00446B81">
        <w:rPr>
          <w:b w:val="0"/>
          <w:position w:val="6"/>
          <w:sz w:val="20"/>
          <w:lang w:val="fr-FR"/>
        </w:rPr>
        <w:t>,</w:t>
      </w:r>
      <w:r>
        <w:rPr>
          <w:b w:val="0"/>
          <w:sz w:val="20"/>
          <w:lang w:val="fr-FR"/>
        </w:rPr>
        <w:t xml:space="preserve"> </w:t>
      </w:r>
      <w:r w:rsidRPr="00446B81">
        <w:rPr>
          <w:b w:val="0"/>
          <w:bCs/>
          <w:sz w:val="20"/>
          <w:lang w:val="fr-FR"/>
        </w:rPr>
        <w:footnoteReference w:customMarkFollows="1" w:id="3"/>
        <w:t>**</w:t>
      </w:r>
      <w:r w:rsidRPr="00446B81">
        <w:rPr>
          <w:lang w:val="fr-FR"/>
        </w:rPr>
        <w:t xml:space="preserve"> </w:t>
      </w:r>
    </w:p>
    <w:p w14:paraId="078BFB0A" w14:textId="77777777" w:rsidR="00446B81" w:rsidRPr="00446B81" w:rsidRDefault="00446B81" w:rsidP="008E1EEE">
      <w:pPr>
        <w:pStyle w:val="HChG"/>
      </w:pPr>
      <w:r w:rsidRPr="00446B81">
        <w:rPr>
          <w:lang w:val="fr-FR"/>
        </w:rPr>
        <w:tab/>
      </w:r>
      <w:r>
        <w:rPr>
          <w:lang w:val="fr-FR"/>
        </w:rPr>
        <w:tab/>
      </w:r>
      <w:r w:rsidRPr="00446B81">
        <w:rPr>
          <w:lang w:val="fr-FR"/>
        </w:rPr>
        <w:t>Introduction</w:t>
      </w:r>
    </w:p>
    <w:p w14:paraId="202A7631" w14:textId="77777777" w:rsidR="00446B81" w:rsidRPr="00446B81" w:rsidRDefault="00446B81" w:rsidP="00446B81">
      <w:pPr>
        <w:pStyle w:val="SingleTxtG"/>
        <w:ind w:firstLine="567"/>
      </w:pPr>
      <w:r w:rsidRPr="00446B81">
        <w:rPr>
          <w:lang w:val="fr-FR"/>
        </w:rPr>
        <w:t>Sur la base des deux modifications au tableau</w:t>
      </w:r>
      <w:r>
        <w:rPr>
          <w:lang w:val="fr-FR"/>
        </w:rPr>
        <w:t> </w:t>
      </w:r>
      <w:r w:rsidRPr="00446B81">
        <w:rPr>
          <w:lang w:val="fr-FR"/>
        </w:rPr>
        <w:t>C du chapitre</w:t>
      </w:r>
      <w:r>
        <w:rPr>
          <w:lang w:val="fr-FR"/>
        </w:rPr>
        <w:t> </w:t>
      </w:r>
      <w:r w:rsidRPr="00446B81">
        <w:rPr>
          <w:lang w:val="fr-FR"/>
        </w:rPr>
        <w:t>3.2 déjà présentées dans le document ECE/ADN/45 (p</w:t>
      </w:r>
      <w:r>
        <w:rPr>
          <w:lang w:val="fr-FR"/>
        </w:rPr>
        <w:t>. </w:t>
      </w:r>
      <w:r w:rsidRPr="00446B81">
        <w:rPr>
          <w:lang w:val="fr-FR"/>
        </w:rPr>
        <w:t>56)</w:t>
      </w:r>
      <w:r>
        <w:rPr>
          <w:lang w:val="fr-FR"/>
        </w:rPr>
        <w:t> :</w:t>
      </w:r>
    </w:p>
    <w:p w14:paraId="1804FB30" w14:textId="77777777" w:rsidR="00446B81" w:rsidRPr="00446B81" w:rsidRDefault="00446B81" w:rsidP="00446B81">
      <w:pPr>
        <w:pStyle w:val="SingleTxtG"/>
        <w:ind w:firstLine="567"/>
        <w:rPr>
          <w:bCs/>
          <w:lang w:val="fr-FR"/>
        </w:rPr>
      </w:pPr>
      <w:r w:rsidRPr="00446B81">
        <w:rPr>
          <w:lang w:val="fr-FR"/>
        </w:rPr>
        <w:t xml:space="preserve">Pour le </w:t>
      </w:r>
      <w:r>
        <w:rPr>
          <w:lang w:val="fr-FR"/>
        </w:rPr>
        <w:t xml:space="preserve">numéro </w:t>
      </w:r>
      <w:r w:rsidRPr="00446B81">
        <w:rPr>
          <w:lang w:val="fr-FR"/>
        </w:rPr>
        <w:t>ONU</w:t>
      </w:r>
      <w:r>
        <w:rPr>
          <w:lang w:val="fr-FR"/>
        </w:rPr>
        <w:t> </w:t>
      </w:r>
      <w:r w:rsidRPr="00446B81">
        <w:rPr>
          <w:lang w:val="fr-FR"/>
        </w:rPr>
        <w:t xml:space="preserve">2057, </w:t>
      </w:r>
      <w:r w:rsidRPr="00446B81">
        <w:rPr>
          <w:b/>
          <w:bCs/>
          <w:lang w:val="fr-FR"/>
        </w:rPr>
        <w:t>groupe d</w:t>
      </w:r>
      <w:r w:rsidR="0022035A">
        <w:rPr>
          <w:b/>
          <w:bCs/>
          <w:lang w:val="fr-FR"/>
        </w:rPr>
        <w:t>’</w:t>
      </w:r>
      <w:r w:rsidRPr="00446B81">
        <w:rPr>
          <w:b/>
          <w:bCs/>
          <w:lang w:val="fr-FR"/>
        </w:rPr>
        <w:t>emballage</w:t>
      </w:r>
      <w:r>
        <w:rPr>
          <w:b/>
          <w:bCs/>
          <w:lang w:val="fr-FR"/>
        </w:rPr>
        <w:t> </w:t>
      </w:r>
      <w:r w:rsidRPr="00446B81">
        <w:rPr>
          <w:b/>
          <w:bCs/>
          <w:lang w:val="fr-FR"/>
        </w:rPr>
        <w:t>II</w:t>
      </w:r>
      <w:r>
        <w:rPr>
          <w:b/>
          <w:bCs/>
          <w:lang w:val="fr-FR"/>
        </w:rPr>
        <w:t> </w:t>
      </w:r>
      <w:r w:rsidRPr="00446B81">
        <w:rPr>
          <w:bCs/>
          <w:lang w:val="fr-FR"/>
        </w:rPr>
        <w:t>:</w:t>
      </w:r>
    </w:p>
    <w:p w14:paraId="12251B8F" w14:textId="77777777" w:rsidR="00446B81" w:rsidRPr="00446B81" w:rsidRDefault="00446B81" w:rsidP="00446B81">
      <w:pPr>
        <w:pStyle w:val="SingleTxtG"/>
        <w:jc w:val="left"/>
        <w:rPr>
          <w:bCs/>
          <w:lang w:val="fr-FR"/>
        </w:rPr>
      </w:pPr>
      <w:r w:rsidRPr="00446B81">
        <w:rPr>
          <w:bCs/>
          <w:lang w:val="fr-FR"/>
        </w:rPr>
        <w:t>Dans la colonne (5)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 +</w:t>
      </w:r>
      <w:r w:rsidR="008E1EEE">
        <w:rPr>
          <w:bCs/>
          <w:lang w:val="fr-FR"/>
        </w:rPr>
        <w:t> </w:t>
      </w:r>
      <w:r w:rsidRPr="00446B81">
        <w:rPr>
          <w:bCs/>
          <w:lang w:val="fr-FR"/>
        </w:rPr>
        <w:t>N3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 + N1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 xml:space="preserve">». </w:t>
      </w:r>
      <w:r>
        <w:rPr>
          <w:bCs/>
          <w:lang w:val="fr-FR"/>
        </w:rPr>
        <w:br/>
      </w:r>
      <w:r w:rsidRPr="00446B81">
        <w:rPr>
          <w:bCs/>
          <w:lang w:val="fr-FR"/>
        </w:rPr>
        <w:t>Dans la colonne (6)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N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C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 xml:space="preserve">». </w:t>
      </w:r>
      <w:r>
        <w:rPr>
          <w:bCs/>
          <w:lang w:val="fr-FR"/>
        </w:rPr>
        <w:br/>
      </w:r>
      <w:r w:rsidRPr="00446B81">
        <w:rPr>
          <w:bCs/>
          <w:lang w:val="fr-FR"/>
        </w:rPr>
        <w:t>Dans la colonne (8)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2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 xml:space="preserve">». </w:t>
      </w:r>
      <w:r>
        <w:rPr>
          <w:bCs/>
          <w:lang w:val="fr-FR"/>
        </w:rPr>
        <w:br/>
      </w:r>
      <w:r w:rsidRPr="00446B81">
        <w:rPr>
          <w:bCs/>
          <w:lang w:val="fr-FR"/>
        </w:rPr>
        <w:t>Dans la colonne (13)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2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».</w:t>
      </w:r>
    </w:p>
    <w:p w14:paraId="349EFC7D" w14:textId="77777777" w:rsidR="00446B81" w:rsidRPr="00446B81" w:rsidRDefault="00446B81" w:rsidP="00446B81">
      <w:pPr>
        <w:pStyle w:val="SingleTxtG"/>
        <w:ind w:firstLine="567"/>
        <w:rPr>
          <w:b/>
          <w:bCs/>
          <w:lang w:val="fr-FR"/>
        </w:rPr>
      </w:pPr>
      <w:r w:rsidRPr="008E1EEE">
        <w:rPr>
          <w:bCs/>
          <w:lang w:val="fr-FR"/>
        </w:rPr>
        <w:t xml:space="preserve">Pour le numéro ONU 2057, </w:t>
      </w:r>
      <w:r w:rsidRPr="00446B81">
        <w:rPr>
          <w:b/>
          <w:bCs/>
          <w:lang w:val="fr-FR"/>
        </w:rPr>
        <w:t>groupe d</w:t>
      </w:r>
      <w:r w:rsidR="0022035A">
        <w:rPr>
          <w:b/>
          <w:bCs/>
          <w:lang w:val="fr-FR"/>
        </w:rPr>
        <w:t>’</w:t>
      </w:r>
      <w:r w:rsidRPr="00446B81">
        <w:rPr>
          <w:b/>
          <w:bCs/>
          <w:lang w:val="fr-FR"/>
        </w:rPr>
        <w:t>emballage III</w:t>
      </w:r>
      <w:r>
        <w:rPr>
          <w:b/>
          <w:bCs/>
          <w:lang w:val="fr-FR"/>
        </w:rPr>
        <w:t> :</w:t>
      </w:r>
    </w:p>
    <w:p w14:paraId="52492272" w14:textId="77777777" w:rsidR="00446B81" w:rsidRPr="00446B81" w:rsidRDefault="00446B81" w:rsidP="00446B81">
      <w:pPr>
        <w:pStyle w:val="SingleTxtG"/>
        <w:jc w:val="left"/>
        <w:rPr>
          <w:bCs/>
          <w:lang w:val="fr-FR"/>
        </w:rPr>
      </w:pPr>
      <w:r w:rsidRPr="00446B81">
        <w:rPr>
          <w:bCs/>
          <w:lang w:val="fr-FR"/>
        </w:rPr>
        <w:t>Dans la colonne (5)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 +</w:t>
      </w:r>
      <w:r w:rsidR="008E1EEE">
        <w:rPr>
          <w:bCs/>
          <w:lang w:val="fr-FR"/>
        </w:rPr>
        <w:t> </w:t>
      </w:r>
      <w:r w:rsidRPr="00446B81">
        <w:rPr>
          <w:bCs/>
          <w:lang w:val="fr-FR"/>
        </w:rPr>
        <w:t>N3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 + N1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 xml:space="preserve">». </w:t>
      </w:r>
      <w:r>
        <w:rPr>
          <w:bCs/>
          <w:lang w:val="fr-FR"/>
        </w:rPr>
        <w:br/>
      </w:r>
      <w:r w:rsidRPr="00446B81">
        <w:rPr>
          <w:bCs/>
          <w:lang w:val="fr-FR"/>
        </w:rPr>
        <w:t>Dans la colonne (6)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N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C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 xml:space="preserve">». </w:t>
      </w:r>
      <w:r>
        <w:rPr>
          <w:bCs/>
          <w:lang w:val="fr-FR"/>
        </w:rPr>
        <w:br/>
      </w:r>
      <w:r w:rsidRPr="00446B81">
        <w:rPr>
          <w:bCs/>
          <w:lang w:val="fr-FR"/>
        </w:rPr>
        <w:t>Dans la colonne (7)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2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 xml:space="preserve">». </w:t>
      </w:r>
      <w:r>
        <w:rPr>
          <w:bCs/>
          <w:lang w:val="fr-FR"/>
        </w:rPr>
        <w:br/>
      </w:r>
      <w:r w:rsidRPr="00446B81">
        <w:rPr>
          <w:bCs/>
          <w:lang w:val="fr-FR"/>
        </w:rPr>
        <w:lastRenderedPageBreak/>
        <w:t>Dans la colonne (8)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2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 xml:space="preserve">». </w:t>
      </w:r>
      <w:r>
        <w:rPr>
          <w:bCs/>
          <w:lang w:val="fr-FR"/>
        </w:rPr>
        <w:br/>
      </w:r>
      <w:r w:rsidRPr="00446B81">
        <w:rPr>
          <w:bCs/>
          <w:lang w:val="fr-FR"/>
        </w:rPr>
        <w:t>Dans la colonne (13) Remplacer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3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 par «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2</w:t>
      </w:r>
      <w:r>
        <w:rPr>
          <w:bCs/>
          <w:lang w:val="fr-FR"/>
        </w:rPr>
        <w:t> </w:t>
      </w:r>
      <w:r w:rsidRPr="00446B81">
        <w:rPr>
          <w:bCs/>
          <w:lang w:val="fr-FR"/>
        </w:rPr>
        <w:t>».</w:t>
      </w:r>
    </w:p>
    <w:p w14:paraId="5ABB63DA" w14:textId="77777777" w:rsidR="00446B81" w:rsidRPr="00446B81" w:rsidRDefault="00446B81" w:rsidP="00446B81">
      <w:pPr>
        <w:pStyle w:val="SingleTxtG"/>
        <w:ind w:firstLine="567"/>
      </w:pPr>
      <w:r w:rsidRPr="00446B81">
        <w:rPr>
          <w:lang w:val="fr-FR"/>
        </w:rPr>
        <w:t>La matière doit être transportée dans un bateau de type C au lieu d</w:t>
      </w:r>
      <w:r w:rsidR="0022035A">
        <w:rPr>
          <w:lang w:val="fr-FR"/>
        </w:rPr>
        <w:t>’</w:t>
      </w:r>
      <w:r w:rsidRPr="00446B81">
        <w:rPr>
          <w:lang w:val="fr-FR"/>
        </w:rPr>
        <w:t>un bateau de type</w:t>
      </w:r>
      <w:r>
        <w:rPr>
          <w:lang w:val="fr-FR"/>
        </w:rPr>
        <w:t> </w:t>
      </w:r>
      <w:r w:rsidRPr="00446B81">
        <w:rPr>
          <w:lang w:val="fr-FR"/>
        </w:rPr>
        <w:t>N. Aussi, le degré maximal de remplissage et la pression d</w:t>
      </w:r>
      <w:r w:rsidR="0022035A">
        <w:rPr>
          <w:lang w:val="fr-FR"/>
        </w:rPr>
        <w:t>’</w:t>
      </w:r>
      <w:r w:rsidRPr="00446B81">
        <w:rPr>
          <w:lang w:val="fr-FR"/>
        </w:rPr>
        <w:t>ouverture de la soupape de dégagement à grande vitesse (kPa) doivent être mis à jour en conséquence.</w:t>
      </w:r>
    </w:p>
    <w:p w14:paraId="61F2865F" w14:textId="77777777" w:rsidR="00446B81" w:rsidRPr="00446B81" w:rsidRDefault="00446B81" w:rsidP="00AC4A8B">
      <w:pPr>
        <w:pStyle w:val="HChG"/>
      </w:pPr>
      <w:r w:rsidRPr="00446B81">
        <w:rPr>
          <w:lang w:val="fr-FR"/>
        </w:rPr>
        <w:tab/>
      </w:r>
      <w:r w:rsidR="0022035A">
        <w:rPr>
          <w:lang w:val="fr-FR"/>
        </w:rPr>
        <w:tab/>
      </w:r>
      <w:r w:rsidRPr="00446B81">
        <w:rPr>
          <w:lang w:val="fr-FR"/>
        </w:rPr>
        <w:t>Justification</w:t>
      </w:r>
    </w:p>
    <w:p w14:paraId="3019E518" w14:textId="77777777" w:rsidR="00446B81" w:rsidRPr="00446B81" w:rsidRDefault="00446B81" w:rsidP="0022035A">
      <w:pPr>
        <w:pStyle w:val="SingleTxtG"/>
        <w:ind w:firstLine="567"/>
      </w:pPr>
      <w:r w:rsidRPr="00446B81">
        <w:rPr>
          <w:lang w:val="fr-FR"/>
        </w:rPr>
        <w:t>Conformément à l</w:t>
      </w:r>
      <w:r w:rsidR="0022035A">
        <w:rPr>
          <w:lang w:val="fr-FR"/>
        </w:rPr>
        <w:t>’</w:t>
      </w:r>
      <w:r w:rsidRPr="00446B81">
        <w:rPr>
          <w:lang w:val="fr-FR"/>
        </w:rPr>
        <w:t>alinéa</w:t>
      </w:r>
      <w:r w:rsidR="0022035A">
        <w:rPr>
          <w:lang w:val="fr-FR"/>
        </w:rPr>
        <w:t> </w:t>
      </w:r>
      <w:r w:rsidRPr="00446B81">
        <w:rPr>
          <w:lang w:val="fr-FR"/>
        </w:rPr>
        <w:t xml:space="preserve">a) du paragraphe 9.3.2.21.1, le </w:t>
      </w:r>
      <w:r w:rsidRPr="00446B81">
        <w:rPr>
          <w:b/>
          <w:bCs/>
          <w:lang w:val="fr-FR"/>
        </w:rPr>
        <w:t>degré maximal de remplissage</w:t>
      </w:r>
      <w:r w:rsidRPr="00446B81">
        <w:rPr>
          <w:lang w:val="fr-FR"/>
        </w:rPr>
        <w:t xml:space="preserve"> pour les bateaux-citernes du type</w:t>
      </w:r>
      <w:r w:rsidR="0022035A">
        <w:rPr>
          <w:lang w:val="fr-FR"/>
        </w:rPr>
        <w:t> </w:t>
      </w:r>
      <w:r w:rsidRPr="00446B81">
        <w:rPr>
          <w:lang w:val="fr-FR"/>
        </w:rPr>
        <w:t>C devrait être fixé à 95</w:t>
      </w:r>
      <w:r w:rsidR="0022035A">
        <w:rPr>
          <w:lang w:val="fr-FR"/>
        </w:rPr>
        <w:t> </w:t>
      </w:r>
      <w:r w:rsidRPr="00446B81">
        <w:rPr>
          <w:lang w:val="fr-FR"/>
        </w:rPr>
        <w:t>% au lieu de 97</w:t>
      </w:r>
      <w:r w:rsidR="0022035A">
        <w:rPr>
          <w:lang w:val="fr-FR"/>
        </w:rPr>
        <w:t> </w:t>
      </w:r>
      <w:r w:rsidRPr="00446B81">
        <w:rPr>
          <w:lang w:val="fr-FR"/>
        </w:rPr>
        <w:t>% (degré applicable aux bateaux-citernes du type</w:t>
      </w:r>
      <w:r w:rsidR="0022035A">
        <w:rPr>
          <w:lang w:val="fr-FR"/>
        </w:rPr>
        <w:t> </w:t>
      </w:r>
      <w:r w:rsidRPr="00446B81">
        <w:rPr>
          <w:lang w:val="fr-FR"/>
        </w:rPr>
        <w:t>N).</w:t>
      </w:r>
    </w:p>
    <w:p w14:paraId="6C76A9D9" w14:textId="77777777" w:rsidR="00446B81" w:rsidRPr="00446B81" w:rsidRDefault="00446B81" w:rsidP="0022035A">
      <w:pPr>
        <w:pStyle w:val="SingleTxtG"/>
        <w:ind w:firstLine="567"/>
      </w:pPr>
      <w:r w:rsidRPr="00446B81">
        <w:rPr>
          <w:lang w:val="fr-FR"/>
        </w:rPr>
        <w:t xml:space="preserve">Selon le paragraphe 3.2.3.3, la valeur correspondant à la </w:t>
      </w:r>
      <w:r w:rsidRPr="00446B81">
        <w:rPr>
          <w:b/>
          <w:bCs/>
          <w:lang w:val="fr-FR"/>
        </w:rPr>
        <w:t>pression d</w:t>
      </w:r>
      <w:r w:rsidR="0022035A">
        <w:rPr>
          <w:b/>
          <w:bCs/>
          <w:lang w:val="fr-FR"/>
        </w:rPr>
        <w:t>’</w:t>
      </w:r>
      <w:r w:rsidRPr="00446B81">
        <w:rPr>
          <w:b/>
          <w:bCs/>
          <w:lang w:val="fr-FR"/>
        </w:rPr>
        <w:t>ouverture de la soupape de dégagement à grande vitesse (kPa)</w:t>
      </w:r>
      <w:r w:rsidRPr="00446B81">
        <w:rPr>
          <w:lang w:val="fr-FR"/>
        </w:rPr>
        <w:t xml:space="preserve"> pour les bateaux du type</w:t>
      </w:r>
      <w:r w:rsidR="0022035A">
        <w:rPr>
          <w:lang w:val="fr-FR"/>
        </w:rPr>
        <w:t> </w:t>
      </w:r>
      <w:r w:rsidRPr="00446B81">
        <w:rPr>
          <w:lang w:val="fr-FR"/>
        </w:rPr>
        <w:t>C doit être déterminée sur la base de la pression interne des citernes et est calculée en utilisant la formule indiquée dans l</w:t>
      </w:r>
      <w:r w:rsidR="0022035A">
        <w:rPr>
          <w:lang w:val="fr-FR"/>
        </w:rPr>
        <w:t>’</w:t>
      </w:r>
      <w:r w:rsidRPr="00446B81">
        <w:rPr>
          <w:lang w:val="fr-FR"/>
        </w:rPr>
        <w:t>ADN. Toutefois, lorsque la pression interne est inconnue, la pression d</w:t>
      </w:r>
      <w:r w:rsidR="0022035A">
        <w:rPr>
          <w:lang w:val="fr-FR"/>
        </w:rPr>
        <w:t>’</w:t>
      </w:r>
      <w:r w:rsidRPr="00446B81">
        <w:rPr>
          <w:lang w:val="fr-FR"/>
        </w:rPr>
        <w:t>ouverture de la soupape de dégagement à grande vitesse est fixée à</w:t>
      </w:r>
      <w:r w:rsidR="002A461F">
        <w:rPr>
          <w:lang w:val="fr-FR"/>
        </w:rPr>
        <w:t> </w:t>
      </w:r>
      <w:r w:rsidRPr="00446B81">
        <w:rPr>
          <w:lang w:val="fr-FR"/>
        </w:rPr>
        <w:t>10, 35 ou 50</w:t>
      </w:r>
      <w:r w:rsidR="0022035A">
        <w:rPr>
          <w:lang w:val="fr-FR"/>
        </w:rPr>
        <w:t> </w:t>
      </w:r>
      <w:r w:rsidRPr="00446B81">
        <w:rPr>
          <w:lang w:val="fr-FR"/>
        </w:rPr>
        <w:t>kPa en fonction du point d</w:t>
      </w:r>
      <w:r w:rsidR="0022035A">
        <w:rPr>
          <w:lang w:val="fr-FR"/>
        </w:rPr>
        <w:t>’</w:t>
      </w:r>
      <w:r w:rsidRPr="00446B81">
        <w:rPr>
          <w:lang w:val="fr-FR"/>
        </w:rPr>
        <w:t>ébullition, comme indiqué dans le schéma A figurant dans la version actuelle de l</w:t>
      </w:r>
      <w:r w:rsidR="0022035A">
        <w:rPr>
          <w:lang w:val="fr-FR"/>
        </w:rPr>
        <w:t>’</w:t>
      </w:r>
      <w:r w:rsidRPr="00446B81">
        <w:rPr>
          <w:lang w:val="fr-FR"/>
        </w:rPr>
        <w:t>ADN (voir ci-dessous) ainsi que dans la proposition faite en vue d</w:t>
      </w:r>
      <w:r w:rsidR="0022035A">
        <w:rPr>
          <w:lang w:val="fr-FR"/>
        </w:rPr>
        <w:t>’</w:t>
      </w:r>
      <w:r w:rsidRPr="00446B81">
        <w:rPr>
          <w:lang w:val="fr-FR"/>
        </w:rPr>
        <w:t>améliorer la lisibilité de ce schéma (voir le document informel</w:t>
      </w:r>
      <w:r w:rsidR="002A461F">
        <w:rPr>
          <w:lang w:val="fr-FR"/>
        </w:rPr>
        <w:t> </w:t>
      </w:r>
      <w:r w:rsidRPr="00446B81">
        <w:rPr>
          <w:lang w:val="fr-FR"/>
        </w:rPr>
        <w:t>INF.10 de la trente-quatrième session).</w:t>
      </w:r>
    </w:p>
    <w:p w14:paraId="1F5EEBC3" w14:textId="77777777" w:rsidR="00446B81" w:rsidRPr="00446B81" w:rsidRDefault="00446B81" w:rsidP="0022035A">
      <w:pPr>
        <w:pStyle w:val="SingleTxtG"/>
        <w:ind w:firstLine="567"/>
        <w:rPr>
          <w:lang w:val="fr-FR"/>
        </w:rPr>
      </w:pPr>
      <w:r w:rsidRPr="00446B81">
        <w:rPr>
          <w:lang w:val="fr-FR"/>
        </w:rPr>
        <w:t xml:space="preserve">Dans le cas du </w:t>
      </w:r>
      <w:r w:rsidR="0022035A">
        <w:rPr>
          <w:lang w:val="fr-FR"/>
        </w:rPr>
        <w:t xml:space="preserve">numéro </w:t>
      </w:r>
      <w:r w:rsidRPr="00446B81">
        <w:rPr>
          <w:lang w:val="fr-FR"/>
        </w:rPr>
        <w:t>ONU</w:t>
      </w:r>
      <w:r w:rsidR="0022035A">
        <w:rPr>
          <w:lang w:val="fr-FR"/>
        </w:rPr>
        <w:t> </w:t>
      </w:r>
      <w:r w:rsidRPr="00446B81">
        <w:rPr>
          <w:lang w:val="fr-FR"/>
        </w:rPr>
        <w:t>2057 (tripropylène), pour les groupes d</w:t>
      </w:r>
      <w:r w:rsidR="0022035A">
        <w:rPr>
          <w:lang w:val="fr-FR"/>
        </w:rPr>
        <w:t>’</w:t>
      </w:r>
      <w:r w:rsidRPr="00446B81">
        <w:rPr>
          <w:lang w:val="fr-FR"/>
        </w:rPr>
        <w:t>emballage</w:t>
      </w:r>
      <w:r w:rsidR="0022035A">
        <w:rPr>
          <w:lang w:val="fr-FR"/>
        </w:rPr>
        <w:t> </w:t>
      </w:r>
      <w:r w:rsidRPr="00446B81">
        <w:rPr>
          <w:lang w:val="fr-FR"/>
        </w:rPr>
        <w:t>II et</w:t>
      </w:r>
      <w:r w:rsidR="0022035A">
        <w:rPr>
          <w:lang w:val="fr-FR"/>
        </w:rPr>
        <w:t> </w:t>
      </w:r>
      <w:r w:rsidRPr="00446B81">
        <w:rPr>
          <w:lang w:val="fr-FR"/>
        </w:rPr>
        <w:t>III, étant donné que le point d</w:t>
      </w:r>
      <w:r w:rsidR="0022035A">
        <w:rPr>
          <w:lang w:val="fr-FR"/>
        </w:rPr>
        <w:t>’</w:t>
      </w:r>
      <w:r w:rsidRPr="00446B81">
        <w:rPr>
          <w:lang w:val="fr-FR"/>
        </w:rPr>
        <w:t>ébullition est supérieur à 115</w:t>
      </w:r>
      <w:r w:rsidR="0022035A">
        <w:rPr>
          <w:lang w:val="fr-FR"/>
        </w:rPr>
        <w:t> </w:t>
      </w:r>
      <w:r w:rsidRPr="00446B81">
        <w:rPr>
          <w:lang w:val="fr-FR"/>
        </w:rPr>
        <w:t>ºC, la pression d</w:t>
      </w:r>
      <w:r w:rsidR="0022035A">
        <w:rPr>
          <w:lang w:val="fr-FR"/>
        </w:rPr>
        <w:t>’</w:t>
      </w:r>
      <w:r w:rsidRPr="00446B81">
        <w:rPr>
          <w:lang w:val="fr-FR"/>
        </w:rPr>
        <w:t xml:space="preserve">ouverture de la soupape de dégagement à grande vitesse doit être de </w:t>
      </w:r>
      <w:r w:rsidRPr="00446B81">
        <w:rPr>
          <w:b/>
          <w:bCs/>
          <w:lang w:val="fr-FR"/>
        </w:rPr>
        <w:t>35</w:t>
      </w:r>
      <w:r w:rsidR="0022035A">
        <w:rPr>
          <w:b/>
          <w:bCs/>
          <w:lang w:val="fr-FR"/>
        </w:rPr>
        <w:t> </w:t>
      </w:r>
      <w:r w:rsidRPr="00446B81">
        <w:rPr>
          <w:b/>
          <w:bCs/>
          <w:lang w:val="fr-FR"/>
        </w:rPr>
        <w:t>kPa</w:t>
      </w:r>
      <w:r w:rsidRPr="00446B81">
        <w:rPr>
          <w:lang w:val="fr-FR"/>
        </w:rPr>
        <w:t xml:space="preserve"> lorsque la pression interne de la citerne à cargaison est inconnue.</w:t>
      </w:r>
    </w:p>
    <w:p w14:paraId="17874A1F" w14:textId="77777777" w:rsidR="00446B81" w:rsidRPr="0022035A" w:rsidRDefault="00446B81" w:rsidP="0022035A">
      <w:pPr>
        <w:pStyle w:val="Heading1"/>
        <w:spacing w:after="120"/>
        <w:rPr>
          <w:b/>
        </w:rPr>
      </w:pPr>
      <w:r w:rsidRPr="00446B81">
        <w:rPr>
          <w:lang w:val="fr-FR"/>
        </w:rPr>
        <w:t>Schéma</w:t>
      </w:r>
      <w:r w:rsidR="0022035A">
        <w:rPr>
          <w:lang w:val="fr-FR"/>
        </w:rPr>
        <w:t> </w:t>
      </w:r>
      <w:r w:rsidRPr="00446B81">
        <w:rPr>
          <w:lang w:val="fr-FR"/>
        </w:rPr>
        <w:t>A </w:t>
      </w:r>
      <w:r w:rsidR="0022035A">
        <w:rPr>
          <w:lang w:val="fr-FR"/>
        </w:rPr>
        <w:br/>
      </w:r>
      <w:r w:rsidRPr="0022035A">
        <w:rPr>
          <w:b/>
          <w:lang w:val="fr-FR"/>
        </w:rPr>
        <w:t>Critères pour l</w:t>
      </w:r>
      <w:r w:rsidR="0022035A">
        <w:rPr>
          <w:b/>
          <w:lang w:val="fr-FR"/>
        </w:rPr>
        <w:t>’</w:t>
      </w:r>
      <w:r w:rsidRPr="0022035A">
        <w:rPr>
          <w:b/>
          <w:lang w:val="fr-FR"/>
        </w:rPr>
        <w:t>équipement des citernes à cargaison des bateaux du type</w:t>
      </w:r>
      <w:r w:rsidR="0022035A">
        <w:rPr>
          <w:b/>
          <w:lang w:val="fr-FR"/>
        </w:rPr>
        <w:t> </w:t>
      </w:r>
      <w:r w:rsidRPr="0022035A">
        <w:rPr>
          <w:b/>
          <w:lang w:val="fr-FR"/>
        </w:rPr>
        <w:t>C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151"/>
        <w:gridCol w:w="2269"/>
        <w:gridCol w:w="1806"/>
      </w:tblGrid>
      <w:tr w:rsidR="0022035A" w:rsidRPr="0022035A" w14:paraId="3C95FC7E" w14:textId="77777777" w:rsidTr="0022035A">
        <w:trPr>
          <w:tblHeader/>
        </w:trPr>
        <w:tc>
          <w:tcPr>
            <w:tcW w:w="1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33362B" w14:textId="77777777" w:rsidR="00446B81" w:rsidRPr="0022035A" w:rsidRDefault="00446B81" w:rsidP="0022035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035A">
              <w:rPr>
                <w:i/>
                <w:sz w:val="16"/>
                <w:lang w:val="fr-FR"/>
              </w:rPr>
              <w:t>Équipement de la citerne à</w:t>
            </w:r>
            <w:r w:rsidR="0022035A">
              <w:rPr>
                <w:i/>
                <w:sz w:val="16"/>
                <w:lang w:val="fr-FR"/>
              </w:rPr>
              <w:t> </w:t>
            </w:r>
            <w:r w:rsidRPr="0022035A">
              <w:rPr>
                <w:i/>
                <w:sz w:val="16"/>
                <w:lang w:val="fr-FR"/>
              </w:rPr>
              <w:t>cargaison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3B1DE39" w14:textId="77777777" w:rsidR="00446B81" w:rsidRPr="0022035A" w:rsidRDefault="00446B81" w:rsidP="0022035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035A">
              <w:rPr>
                <w:i/>
                <w:sz w:val="16"/>
                <w:lang w:val="fr-FR"/>
              </w:rPr>
              <w:t xml:space="preserve">Pression interne maximale à une température du liquide </w:t>
            </w:r>
            <w:r w:rsidR="0022035A">
              <w:rPr>
                <w:i/>
                <w:sz w:val="16"/>
                <w:lang w:val="fr-FR"/>
              </w:rPr>
              <w:br/>
            </w:r>
            <w:r w:rsidRPr="0022035A">
              <w:rPr>
                <w:i/>
                <w:sz w:val="16"/>
                <w:lang w:val="fr-FR"/>
              </w:rPr>
              <w:t xml:space="preserve">de 30 °C et une température </w:t>
            </w:r>
            <w:r w:rsidR="0022035A">
              <w:rPr>
                <w:i/>
                <w:sz w:val="16"/>
                <w:lang w:val="fr-FR"/>
              </w:rPr>
              <w:br/>
            </w:r>
            <w:r w:rsidRPr="0022035A">
              <w:rPr>
                <w:i/>
                <w:sz w:val="16"/>
                <w:lang w:val="fr-FR"/>
              </w:rPr>
              <w:t xml:space="preserve">de la phase gazeuse </w:t>
            </w:r>
            <w:r w:rsidR="0022035A">
              <w:rPr>
                <w:i/>
                <w:sz w:val="16"/>
                <w:lang w:val="fr-FR"/>
              </w:rPr>
              <w:br/>
            </w:r>
            <w:r w:rsidRPr="0022035A">
              <w:rPr>
                <w:i/>
                <w:sz w:val="16"/>
                <w:lang w:val="fr-FR"/>
              </w:rPr>
              <w:t>de 37,8</w:t>
            </w:r>
            <w:r w:rsidR="0022035A">
              <w:rPr>
                <w:i/>
                <w:sz w:val="16"/>
                <w:lang w:val="fr-FR"/>
              </w:rPr>
              <w:t> </w:t>
            </w:r>
            <w:r w:rsidRPr="0022035A">
              <w:rPr>
                <w:i/>
                <w:sz w:val="16"/>
                <w:lang w:val="fr-FR"/>
              </w:rPr>
              <w:t>°C &gt; 50</w:t>
            </w:r>
            <w:r w:rsidR="0022035A">
              <w:rPr>
                <w:i/>
                <w:sz w:val="16"/>
                <w:lang w:val="fr-FR"/>
              </w:rPr>
              <w:t> </w:t>
            </w:r>
            <w:r w:rsidRPr="0022035A">
              <w:rPr>
                <w:i/>
                <w:sz w:val="16"/>
                <w:lang w:val="fr-FR"/>
              </w:rPr>
              <w:t>kPa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9A6F8F1" w14:textId="77777777" w:rsidR="00446B81" w:rsidRPr="0022035A" w:rsidRDefault="00446B81" w:rsidP="0022035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035A">
              <w:rPr>
                <w:i/>
                <w:sz w:val="16"/>
                <w:lang w:val="fr-FR"/>
              </w:rPr>
              <w:t>Pression interne maximale à une température du liquide de 30</w:t>
            </w:r>
            <w:r w:rsidR="0022035A">
              <w:rPr>
                <w:i/>
                <w:sz w:val="16"/>
                <w:lang w:val="fr-FR"/>
              </w:rPr>
              <w:t> </w:t>
            </w:r>
            <w:r w:rsidRPr="0022035A">
              <w:rPr>
                <w:i/>
                <w:sz w:val="16"/>
                <w:lang w:val="fr-FR"/>
              </w:rPr>
              <w:t>°C et une température de la phase gazeuse de 37,8</w:t>
            </w:r>
            <w:r w:rsidR="0022035A">
              <w:rPr>
                <w:i/>
                <w:sz w:val="16"/>
                <w:lang w:val="fr-FR"/>
              </w:rPr>
              <w:t> </w:t>
            </w:r>
            <w:r w:rsidRPr="0022035A">
              <w:rPr>
                <w:i/>
                <w:sz w:val="16"/>
                <w:lang w:val="fr-FR"/>
              </w:rPr>
              <w:t>°C &gt; 50</w:t>
            </w:r>
            <w:r w:rsidR="0022035A">
              <w:rPr>
                <w:i/>
                <w:sz w:val="16"/>
                <w:lang w:val="fr-FR"/>
              </w:rPr>
              <w:t> </w:t>
            </w:r>
            <w:r w:rsidRPr="0022035A">
              <w:rPr>
                <w:i/>
                <w:sz w:val="16"/>
                <w:lang w:val="fr-FR"/>
              </w:rPr>
              <w:t>kPa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5A8ECED" w14:textId="77777777" w:rsidR="00446B81" w:rsidRPr="0022035A" w:rsidRDefault="00446B81" w:rsidP="0022035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035A">
              <w:rPr>
                <w:i/>
                <w:sz w:val="16"/>
                <w:lang w:val="fr-FR"/>
              </w:rPr>
              <w:t>Pression interne maximale non connue parce que certaines données font défaut</w:t>
            </w:r>
          </w:p>
        </w:tc>
      </w:tr>
      <w:tr w:rsidR="0022035A" w:rsidRPr="0022035A" w14:paraId="1B8461D6" w14:textId="77777777" w:rsidTr="0022035A">
        <w:trPr>
          <w:trHeight w:hRule="exact" w:val="113"/>
          <w:tblHeader/>
        </w:trPr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</w:tcPr>
          <w:p w14:paraId="610430AF" w14:textId="77777777" w:rsidR="0022035A" w:rsidRPr="0022035A" w:rsidRDefault="0022035A" w:rsidP="0022035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</w:tcPr>
          <w:p w14:paraId="78CC8B47" w14:textId="77777777" w:rsidR="0022035A" w:rsidRPr="0022035A" w:rsidRDefault="0022035A" w:rsidP="0022035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</w:tcPr>
          <w:p w14:paraId="5A081D99" w14:textId="77777777" w:rsidR="0022035A" w:rsidRPr="0022035A" w:rsidRDefault="0022035A" w:rsidP="0022035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</w:tcPr>
          <w:p w14:paraId="04646BB3" w14:textId="77777777" w:rsidR="0022035A" w:rsidRPr="0022035A" w:rsidRDefault="0022035A" w:rsidP="0022035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446B81" w:rsidRPr="0022035A" w14:paraId="7493DB03" w14:textId="77777777" w:rsidTr="0022035A">
        <w:tc>
          <w:tcPr>
            <w:tcW w:w="1975" w:type="dxa"/>
            <w:shd w:val="clear" w:color="auto" w:fill="auto"/>
            <w:hideMark/>
          </w:tcPr>
          <w:p w14:paraId="40A9FDDF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 xml:space="preserve">Avec réfrigération </w:t>
            </w:r>
            <w:r w:rsidR="0022035A">
              <w:rPr>
                <w:lang w:val="fr-FR"/>
              </w:rPr>
              <w:br/>
            </w:r>
            <w:r w:rsidRPr="0022035A">
              <w:rPr>
                <w:lang w:val="fr-FR"/>
              </w:rPr>
              <w:t>(chiffre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1 à la colonne</w:t>
            </w:r>
            <w:r w:rsidR="002A461F">
              <w:rPr>
                <w:lang w:val="fr-FR"/>
              </w:rPr>
              <w:t> </w:t>
            </w:r>
            <w:r w:rsidRPr="0022035A">
              <w:rPr>
                <w:lang w:val="fr-FR"/>
              </w:rPr>
              <w:t>(9))</w:t>
            </w:r>
          </w:p>
        </w:tc>
        <w:tc>
          <w:tcPr>
            <w:tcW w:w="1864" w:type="dxa"/>
            <w:shd w:val="clear" w:color="auto" w:fill="auto"/>
            <w:hideMark/>
          </w:tcPr>
          <w:p w14:paraId="547D3784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Réfrigéré</w:t>
            </w:r>
          </w:p>
        </w:tc>
        <w:tc>
          <w:tcPr>
            <w:tcW w:w="1966" w:type="dxa"/>
            <w:shd w:val="clear" w:color="auto" w:fill="auto"/>
          </w:tcPr>
          <w:p w14:paraId="62C7A52F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  <w:tc>
          <w:tcPr>
            <w:tcW w:w="1565" w:type="dxa"/>
            <w:shd w:val="clear" w:color="auto" w:fill="auto"/>
          </w:tcPr>
          <w:p w14:paraId="2018DAF0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</w:tr>
      <w:tr w:rsidR="00446B81" w:rsidRPr="0022035A" w14:paraId="4D0E6D73" w14:textId="77777777" w:rsidTr="0022035A">
        <w:tc>
          <w:tcPr>
            <w:tcW w:w="1975" w:type="dxa"/>
            <w:shd w:val="clear" w:color="auto" w:fill="auto"/>
            <w:hideMark/>
          </w:tcPr>
          <w:p w14:paraId="6745FA46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 xml:space="preserve">Citerne à pression </w:t>
            </w:r>
            <w:r w:rsidR="0022035A">
              <w:rPr>
                <w:lang w:val="fr-FR"/>
              </w:rPr>
              <w:br/>
            </w:r>
            <w:r w:rsidRPr="0022035A">
              <w:rPr>
                <w:lang w:val="fr-FR"/>
              </w:rPr>
              <w:t>(400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kPa)</w:t>
            </w:r>
          </w:p>
        </w:tc>
        <w:tc>
          <w:tcPr>
            <w:tcW w:w="1864" w:type="dxa"/>
            <w:shd w:val="clear" w:color="auto" w:fill="auto"/>
            <w:hideMark/>
          </w:tcPr>
          <w:p w14:paraId="029F36C3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Non réfrigéré</w:t>
            </w:r>
          </w:p>
        </w:tc>
        <w:tc>
          <w:tcPr>
            <w:tcW w:w="1966" w:type="dxa"/>
            <w:shd w:val="clear" w:color="auto" w:fill="auto"/>
            <w:hideMark/>
          </w:tcPr>
          <w:p w14:paraId="31047676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Pression interne maximale à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 &gt;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kPa, sans pulvérisation</w:t>
            </w:r>
          </w:p>
        </w:tc>
        <w:tc>
          <w:tcPr>
            <w:tcW w:w="1565" w:type="dxa"/>
            <w:shd w:val="clear" w:color="auto" w:fill="auto"/>
            <w:hideMark/>
          </w:tcPr>
          <w:p w14:paraId="13415960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Point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ébullition ≤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60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</w:t>
            </w:r>
          </w:p>
        </w:tc>
      </w:tr>
      <w:tr w:rsidR="00446B81" w:rsidRPr="0022035A" w14:paraId="06E6C0B6" w14:textId="77777777" w:rsidTr="0022035A">
        <w:tc>
          <w:tcPr>
            <w:tcW w:w="1975" w:type="dxa"/>
            <w:shd w:val="clear" w:color="auto" w:fill="auto"/>
            <w:hideMark/>
          </w:tcPr>
          <w:p w14:paraId="3D89A9BF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Pression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ouverture de la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soupape de dégagement à grande vitesse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: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kPa, avec installation de pulvérisation (chiffre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3 à</w:t>
            </w:r>
            <w:r w:rsidR="002A461F">
              <w:rPr>
                <w:lang w:val="fr-FR"/>
              </w:rPr>
              <w:t> </w:t>
            </w:r>
            <w:r w:rsidRPr="0022035A">
              <w:rPr>
                <w:lang w:val="fr-FR"/>
              </w:rPr>
              <w:t>la colonne (9))</w:t>
            </w:r>
          </w:p>
        </w:tc>
        <w:tc>
          <w:tcPr>
            <w:tcW w:w="1864" w:type="dxa"/>
            <w:shd w:val="clear" w:color="auto" w:fill="auto"/>
          </w:tcPr>
          <w:p w14:paraId="6541DD79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  <w:tc>
          <w:tcPr>
            <w:tcW w:w="1966" w:type="dxa"/>
            <w:shd w:val="clear" w:color="auto" w:fill="auto"/>
            <w:hideMark/>
          </w:tcPr>
          <w:p w14:paraId="2ADA6A09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Pression interne maximale à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 &gt;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kPa, avec pulvérisation</w:t>
            </w:r>
          </w:p>
        </w:tc>
        <w:tc>
          <w:tcPr>
            <w:tcW w:w="1565" w:type="dxa"/>
            <w:shd w:val="clear" w:color="auto" w:fill="auto"/>
            <w:hideMark/>
          </w:tcPr>
          <w:p w14:paraId="1822B782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60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 &lt;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point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ébullition ≤</w:t>
            </w:r>
            <w:r w:rsidR="002A461F">
              <w:rPr>
                <w:lang w:val="fr-FR"/>
              </w:rPr>
              <w:t> </w:t>
            </w:r>
            <w:r w:rsidRPr="0022035A">
              <w:rPr>
                <w:lang w:val="fr-FR"/>
              </w:rPr>
              <w:t>85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</w:t>
            </w:r>
          </w:p>
        </w:tc>
      </w:tr>
      <w:tr w:rsidR="00446B81" w:rsidRPr="0022035A" w14:paraId="04845CDF" w14:textId="77777777" w:rsidTr="0022035A">
        <w:tc>
          <w:tcPr>
            <w:tcW w:w="1975" w:type="dxa"/>
            <w:shd w:val="clear" w:color="auto" w:fill="auto"/>
            <w:hideMark/>
          </w:tcPr>
          <w:p w14:paraId="5D7BA85C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Pression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ouverture de</w:t>
            </w:r>
            <w:r w:rsidR="002A461F">
              <w:rPr>
                <w:lang w:val="fr-FR"/>
              </w:rPr>
              <w:t> </w:t>
            </w:r>
            <w:r w:rsidRPr="0022035A">
              <w:rPr>
                <w:lang w:val="fr-FR"/>
              </w:rPr>
              <w:t>la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soupape de dégagement à grande vitesse selon calculs, mais</w:t>
            </w:r>
            <w:r w:rsidR="002A461F">
              <w:rPr>
                <w:lang w:val="fr-FR"/>
              </w:rPr>
              <w:t> </w:t>
            </w:r>
            <w:r w:rsidRPr="0022035A">
              <w:rPr>
                <w:lang w:val="fr-FR"/>
              </w:rPr>
              <w:t>au moins 10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</w:t>
            </w:r>
          </w:p>
        </w:tc>
        <w:tc>
          <w:tcPr>
            <w:tcW w:w="1864" w:type="dxa"/>
            <w:shd w:val="clear" w:color="auto" w:fill="auto"/>
          </w:tcPr>
          <w:p w14:paraId="6BF6ABA2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  <w:tc>
          <w:tcPr>
            <w:tcW w:w="1966" w:type="dxa"/>
            <w:shd w:val="clear" w:color="auto" w:fill="auto"/>
            <w:hideMark/>
          </w:tcPr>
          <w:p w14:paraId="71235A5D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Pression interne maximale à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 ≤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</w:t>
            </w:r>
          </w:p>
        </w:tc>
        <w:tc>
          <w:tcPr>
            <w:tcW w:w="1565" w:type="dxa"/>
            <w:shd w:val="clear" w:color="auto" w:fill="auto"/>
          </w:tcPr>
          <w:p w14:paraId="744E8D01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</w:tr>
      <w:tr w:rsidR="00446B81" w:rsidRPr="0022035A" w14:paraId="5FE458FA" w14:textId="77777777" w:rsidTr="0022035A">
        <w:tc>
          <w:tcPr>
            <w:tcW w:w="1975" w:type="dxa"/>
            <w:shd w:val="clear" w:color="auto" w:fill="auto"/>
            <w:hideMark/>
          </w:tcPr>
          <w:p w14:paraId="64EB9414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Pression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ouverture de la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soupape de dégagement à grande vitesse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: 50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</w:t>
            </w:r>
          </w:p>
        </w:tc>
        <w:tc>
          <w:tcPr>
            <w:tcW w:w="1864" w:type="dxa"/>
            <w:shd w:val="clear" w:color="auto" w:fill="auto"/>
          </w:tcPr>
          <w:p w14:paraId="3C9C9E87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  <w:tc>
          <w:tcPr>
            <w:tcW w:w="1966" w:type="dxa"/>
            <w:shd w:val="clear" w:color="auto" w:fill="auto"/>
          </w:tcPr>
          <w:p w14:paraId="5F7A8406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  <w:tc>
          <w:tcPr>
            <w:tcW w:w="1565" w:type="dxa"/>
            <w:shd w:val="clear" w:color="auto" w:fill="auto"/>
            <w:hideMark/>
          </w:tcPr>
          <w:p w14:paraId="7A27B1FE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85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 &lt;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point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ébullition ≤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115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°C</w:t>
            </w:r>
          </w:p>
        </w:tc>
      </w:tr>
      <w:tr w:rsidR="00446B81" w:rsidRPr="0022035A" w14:paraId="6A014B6F" w14:textId="77777777" w:rsidTr="0022035A">
        <w:tc>
          <w:tcPr>
            <w:tcW w:w="197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6366AD3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lastRenderedPageBreak/>
              <w:t>Pression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ouverture de la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soupape de dégagement à grande vitesse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: 35</w:t>
            </w:r>
            <w:r w:rsidR="0022035A">
              <w:rPr>
                <w:lang w:val="fr-FR"/>
              </w:rPr>
              <w:t> </w:t>
            </w:r>
            <w:r w:rsidRPr="0022035A">
              <w:rPr>
                <w:lang w:val="fr-FR"/>
              </w:rPr>
              <w:t>kPa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</w:tcPr>
          <w:p w14:paraId="00AD1219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</w:tcPr>
          <w:p w14:paraId="0A9BFCB6" w14:textId="77777777" w:rsidR="00446B81" w:rsidRPr="0022035A" w:rsidRDefault="00446B81" w:rsidP="0015145E">
            <w:pPr>
              <w:spacing w:before="40" w:after="120"/>
              <w:ind w:right="113"/>
            </w:pPr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3A8B5E" w14:textId="77777777" w:rsidR="00446B81" w:rsidRPr="0022035A" w:rsidRDefault="00446B81" w:rsidP="0015145E">
            <w:pPr>
              <w:spacing w:before="40" w:after="120"/>
              <w:ind w:right="113"/>
            </w:pPr>
            <w:r w:rsidRPr="0022035A">
              <w:rPr>
                <w:lang w:val="fr-FR"/>
              </w:rPr>
              <w:t>Point d</w:t>
            </w:r>
            <w:r w:rsidR="0022035A">
              <w:rPr>
                <w:lang w:val="fr-FR"/>
              </w:rPr>
              <w:t>’</w:t>
            </w:r>
            <w:r w:rsidRPr="0022035A">
              <w:rPr>
                <w:lang w:val="fr-FR"/>
              </w:rPr>
              <w:t>ébullition</w:t>
            </w:r>
            <w:r w:rsidR="0022035A">
              <w:rPr>
                <w:lang w:val="fr-FR"/>
              </w:rPr>
              <w:br/>
            </w:r>
            <w:r w:rsidRPr="0022035A">
              <w:rPr>
                <w:lang w:val="fr-FR"/>
              </w:rPr>
              <w:t> &gt; 115 °C</w:t>
            </w:r>
          </w:p>
        </w:tc>
      </w:tr>
    </w:tbl>
    <w:p w14:paraId="4EB7BEF2" w14:textId="77777777" w:rsidR="00446B81" w:rsidRPr="00446B81" w:rsidRDefault="0022035A" w:rsidP="0015145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446B81" w:rsidRPr="00446B81">
        <w:rPr>
          <w:lang w:val="fr-FR"/>
        </w:rPr>
        <w:t>Proposition d</w:t>
      </w:r>
      <w:r>
        <w:rPr>
          <w:lang w:val="fr-FR"/>
        </w:rPr>
        <w:t>’</w:t>
      </w:r>
      <w:r w:rsidR="00446B81" w:rsidRPr="00446B81">
        <w:rPr>
          <w:lang w:val="fr-FR"/>
        </w:rPr>
        <w:t>amendement</w:t>
      </w:r>
    </w:p>
    <w:p w14:paraId="7A25355C" w14:textId="77777777" w:rsidR="00446B81" w:rsidRPr="00446B81" w:rsidRDefault="00446B81" w:rsidP="0022035A">
      <w:pPr>
        <w:pStyle w:val="SingleTxtG"/>
        <w:ind w:firstLine="567"/>
      </w:pPr>
      <w:r w:rsidRPr="00446B81">
        <w:rPr>
          <w:lang w:val="fr-FR"/>
        </w:rPr>
        <w:t>Il conviendrait d</w:t>
      </w:r>
      <w:r w:rsidR="0022035A">
        <w:rPr>
          <w:lang w:val="fr-FR"/>
        </w:rPr>
        <w:t>’</w:t>
      </w:r>
      <w:r w:rsidRPr="00446B81">
        <w:rPr>
          <w:lang w:val="fr-FR"/>
        </w:rPr>
        <w:t>apporter la modification suivante au tableau</w:t>
      </w:r>
      <w:r w:rsidR="0022035A">
        <w:rPr>
          <w:lang w:val="fr-FR"/>
        </w:rPr>
        <w:t> </w:t>
      </w:r>
      <w:r w:rsidRPr="00446B81">
        <w:rPr>
          <w:lang w:val="fr-FR"/>
        </w:rPr>
        <w:t>C</w:t>
      </w:r>
      <w:r w:rsidR="0022035A">
        <w:rPr>
          <w:lang w:val="fr-FR"/>
        </w:rPr>
        <w:t> </w:t>
      </w:r>
      <w:r w:rsidRPr="00446B81">
        <w:rPr>
          <w:lang w:val="fr-FR"/>
        </w:rPr>
        <w:t>:</w:t>
      </w:r>
    </w:p>
    <w:p w14:paraId="007CF666" w14:textId="77777777" w:rsidR="00446B81" w:rsidRPr="00446B81" w:rsidRDefault="00446B81" w:rsidP="00446B81">
      <w:pPr>
        <w:pStyle w:val="SingleTxtG"/>
      </w:pPr>
      <w:r w:rsidRPr="00446B81">
        <w:rPr>
          <w:lang w:val="fr-FR"/>
        </w:rPr>
        <w:t xml:space="preserve">Pour le </w:t>
      </w:r>
      <w:r w:rsidR="0022035A">
        <w:rPr>
          <w:lang w:val="fr-FR"/>
        </w:rPr>
        <w:t xml:space="preserve">numéro </w:t>
      </w:r>
      <w:r w:rsidRPr="00446B81">
        <w:rPr>
          <w:lang w:val="fr-FR"/>
        </w:rPr>
        <w:t>ONU</w:t>
      </w:r>
      <w:r w:rsidR="0022035A">
        <w:rPr>
          <w:lang w:val="fr-FR"/>
        </w:rPr>
        <w:t> </w:t>
      </w:r>
      <w:r w:rsidRPr="00446B81">
        <w:rPr>
          <w:lang w:val="fr-FR"/>
        </w:rPr>
        <w:t>2057, groupes d</w:t>
      </w:r>
      <w:r w:rsidR="0022035A">
        <w:rPr>
          <w:lang w:val="fr-FR"/>
        </w:rPr>
        <w:t>’</w:t>
      </w:r>
      <w:r w:rsidRPr="00446B81">
        <w:rPr>
          <w:lang w:val="fr-FR"/>
        </w:rPr>
        <w:t>emballage</w:t>
      </w:r>
      <w:r w:rsidR="0022035A">
        <w:rPr>
          <w:lang w:val="fr-FR"/>
        </w:rPr>
        <w:t> </w:t>
      </w:r>
      <w:r w:rsidRPr="00446B81">
        <w:rPr>
          <w:lang w:val="fr-FR"/>
        </w:rPr>
        <w:t>II et</w:t>
      </w:r>
      <w:r w:rsidR="0022035A">
        <w:rPr>
          <w:lang w:val="fr-FR"/>
        </w:rPr>
        <w:t> </w:t>
      </w:r>
      <w:r w:rsidRPr="00446B81">
        <w:rPr>
          <w:lang w:val="fr-FR"/>
        </w:rPr>
        <w:t>III, modifier la colonne (10) pour lire «</w:t>
      </w:r>
      <w:r w:rsidR="0022035A">
        <w:rPr>
          <w:lang w:val="fr-FR"/>
        </w:rPr>
        <w:t> </w:t>
      </w:r>
      <w:r w:rsidRPr="00446B81">
        <w:rPr>
          <w:lang w:val="fr-FR"/>
        </w:rPr>
        <w:t>35</w:t>
      </w:r>
      <w:r w:rsidR="0022035A">
        <w:rPr>
          <w:lang w:val="fr-FR"/>
        </w:rPr>
        <w:t> </w:t>
      </w:r>
      <w:r w:rsidRPr="00446B81">
        <w:rPr>
          <w:lang w:val="fr-FR"/>
        </w:rPr>
        <w:t>» et la colonne (11) pour lire «</w:t>
      </w:r>
      <w:r w:rsidR="0022035A">
        <w:rPr>
          <w:lang w:val="fr-FR"/>
        </w:rPr>
        <w:t> </w:t>
      </w:r>
      <w:r w:rsidRPr="00446B81">
        <w:rPr>
          <w:lang w:val="fr-FR"/>
        </w:rPr>
        <w:t>95</w:t>
      </w:r>
      <w:r w:rsidR="0022035A">
        <w:rPr>
          <w:lang w:val="fr-FR"/>
        </w:rPr>
        <w:t> </w:t>
      </w:r>
      <w:r w:rsidRPr="00446B81">
        <w:rPr>
          <w:lang w:val="fr-FR"/>
        </w:rPr>
        <w:t>».</w:t>
      </w:r>
    </w:p>
    <w:p w14:paraId="550550CA" w14:textId="77777777" w:rsidR="00F9573C" w:rsidRPr="0022035A" w:rsidRDefault="0022035A" w:rsidP="0022035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2035A" w:rsidSect="000C41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AEB2" w14:textId="77777777" w:rsidR="00FC6493" w:rsidRDefault="00FC6493" w:rsidP="00F95C08">
      <w:pPr>
        <w:spacing w:line="240" w:lineRule="auto"/>
      </w:pPr>
    </w:p>
  </w:endnote>
  <w:endnote w:type="continuationSeparator" w:id="0">
    <w:p w14:paraId="27BA9CF5" w14:textId="77777777" w:rsidR="00FC6493" w:rsidRPr="00AC3823" w:rsidRDefault="00FC6493" w:rsidP="00AC3823">
      <w:pPr>
        <w:pStyle w:val="Footer"/>
      </w:pPr>
    </w:p>
  </w:endnote>
  <w:endnote w:type="continuationNotice" w:id="1">
    <w:p w14:paraId="2DC6EF9D" w14:textId="77777777" w:rsidR="00FC6493" w:rsidRDefault="00FC64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659F" w14:textId="77777777" w:rsidR="000C419B" w:rsidRPr="000C419B" w:rsidRDefault="000C419B" w:rsidP="000C419B">
    <w:pPr>
      <w:pStyle w:val="Footer"/>
      <w:tabs>
        <w:tab w:val="right" w:pos="9638"/>
      </w:tabs>
    </w:pPr>
    <w:r w:rsidRPr="000C419B">
      <w:rPr>
        <w:b/>
        <w:sz w:val="18"/>
      </w:rPr>
      <w:fldChar w:fldCharType="begin"/>
    </w:r>
    <w:r w:rsidRPr="000C419B">
      <w:rPr>
        <w:b/>
        <w:sz w:val="18"/>
      </w:rPr>
      <w:instrText xml:space="preserve"> PAGE  \* MERGEFORMAT </w:instrText>
    </w:r>
    <w:r w:rsidRPr="000C419B">
      <w:rPr>
        <w:b/>
        <w:sz w:val="18"/>
      </w:rPr>
      <w:fldChar w:fldCharType="separate"/>
    </w:r>
    <w:r w:rsidRPr="000C419B">
      <w:rPr>
        <w:b/>
        <w:noProof/>
        <w:sz w:val="18"/>
      </w:rPr>
      <w:t>2</w:t>
    </w:r>
    <w:r w:rsidRPr="000C419B">
      <w:rPr>
        <w:b/>
        <w:sz w:val="18"/>
      </w:rPr>
      <w:fldChar w:fldCharType="end"/>
    </w:r>
    <w:r>
      <w:rPr>
        <w:b/>
        <w:sz w:val="18"/>
      </w:rPr>
      <w:tab/>
    </w:r>
    <w:r>
      <w:t>GE.19-09251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1C2C" w14:textId="77777777" w:rsidR="000C419B" w:rsidRPr="000C419B" w:rsidRDefault="000C419B" w:rsidP="000C419B">
    <w:pPr>
      <w:pStyle w:val="Footer"/>
      <w:tabs>
        <w:tab w:val="right" w:pos="9638"/>
      </w:tabs>
      <w:rPr>
        <w:b/>
        <w:sz w:val="18"/>
      </w:rPr>
    </w:pPr>
    <w:r>
      <w:t>GE.19-09251</w:t>
    </w:r>
    <w:r>
      <w:tab/>
    </w:r>
    <w:r w:rsidRPr="000C419B">
      <w:rPr>
        <w:b/>
        <w:sz w:val="18"/>
      </w:rPr>
      <w:fldChar w:fldCharType="begin"/>
    </w:r>
    <w:r w:rsidRPr="000C419B">
      <w:rPr>
        <w:b/>
        <w:sz w:val="18"/>
      </w:rPr>
      <w:instrText xml:space="preserve"> PAGE  \* MERGEFORMAT </w:instrText>
    </w:r>
    <w:r w:rsidRPr="000C419B">
      <w:rPr>
        <w:b/>
        <w:sz w:val="18"/>
      </w:rPr>
      <w:fldChar w:fldCharType="separate"/>
    </w:r>
    <w:r w:rsidRPr="000C419B">
      <w:rPr>
        <w:b/>
        <w:noProof/>
        <w:sz w:val="18"/>
      </w:rPr>
      <w:t>3</w:t>
    </w:r>
    <w:r w:rsidRPr="000C41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4AA7" w14:textId="77777777" w:rsidR="007F20FA" w:rsidRPr="000C419B" w:rsidRDefault="000C419B" w:rsidP="000C419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EAD5183" wp14:editId="5A1CFF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09251  (</w:t>
    </w:r>
    <w:proofErr w:type="gramEnd"/>
    <w:r>
      <w:rPr>
        <w:sz w:val="20"/>
      </w:rPr>
      <w:t>F)</w:t>
    </w:r>
    <w:r w:rsidR="00446B81">
      <w:rPr>
        <w:sz w:val="20"/>
      </w:rPr>
      <w:t xml:space="preserve">    200619    250619</w:t>
    </w:r>
    <w:r>
      <w:rPr>
        <w:sz w:val="20"/>
      </w:rPr>
      <w:br/>
    </w:r>
    <w:r w:rsidRPr="000C419B">
      <w:rPr>
        <w:rFonts w:ascii="C39T30Lfz" w:hAnsi="C39T30Lfz"/>
        <w:sz w:val="56"/>
      </w:rPr>
      <w:t></w:t>
    </w:r>
    <w:r w:rsidRPr="000C419B">
      <w:rPr>
        <w:rFonts w:ascii="C39T30Lfz" w:hAnsi="C39T30Lfz"/>
        <w:sz w:val="56"/>
      </w:rPr>
      <w:t></w:t>
    </w:r>
    <w:r w:rsidRPr="000C419B">
      <w:rPr>
        <w:rFonts w:ascii="C39T30Lfz" w:hAnsi="C39T30Lfz"/>
        <w:sz w:val="56"/>
      </w:rPr>
      <w:t></w:t>
    </w:r>
    <w:r w:rsidRPr="000C419B">
      <w:rPr>
        <w:rFonts w:ascii="C39T30Lfz" w:hAnsi="C39T30Lfz"/>
        <w:sz w:val="56"/>
      </w:rPr>
      <w:t></w:t>
    </w:r>
    <w:r w:rsidRPr="000C419B">
      <w:rPr>
        <w:rFonts w:ascii="C39T30Lfz" w:hAnsi="C39T30Lfz"/>
        <w:sz w:val="56"/>
      </w:rPr>
      <w:t></w:t>
    </w:r>
    <w:r w:rsidRPr="000C419B">
      <w:rPr>
        <w:rFonts w:ascii="C39T30Lfz" w:hAnsi="C39T30Lfz"/>
        <w:sz w:val="56"/>
      </w:rPr>
      <w:t></w:t>
    </w:r>
    <w:r w:rsidRPr="000C419B">
      <w:rPr>
        <w:rFonts w:ascii="C39T30Lfz" w:hAnsi="C39T30Lfz"/>
        <w:sz w:val="56"/>
      </w:rPr>
      <w:t></w:t>
    </w:r>
    <w:r w:rsidRPr="000C419B">
      <w:rPr>
        <w:rFonts w:ascii="C39T30Lfz" w:hAnsi="C39T30Lfz"/>
        <w:sz w:val="56"/>
      </w:rPr>
      <w:t></w:t>
    </w:r>
    <w:r w:rsidRPr="000C419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5914D28" wp14:editId="5249B90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521D" w14:textId="77777777" w:rsidR="00FC6493" w:rsidRPr="00AC3823" w:rsidRDefault="00FC64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EA9A19" w14:textId="77777777" w:rsidR="00FC6493" w:rsidRPr="00AC3823" w:rsidRDefault="00FC64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31FB5B" w14:textId="77777777" w:rsidR="00FC6493" w:rsidRPr="00AC3823" w:rsidRDefault="00FC6493">
      <w:pPr>
        <w:spacing w:line="240" w:lineRule="auto"/>
        <w:rPr>
          <w:sz w:val="2"/>
          <w:szCs w:val="2"/>
        </w:rPr>
      </w:pPr>
    </w:p>
  </w:footnote>
  <w:footnote w:id="2">
    <w:p w14:paraId="714BC536" w14:textId="77777777" w:rsidR="00446B81" w:rsidRPr="00446B81" w:rsidRDefault="00446B81" w:rsidP="00446B81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Diffusé en allemand par la Commission centrale pour la navigation du Rhin sous la cote CCNR/ZKR/AND/WP.15/AC.2/2019/27.</w:t>
      </w:r>
    </w:p>
  </w:footnote>
  <w:footnote w:id="3">
    <w:p w14:paraId="02D9A501" w14:textId="77777777" w:rsidR="00446B81" w:rsidRPr="00446B81" w:rsidRDefault="00446B81" w:rsidP="00446B81">
      <w:pPr>
        <w:pStyle w:val="FootnoteText"/>
      </w:pPr>
      <w:r>
        <w:rPr>
          <w:lang w:val="fr-FR"/>
        </w:rPr>
        <w:tab/>
        <w:t>**</w:t>
      </w:r>
      <w:r>
        <w:rPr>
          <w:lang w:val="fr-FR"/>
        </w:rPr>
        <w:tab/>
        <w:t>Conformément au programme de travail du Comité des transports intérieurs pour 2018-2019 (ECE/TRANS/2018/21/Add.1, module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7B1D" w14:textId="514A5F13" w:rsidR="000C419B" w:rsidRPr="000C419B" w:rsidRDefault="00F63CF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E449" w14:textId="62A236BE" w:rsidR="000C419B" w:rsidRPr="000C419B" w:rsidRDefault="00F63CF5" w:rsidP="000C419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93"/>
    <w:rsid w:val="00017F94"/>
    <w:rsid w:val="00023842"/>
    <w:rsid w:val="000334F9"/>
    <w:rsid w:val="00045FEB"/>
    <w:rsid w:val="0007796D"/>
    <w:rsid w:val="000B7790"/>
    <w:rsid w:val="000C419B"/>
    <w:rsid w:val="00111F2F"/>
    <w:rsid w:val="0014365E"/>
    <w:rsid w:val="00143C66"/>
    <w:rsid w:val="0015145E"/>
    <w:rsid w:val="00176178"/>
    <w:rsid w:val="001A5168"/>
    <w:rsid w:val="001F525A"/>
    <w:rsid w:val="0022035A"/>
    <w:rsid w:val="00223272"/>
    <w:rsid w:val="0024779E"/>
    <w:rsid w:val="00257168"/>
    <w:rsid w:val="002744B8"/>
    <w:rsid w:val="002832AC"/>
    <w:rsid w:val="002A461F"/>
    <w:rsid w:val="002D7C93"/>
    <w:rsid w:val="00305801"/>
    <w:rsid w:val="003916DE"/>
    <w:rsid w:val="00421996"/>
    <w:rsid w:val="00441C3B"/>
    <w:rsid w:val="00446B81"/>
    <w:rsid w:val="00446FE5"/>
    <w:rsid w:val="00452396"/>
    <w:rsid w:val="004837D8"/>
    <w:rsid w:val="004E2EED"/>
    <w:rsid w:val="004E468C"/>
    <w:rsid w:val="005505B7"/>
    <w:rsid w:val="00573BE5"/>
    <w:rsid w:val="005811F0"/>
    <w:rsid w:val="00586ED3"/>
    <w:rsid w:val="00596AA9"/>
    <w:rsid w:val="0071601D"/>
    <w:rsid w:val="007A62E6"/>
    <w:rsid w:val="007F20FA"/>
    <w:rsid w:val="0080684C"/>
    <w:rsid w:val="00871C75"/>
    <w:rsid w:val="008776DC"/>
    <w:rsid w:val="008E1EEE"/>
    <w:rsid w:val="009446C0"/>
    <w:rsid w:val="009705C8"/>
    <w:rsid w:val="009C1CF4"/>
    <w:rsid w:val="009F6B74"/>
    <w:rsid w:val="00A3029F"/>
    <w:rsid w:val="00A30353"/>
    <w:rsid w:val="00AC3823"/>
    <w:rsid w:val="00AC4A8B"/>
    <w:rsid w:val="00AE323C"/>
    <w:rsid w:val="00AF0CB5"/>
    <w:rsid w:val="00B00181"/>
    <w:rsid w:val="00B00B0D"/>
    <w:rsid w:val="00B45F2E"/>
    <w:rsid w:val="00B765F7"/>
    <w:rsid w:val="00BA0CA9"/>
    <w:rsid w:val="00C02897"/>
    <w:rsid w:val="00C768D6"/>
    <w:rsid w:val="00C97039"/>
    <w:rsid w:val="00D3439C"/>
    <w:rsid w:val="00D37CDA"/>
    <w:rsid w:val="00DB1831"/>
    <w:rsid w:val="00DD3BFD"/>
    <w:rsid w:val="00DD462C"/>
    <w:rsid w:val="00DF6678"/>
    <w:rsid w:val="00E0299A"/>
    <w:rsid w:val="00E85C74"/>
    <w:rsid w:val="00EA6547"/>
    <w:rsid w:val="00EF2E22"/>
    <w:rsid w:val="00F35BAF"/>
    <w:rsid w:val="00F63CF5"/>
    <w:rsid w:val="00F660DF"/>
    <w:rsid w:val="00F94664"/>
    <w:rsid w:val="00F9573C"/>
    <w:rsid w:val="00F95C08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3B470"/>
  <w15:docId w15:val="{F73DCE89-12C9-460D-B5FB-7BD0DCFD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ECE/TRANS/WP.15/AC.2/2019/27</vt:lpstr>
      <vt:lpstr>ECE/TRANS/WP.15/AC.2/2019/27</vt:lpstr>
      <vt:lpstr>Schéma A  Critères pour l’équipement des citernes à cargaison des bateaux du typ</vt:lpstr>
    </vt:vector>
  </TitlesOfParts>
  <Company>DCM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ECE/TRANS/WP.15/AC.2/2019/27</dc:title>
  <dc:subject/>
  <dc:creator>Edith BOURION</dc:creator>
  <cp:keywords/>
  <cp:lastModifiedBy>Marie-Claude Collet</cp:lastModifiedBy>
  <cp:revision>3</cp:revision>
  <cp:lastPrinted>2019-06-26T08:19:00Z</cp:lastPrinted>
  <dcterms:created xsi:type="dcterms:W3CDTF">2019-06-26T08:18:00Z</dcterms:created>
  <dcterms:modified xsi:type="dcterms:W3CDTF">2019-06-26T08:19:00Z</dcterms:modified>
</cp:coreProperties>
</file>